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0" w:rsidRPr="00F75FF6" w:rsidRDefault="00A61780" w:rsidP="00A61780">
      <w:pPr>
        <w:rPr>
          <w:b/>
          <w:bCs/>
          <w:color w:val="000000" w:themeColor="text1"/>
        </w:rPr>
      </w:pPr>
      <w:r w:rsidRPr="00F75FF6">
        <w:rPr>
          <w:b/>
          <w:bCs/>
          <w:color w:val="000000" w:themeColor="text1"/>
        </w:rPr>
        <w:t>IDN Implementation Guidelines (IDNG) Working Group (WG)</w:t>
      </w:r>
    </w:p>
    <w:p w:rsidR="00A61780" w:rsidRPr="00F75FF6" w:rsidRDefault="00A61780" w:rsidP="00241234">
      <w:pPr>
        <w:rPr>
          <w:b/>
          <w:bCs/>
          <w:color w:val="000000" w:themeColor="text1"/>
        </w:rPr>
      </w:pPr>
      <w:r w:rsidRPr="00F75FF6">
        <w:rPr>
          <w:b/>
          <w:bCs/>
          <w:color w:val="000000" w:themeColor="text1"/>
        </w:rPr>
        <w:t xml:space="preserve">Notes from Meeting on </w:t>
      </w:r>
      <w:r w:rsidR="00241234">
        <w:rPr>
          <w:b/>
          <w:bCs/>
          <w:color w:val="000000" w:themeColor="text1"/>
        </w:rPr>
        <w:t>22</w:t>
      </w:r>
      <w:r w:rsidR="007026D2">
        <w:rPr>
          <w:b/>
          <w:bCs/>
          <w:color w:val="000000" w:themeColor="text1"/>
        </w:rPr>
        <w:t xml:space="preserve"> </w:t>
      </w:r>
      <w:r w:rsidR="00DA77FB">
        <w:rPr>
          <w:b/>
          <w:bCs/>
          <w:color w:val="000000" w:themeColor="text1"/>
        </w:rPr>
        <w:t>December</w:t>
      </w:r>
      <w:r w:rsidR="00F04826">
        <w:rPr>
          <w:b/>
          <w:bCs/>
          <w:color w:val="000000" w:themeColor="text1"/>
        </w:rPr>
        <w:t>,</w:t>
      </w:r>
      <w:r w:rsidRPr="00F75FF6">
        <w:rPr>
          <w:b/>
          <w:bCs/>
          <w:color w:val="000000" w:themeColor="text1"/>
        </w:rPr>
        <w:t xml:space="preserve"> 201</w:t>
      </w:r>
      <w:r w:rsidR="00326C70" w:rsidRPr="00F75FF6">
        <w:rPr>
          <w:b/>
          <w:bCs/>
          <w:color w:val="000000" w:themeColor="text1"/>
        </w:rPr>
        <w:t>6</w:t>
      </w:r>
      <w:r w:rsidR="00731C46" w:rsidRPr="00F75FF6">
        <w:rPr>
          <w:b/>
          <w:bCs/>
          <w:color w:val="000000" w:themeColor="text1"/>
        </w:rPr>
        <w:t xml:space="preserve"> </w:t>
      </w:r>
    </w:p>
    <w:p w:rsidR="00B6339C" w:rsidRPr="00F75FF6" w:rsidRDefault="007100C7" w:rsidP="00A61780">
      <w:pPr>
        <w:rPr>
          <w:color w:val="000000" w:themeColor="text1"/>
          <w:u w:val="single"/>
        </w:rPr>
      </w:pPr>
      <w:r w:rsidRPr="00F75FF6">
        <w:rPr>
          <w:color w:val="000000" w:themeColor="text1"/>
          <w:u w:val="single"/>
        </w:rPr>
        <w:t>Meeting Attendees</w:t>
      </w:r>
      <w:r w:rsidR="009757CD" w:rsidRPr="00193AA0">
        <w:rPr>
          <w:color w:val="000000" w:themeColor="text1"/>
        </w:rPr>
        <w:t xml:space="preserve"> </w:t>
      </w:r>
      <w:r w:rsidR="009757CD" w:rsidRPr="00F75FF6">
        <w:rPr>
          <w:color w:val="000000" w:themeColor="text1"/>
        </w:rPr>
        <w:t>(in alphabetical order)</w:t>
      </w:r>
    </w:p>
    <w:p w:rsidR="00A61780" w:rsidRPr="00F75FF6" w:rsidRDefault="007E6AF4" w:rsidP="00E209AC">
      <w:pPr>
        <w:spacing w:after="0"/>
        <w:rPr>
          <w:color w:val="000000" w:themeColor="text1"/>
        </w:rPr>
      </w:pPr>
      <w:r w:rsidRPr="00F75FF6">
        <w:rPr>
          <w:color w:val="000000" w:themeColor="text1"/>
        </w:rPr>
        <w:tab/>
      </w:r>
      <w:r w:rsidR="00AA1F90" w:rsidRPr="00F75FF6">
        <w:rPr>
          <w:color w:val="000000" w:themeColor="text1"/>
        </w:rPr>
        <w:t>WG</w:t>
      </w:r>
      <w:r w:rsidR="00B6339C" w:rsidRPr="00F75FF6">
        <w:rPr>
          <w:color w:val="000000" w:themeColor="text1"/>
        </w:rPr>
        <w:t xml:space="preserve"> members</w:t>
      </w:r>
      <w:r w:rsidR="007100C7" w:rsidRPr="00F75FF6">
        <w:rPr>
          <w:color w:val="000000" w:themeColor="text1"/>
        </w:rPr>
        <w:t>:</w:t>
      </w:r>
    </w:p>
    <w:p w:rsidR="00DA77FB" w:rsidRPr="00F75FF6" w:rsidRDefault="00DA77FB" w:rsidP="00DA77F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Dennis Tanaka</w:t>
      </w:r>
    </w:p>
    <w:p w:rsidR="00241234" w:rsidRDefault="00241234" w:rsidP="007C1C4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Edmon Chung</w:t>
      </w:r>
    </w:p>
    <w:p w:rsidR="00E53687" w:rsidRDefault="009C5C1A" w:rsidP="00E5368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Mats Dufberg</w:t>
      </w:r>
    </w:p>
    <w:p w:rsidR="00241234" w:rsidRDefault="00241234" w:rsidP="00E5368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Satish Babu</w:t>
      </w:r>
    </w:p>
    <w:p w:rsidR="00AA1F90" w:rsidRPr="00F75FF6" w:rsidRDefault="007E6AF4" w:rsidP="00AA1F90">
      <w:pPr>
        <w:pStyle w:val="ListParagraph"/>
        <w:ind w:left="0"/>
        <w:rPr>
          <w:color w:val="000000" w:themeColor="text1"/>
        </w:rPr>
      </w:pPr>
      <w:r w:rsidRPr="00F75FF6">
        <w:rPr>
          <w:color w:val="000000" w:themeColor="text1"/>
        </w:rPr>
        <w:tab/>
        <w:t>Staff</w:t>
      </w:r>
      <w:r w:rsidR="007100C7" w:rsidRPr="00F75FF6">
        <w:rPr>
          <w:color w:val="000000" w:themeColor="text1"/>
        </w:rPr>
        <w:t>:</w:t>
      </w:r>
    </w:p>
    <w:p w:rsidR="00073921" w:rsidRPr="00F75FF6" w:rsidRDefault="00AA1F90" w:rsidP="0033160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FF6">
        <w:rPr>
          <w:color w:val="000000" w:themeColor="text1"/>
        </w:rPr>
        <w:t xml:space="preserve">Sarmad Hussain </w:t>
      </w:r>
    </w:p>
    <w:p w:rsidR="00A61780" w:rsidRDefault="007100C7" w:rsidP="00A61780">
      <w:pPr>
        <w:rPr>
          <w:color w:val="000000" w:themeColor="text1"/>
          <w:u w:val="single"/>
        </w:rPr>
      </w:pPr>
      <w:r w:rsidRPr="00F75FF6">
        <w:rPr>
          <w:color w:val="000000" w:themeColor="text1"/>
          <w:u w:val="single"/>
        </w:rPr>
        <w:t>Meeting Notes</w:t>
      </w:r>
    </w:p>
    <w:p w:rsidR="009D4314" w:rsidRPr="009D4314" w:rsidRDefault="009D4314" w:rsidP="00241234">
      <w:pPr>
        <w:rPr>
          <w:color w:val="000000" w:themeColor="text1"/>
        </w:rPr>
      </w:pPr>
      <w:r>
        <w:rPr>
          <w:color w:val="000000" w:themeColor="text1"/>
        </w:rPr>
        <w:t xml:space="preserve">The WG members </w:t>
      </w:r>
      <w:r w:rsidR="007464EC">
        <w:rPr>
          <w:color w:val="000000" w:themeColor="text1"/>
        </w:rPr>
        <w:t>continued the discussion on the document and the recommendations to be proposed for public comment.</w:t>
      </w:r>
      <w:r w:rsidR="00806706" w:rsidRPr="00806706">
        <w:rPr>
          <w:color w:val="000000" w:themeColor="text1"/>
        </w:rPr>
        <w:t xml:space="preserve"> </w:t>
      </w:r>
      <w:r w:rsidR="00E53687">
        <w:rPr>
          <w:color w:val="000000" w:themeColor="text1"/>
        </w:rPr>
        <w:t xml:space="preserve"> </w:t>
      </w:r>
      <w:r w:rsidR="009C5C1A" w:rsidRPr="009C5C1A">
        <w:rPr>
          <w:color w:val="000000" w:themeColor="text1"/>
        </w:rPr>
        <w:t xml:space="preserve">Updated document </w:t>
      </w:r>
      <w:r w:rsidR="009C5C1A" w:rsidRPr="009C5C1A">
        <w:rPr>
          <w:i/>
          <w:iCs/>
          <w:color w:val="000000" w:themeColor="text1"/>
        </w:rPr>
        <w:t>IDN Guidelines 4.0 20161</w:t>
      </w:r>
      <w:r w:rsidR="00B53A1F">
        <w:rPr>
          <w:i/>
          <w:iCs/>
          <w:color w:val="000000" w:themeColor="text1"/>
        </w:rPr>
        <w:t>2</w:t>
      </w:r>
      <w:r w:rsidR="00241234">
        <w:rPr>
          <w:i/>
          <w:iCs/>
          <w:color w:val="000000" w:themeColor="text1"/>
        </w:rPr>
        <w:t>22</w:t>
      </w:r>
      <w:r w:rsidR="009C5C1A">
        <w:rPr>
          <w:i/>
          <w:iCs/>
          <w:color w:val="000000" w:themeColor="text1"/>
        </w:rPr>
        <w:t xml:space="preserve"> </w:t>
      </w:r>
      <w:r w:rsidR="009C5C1A" w:rsidRPr="009C5C1A">
        <w:rPr>
          <w:color w:val="000000" w:themeColor="text1"/>
        </w:rPr>
        <w:t>was discussed.</w:t>
      </w:r>
    </w:p>
    <w:p w:rsidR="00241234" w:rsidRDefault="00241234" w:rsidP="00704767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Automatic activation of variants.</w:t>
      </w:r>
      <w:r>
        <w:rPr>
          <w:color w:val="000000" w:themeColor="text1"/>
        </w:rPr>
        <w:t xml:space="preserve">  The recommendation to allow for automatically activating variants in the context of Chinese was discussed.  The members suggested to remove the reference to a specific language and RFC 3743.  </w:t>
      </w:r>
      <w:r w:rsidR="00D36C5A">
        <w:rPr>
          <w:color w:val="000000" w:themeColor="text1"/>
        </w:rPr>
        <w:t>It was explained that the</w:t>
      </w:r>
      <w:r>
        <w:rPr>
          <w:color w:val="000000" w:themeColor="text1"/>
        </w:rPr>
        <w:t xml:space="preserve"> recommendation focuses on not disallowing </w:t>
      </w:r>
      <w:r w:rsidR="00D36C5A">
        <w:rPr>
          <w:color w:val="000000" w:themeColor="text1"/>
        </w:rPr>
        <w:t>automatic activation</w:t>
      </w:r>
      <w:r>
        <w:rPr>
          <w:color w:val="000000" w:themeColor="text1"/>
        </w:rPr>
        <w:t xml:space="preserve">.  </w:t>
      </w:r>
      <w:r w:rsidR="00223EF8">
        <w:rPr>
          <w:color w:val="000000" w:themeColor="text1"/>
        </w:rPr>
        <w:t>Impact of such activation was discussed, and it was suggested that the burden on re</w:t>
      </w:r>
      <w:r w:rsidR="00704767">
        <w:rPr>
          <w:color w:val="000000" w:themeColor="text1"/>
        </w:rPr>
        <w:t>gistrant may not be significant</w:t>
      </w:r>
      <w:r w:rsidR="00223EF8">
        <w:rPr>
          <w:color w:val="000000" w:themeColor="text1"/>
        </w:rPr>
        <w:t xml:space="preserve">.  However, there is also impact on registrar end.  Due to these factors, it is should be </w:t>
      </w:r>
      <w:r w:rsidR="00704767">
        <w:rPr>
          <w:color w:val="000000" w:themeColor="text1"/>
        </w:rPr>
        <w:t>restricted to cases where the</w:t>
      </w:r>
      <w:r w:rsidR="00223EF8">
        <w:rPr>
          <w:color w:val="000000" w:themeColor="text1"/>
        </w:rPr>
        <w:t xml:space="preserve"> script community </w:t>
      </w:r>
      <w:r w:rsidR="00704767">
        <w:rPr>
          <w:color w:val="000000" w:themeColor="text1"/>
        </w:rPr>
        <w:t>asks for</w:t>
      </w:r>
      <w:r w:rsidR="00223EF8">
        <w:rPr>
          <w:color w:val="000000" w:themeColor="text1"/>
        </w:rPr>
        <w:t xml:space="preserve"> it.  It was noted that script community is not well-defined.  WG noted that</w:t>
      </w:r>
      <w:r w:rsidR="005713E8">
        <w:rPr>
          <w:color w:val="000000" w:themeColor="text1"/>
        </w:rPr>
        <w:t xml:space="preserve"> </w:t>
      </w:r>
      <w:r w:rsidR="00223EF8">
        <w:rPr>
          <w:color w:val="000000" w:themeColor="text1"/>
        </w:rPr>
        <w:t xml:space="preserve">this can be helpful </w:t>
      </w:r>
      <w:r w:rsidR="005713E8">
        <w:rPr>
          <w:color w:val="000000" w:themeColor="text1"/>
        </w:rPr>
        <w:t xml:space="preserve">indicator, </w:t>
      </w:r>
      <w:r w:rsidR="00223EF8">
        <w:rPr>
          <w:color w:val="000000" w:themeColor="text1"/>
        </w:rPr>
        <w:t xml:space="preserve">in the way that where there is clear script community and its documentation is available, its recommendation can be used, and where a script community is missing, it indicates a lack of script community consensus.  </w:t>
      </w:r>
      <w:r w:rsidR="005713E8">
        <w:rPr>
          <w:color w:val="000000" w:themeColor="text1"/>
        </w:rPr>
        <w:t xml:space="preserve">As for the cost of additional variants as a burden to registrant due to automatic activation, this needs to be discussed further.  It was also suggested </w:t>
      </w:r>
      <w:r w:rsidR="00704767">
        <w:rPr>
          <w:color w:val="000000" w:themeColor="text1"/>
        </w:rPr>
        <w:t>to</w:t>
      </w:r>
      <w:r w:rsidR="005713E8">
        <w:rPr>
          <w:color w:val="000000" w:themeColor="text1"/>
        </w:rPr>
        <w:t xml:space="preserve"> allow registries to manage the business models (whether they treat this as billable transaction or not).</w:t>
      </w:r>
      <w:r w:rsidR="00704767">
        <w:rPr>
          <w:color w:val="000000" w:themeColor="text1"/>
        </w:rPr>
        <w:t xml:space="preserve">  The recommendation should be revised taking the discussion in consideration.</w:t>
      </w:r>
    </w:p>
    <w:p w:rsidR="00313B7B" w:rsidRPr="00313B7B" w:rsidRDefault="005713E8" w:rsidP="00704767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Grandfathering </w:t>
      </w:r>
      <w:r w:rsidR="00430C67">
        <w:rPr>
          <w:b/>
          <w:bCs/>
          <w:color w:val="000000" w:themeColor="text1"/>
        </w:rPr>
        <w:t>current registrations</w:t>
      </w:r>
      <w:r w:rsidR="00565D7C">
        <w:rPr>
          <w:b/>
          <w:bCs/>
          <w:color w:val="000000" w:themeColor="text1"/>
        </w:rPr>
        <w:t xml:space="preserve">.  </w:t>
      </w:r>
      <w:r w:rsidR="00430C67">
        <w:rPr>
          <w:color w:val="000000" w:themeColor="text1"/>
        </w:rPr>
        <w:t xml:space="preserve">The WG </w:t>
      </w:r>
      <w:r w:rsidR="00704767">
        <w:rPr>
          <w:color w:val="000000" w:themeColor="text1"/>
        </w:rPr>
        <w:t>members thought</w:t>
      </w:r>
      <w:r w:rsidR="00430C67">
        <w:rPr>
          <w:color w:val="000000" w:themeColor="text1"/>
        </w:rPr>
        <w:t xml:space="preserve"> that the recommendation </w:t>
      </w:r>
      <w:r w:rsidR="00704767">
        <w:rPr>
          <w:color w:val="000000" w:themeColor="text1"/>
        </w:rPr>
        <w:t>is</w:t>
      </w:r>
      <w:r w:rsidR="00430C67">
        <w:rPr>
          <w:color w:val="000000" w:themeColor="text1"/>
        </w:rPr>
        <w:t xml:space="preserve"> too detailed and may be brought to a higher level.  The members also noted that though the different cases are covered, but</w:t>
      </w:r>
      <w:r w:rsidR="00704767">
        <w:rPr>
          <w:color w:val="000000" w:themeColor="text1"/>
        </w:rPr>
        <w:t xml:space="preserve"> the recommendation</w:t>
      </w:r>
      <w:r w:rsidR="00430C67">
        <w:rPr>
          <w:color w:val="000000" w:themeColor="text1"/>
        </w:rPr>
        <w:t xml:space="preserve"> does not require an action.  As this recommendation was initially developed to address </w:t>
      </w:r>
      <w:proofErr w:type="spellStart"/>
      <w:r w:rsidR="00430C67">
        <w:rPr>
          <w:color w:val="000000" w:themeColor="text1"/>
        </w:rPr>
        <w:t>homoglyphic</w:t>
      </w:r>
      <w:proofErr w:type="spellEnd"/>
      <w:r w:rsidR="00430C67">
        <w:rPr>
          <w:color w:val="000000" w:themeColor="text1"/>
        </w:rPr>
        <w:t xml:space="preserve"> registrations which may pose a security issue, it should be discussed if </w:t>
      </w:r>
      <w:r w:rsidR="00704767">
        <w:rPr>
          <w:color w:val="000000" w:themeColor="text1"/>
        </w:rPr>
        <w:t>the recommendation should translate into a concrete action</w:t>
      </w:r>
      <w:r w:rsidR="00430C67">
        <w:rPr>
          <w:color w:val="000000" w:themeColor="text1"/>
        </w:rPr>
        <w:t>.  Further, the recommendation should be moved to a separate section as it is more broadly applicable.</w:t>
      </w:r>
      <w:r w:rsidR="00704767">
        <w:rPr>
          <w:color w:val="000000" w:themeColor="text1"/>
        </w:rPr>
        <w:t xml:space="preserve"> </w:t>
      </w:r>
    </w:p>
    <w:p w:rsidR="00430C67" w:rsidRDefault="00430C67" w:rsidP="00F9006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Recommendation 5 in version 3.0.  </w:t>
      </w:r>
      <w:r>
        <w:rPr>
          <w:color w:val="000000" w:themeColor="text1"/>
        </w:rPr>
        <w:t xml:space="preserve">The recommendation comments on </w:t>
      </w:r>
      <w:r w:rsidR="00F90064">
        <w:rPr>
          <w:color w:val="000000" w:themeColor="text1"/>
        </w:rPr>
        <w:t xml:space="preserve">not </w:t>
      </w:r>
      <w:r>
        <w:rPr>
          <w:color w:val="000000" w:themeColor="text1"/>
        </w:rPr>
        <w:t xml:space="preserve">mixing code points across scripts, unless such conventions exist for a language.  </w:t>
      </w:r>
      <w:r w:rsidR="0085120F">
        <w:rPr>
          <w:color w:val="000000" w:themeColor="text1"/>
        </w:rPr>
        <w:t xml:space="preserve">The WG agreed to retain the recommendation.  The WG discussed </w:t>
      </w:r>
      <w:r w:rsidR="00F90064">
        <w:rPr>
          <w:color w:val="000000" w:themeColor="text1"/>
        </w:rPr>
        <w:t>that</w:t>
      </w:r>
      <w:r w:rsidR="0085120F">
        <w:rPr>
          <w:color w:val="000000" w:themeColor="text1"/>
        </w:rPr>
        <w:t xml:space="preserve"> mingling code points from different scripts is </w:t>
      </w:r>
      <w:r w:rsidR="00F90064">
        <w:rPr>
          <w:color w:val="000000" w:themeColor="text1"/>
        </w:rPr>
        <w:t>needed in some cases, and is allowed</w:t>
      </w:r>
      <w:r w:rsidR="0085120F">
        <w:rPr>
          <w:color w:val="000000" w:themeColor="text1"/>
        </w:rPr>
        <w:t xml:space="preserve"> through the second </w:t>
      </w:r>
      <w:r w:rsidR="00F90064">
        <w:rPr>
          <w:color w:val="000000" w:themeColor="text1"/>
        </w:rPr>
        <w:t>sentence</w:t>
      </w:r>
      <w:r w:rsidR="0085120F">
        <w:rPr>
          <w:color w:val="000000" w:themeColor="text1"/>
        </w:rPr>
        <w:t xml:space="preserve"> which calls for exceptions in known cases</w:t>
      </w:r>
      <w:r w:rsidR="00F90064">
        <w:rPr>
          <w:color w:val="000000" w:themeColor="text1"/>
        </w:rPr>
        <w:t xml:space="preserve">.  The WG discussed if the second sentence is sufficient or if such </w:t>
      </w:r>
      <w:r w:rsidR="0085120F">
        <w:rPr>
          <w:color w:val="000000" w:themeColor="text1"/>
        </w:rPr>
        <w:t xml:space="preserve">cases, like digits, should be made more explicit.  </w:t>
      </w:r>
      <w:r w:rsidR="00F90064">
        <w:rPr>
          <w:color w:val="000000" w:themeColor="text1"/>
        </w:rPr>
        <w:t xml:space="preserve">The WG agreed that </w:t>
      </w:r>
      <w:r w:rsidR="0085120F">
        <w:rPr>
          <w:color w:val="000000" w:themeColor="text1"/>
        </w:rPr>
        <w:t xml:space="preserve">the last sentence should be removed, as the new </w:t>
      </w:r>
      <w:r w:rsidR="0085120F">
        <w:rPr>
          <w:color w:val="000000" w:themeColor="text1"/>
        </w:rPr>
        <w:lastRenderedPageBreak/>
        <w:t xml:space="preserve">recommendation on harmonizing variants and homoglyphs would address it more clearly and explicitly.  The recommendation would be revised </w:t>
      </w:r>
      <w:r w:rsidR="00F90064">
        <w:rPr>
          <w:color w:val="000000" w:themeColor="text1"/>
        </w:rPr>
        <w:t>based on</w:t>
      </w:r>
      <w:r w:rsidR="0085120F">
        <w:rPr>
          <w:color w:val="000000" w:themeColor="text1"/>
        </w:rPr>
        <w:t xml:space="preserve"> this discussion.</w:t>
      </w:r>
    </w:p>
    <w:p w:rsidR="0085120F" w:rsidRDefault="0085120F" w:rsidP="00BA6580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Harmonization of IDN tables for a zone.</w:t>
      </w:r>
      <w:r>
        <w:rPr>
          <w:color w:val="000000" w:themeColor="text1"/>
        </w:rPr>
        <w:t xml:space="preserve"> </w:t>
      </w:r>
      <w:r w:rsidR="00331A0E">
        <w:rPr>
          <w:color w:val="000000" w:themeColor="text1"/>
        </w:rPr>
        <w:t xml:space="preserve"> The WG discussed that there were two separate items which needed to be addressed for harmonization: (i) cross-script </w:t>
      </w:r>
      <w:proofErr w:type="spellStart"/>
      <w:r w:rsidR="00331A0E">
        <w:rPr>
          <w:color w:val="000000" w:themeColor="text1"/>
        </w:rPr>
        <w:t>homoglyphic</w:t>
      </w:r>
      <w:proofErr w:type="spellEnd"/>
      <w:r w:rsidR="00331A0E">
        <w:rPr>
          <w:color w:val="000000" w:themeColor="text1"/>
        </w:rPr>
        <w:t xml:space="preserve"> labels, and (ii) within-script variant</w:t>
      </w:r>
      <w:r w:rsidR="00C84A62">
        <w:rPr>
          <w:color w:val="000000" w:themeColor="text1"/>
        </w:rPr>
        <w:t xml:space="preserve"> label</w:t>
      </w:r>
      <w:r w:rsidR="00331A0E">
        <w:rPr>
          <w:color w:val="000000" w:themeColor="text1"/>
        </w:rPr>
        <w:t xml:space="preserve">s.  These could be two different recommendations.  </w:t>
      </w:r>
      <w:r w:rsidR="00C84A62">
        <w:rPr>
          <w:color w:val="000000" w:themeColor="text1"/>
        </w:rPr>
        <w:t xml:space="preserve">Script mixing cases are </w:t>
      </w:r>
      <w:r w:rsidR="00BA6580">
        <w:rPr>
          <w:color w:val="000000" w:themeColor="text1"/>
        </w:rPr>
        <w:t>prevented</w:t>
      </w:r>
      <w:r w:rsidR="00C84A62">
        <w:rPr>
          <w:color w:val="000000" w:themeColor="text1"/>
        </w:rPr>
        <w:t xml:space="preserve"> by recommendation 5 being re-introduced.  The WG members suggested that the second case of variant labels would include homoglyphs but this could be made explicit as well in case variants do not include </w:t>
      </w:r>
      <w:r w:rsidR="00BA6580">
        <w:rPr>
          <w:color w:val="000000" w:themeColor="text1"/>
        </w:rPr>
        <w:t xml:space="preserve">all </w:t>
      </w:r>
      <w:r w:rsidR="00C84A62">
        <w:rPr>
          <w:color w:val="000000" w:themeColor="text1"/>
        </w:rPr>
        <w:t>homoglyphs with</w:t>
      </w:r>
      <w:r w:rsidR="00BA6580">
        <w:rPr>
          <w:color w:val="000000" w:themeColor="text1"/>
        </w:rPr>
        <w:t>in</w:t>
      </w:r>
      <w:r w:rsidR="00C84A62">
        <w:rPr>
          <w:color w:val="000000" w:themeColor="text1"/>
        </w:rPr>
        <w:t xml:space="preserve"> a script.  The WG also discussed </w:t>
      </w:r>
      <w:r w:rsidR="00BA6580">
        <w:rPr>
          <w:color w:val="000000" w:themeColor="text1"/>
        </w:rPr>
        <w:t>that</w:t>
      </w:r>
      <w:r w:rsidR="00C84A62">
        <w:rPr>
          <w:color w:val="000000" w:themeColor="text1"/>
        </w:rPr>
        <w:t xml:space="preserve"> variant rules must be implemented for scripts which have variant code points</w:t>
      </w:r>
      <w:r w:rsidR="00F006D0">
        <w:rPr>
          <w:color w:val="000000" w:themeColor="text1"/>
        </w:rPr>
        <w:t xml:space="preserve">.  The WG agreed to review the recommendation </w:t>
      </w:r>
      <w:r w:rsidR="00BA6580">
        <w:rPr>
          <w:color w:val="000000" w:themeColor="text1"/>
        </w:rPr>
        <w:t xml:space="preserve">for </w:t>
      </w:r>
      <w:r w:rsidR="00F006D0">
        <w:rPr>
          <w:color w:val="000000" w:themeColor="text1"/>
        </w:rPr>
        <w:t xml:space="preserve">the two use cases and </w:t>
      </w:r>
      <w:r w:rsidR="00BA6580">
        <w:rPr>
          <w:color w:val="000000" w:themeColor="text1"/>
        </w:rPr>
        <w:t>refer</w:t>
      </w:r>
      <w:r w:rsidR="00F006D0">
        <w:rPr>
          <w:color w:val="000000" w:themeColor="text1"/>
        </w:rPr>
        <w:t xml:space="preserve"> to intentional.txt and root zone LGR.  </w:t>
      </w:r>
    </w:p>
    <w:p w:rsidR="00313B7B" w:rsidRPr="00987022" w:rsidRDefault="007F67B0" w:rsidP="00F006D0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Next meeting</w:t>
      </w:r>
      <w:r w:rsidR="00313B7B">
        <w:rPr>
          <w:b/>
          <w:bCs/>
          <w:color w:val="000000" w:themeColor="text1"/>
        </w:rPr>
        <w:t xml:space="preserve">.  </w:t>
      </w:r>
      <w:r w:rsidR="00313B7B">
        <w:rPr>
          <w:color w:val="000000" w:themeColor="text1"/>
        </w:rPr>
        <w:t xml:space="preserve"> The WG</w:t>
      </w:r>
      <w:r w:rsidR="00F006D0">
        <w:rPr>
          <w:color w:val="000000" w:themeColor="text1"/>
        </w:rPr>
        <w:t xml:space="preserve"> members</w:t>
      </w:r>
      <w:r w:rsidR="00313B7B">
        <w:rPr>
          <w:color w:val="000000" w:themeColor="text1"/>
        </w:rPr>
        <w:t xml:space="preserve"> </w:t>
      </w:r>
      <w:r w:rsidR="00F006D0">
        <w:rPr>
          <w:color w:val="000000" w:themeColor="text1"/>
        </w:rPr>
        <w:t xml:space="preserve">agreed to keep a weekly schedule, starting again on 5 January, 2017.  </w:t>
      </w:r>
      <w:r w:rsidR="00313B7B">
        <w:rPr>
          <w:color w:val="000000" w:themeColor="text1"/>
        </w:rPr>
        <w:t xml:space="preserve">  </w:t>
      </w:r>
      <w:r w:rsidR="00313B7B">
        <w:rPr>
          <w:b/>
          <w:bCs/>
          <w:color w:val="000000" w:themeColor="text1"/>
        </w:rPr>
        <w:t xml:space="preserve">  </w:t>
      </w:r>
    </w:p>
    <w:p w:rsidR="0072451D" w:rsidRPr="000A4D1B" w:rsidRDefault="0072451D" w:rsidP="000A4D1B">
      <w:pPr>
        <w:rPr>
          <w:color w:val="000000" w:themeColor="text1"/>
          <w:u w:val="single"/>
        </w:rPr>
      </w:pPr>
      <w:r w:rsidRPr="000A4D1B">
        <w:rPr>
          <w:color w:val="000000" w:themeColor="text1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710"/>
        <w:gridCol w:w="836"/>
      </w:tblGrid>
      <w:tr w:rsidR="0072451D" w:rsidRPr="0083537E" w:rsidTr="001C698F">
        <w:tc>
          <w:tcPr>
            <w:tcW w:w="804" w:type="dxa"/>
          </w:tcPr>
          <w:p w:rsidR="0072451D" w:rsidRPr="0083537E" w:rsidRDefault="0072451D" w:rsidP="001C698F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>S. No.</w:t>
            </w:r>
          </w:p>
        </w:tc>
        <w:tc>
          <w:tcPr>
            <w:tcW w:w="7710" w:type="dxa"/>
          </w:tcPr>
          <w:p w:rsidR="0072451D" w:rsidRPr="0083537E" w:rsidRDefault="0072451D" w:rsidP="001C698F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 xml:space="preserve">Action Items </w:t>
            </w:r>
          </w:p>
        </w:tc>
        <w:tc>
          <w:tcPr>
            <w:tcW w:w="836" w:type="dxa"/>
          </w:tcPr>
          <w:p w:rsidR="0072451D" w:rsidRPr="0083537E" w:rsidRDefault="0072451D" w:rsidP="001C698F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>Owner</w:t>
            </w:r>
          </w:p>
        </w:tc>
      </w:tr>
      <w:tr w:rsidR="005713E8" w:rsidRPr="0083537E" w:rsidTr="001C698F">
        <w:tc>
          <w:tcPr>
            <w:tcW w:w="804" w:type="dxa"/>
          </w:tcPr>
          <w:p w:rsidR="005713E8" w:rsidRPr="0083537E" w:rsidRDefault="005713E8" w:rsidP="005713E8">
            <w:pPr>
              <w:rPr>
                <w:b/>
                <w:bCs/>
              </w:rPr>
            </w:pPr>
            <w:r>
              <w:t>1</w:t>
            </w:r>
          </w:p>
        </w:tc>
        <w:tc>
          <w:tcPr>
            <w:tcW w:w="7710" w:type="dxa"/>
          </w:tcPr>
          <w:p w:rsidR="005713E8" w:rsidRDefault="005713E8" w:rsidP="005713E8">
            <w:pPr>
              <w:rPr>
                <w:i/>
                <w:iCs/>
              </w:rPr>
            </w:pPr>
            <w:r>
              <w:rPr>
                <w:i/>
                <w:iCs/>
              </w:rPr>
              <w:t>Re-write the recommendation on automatic activation based on the current input for further discussion</w:t>
            </w:r>
          </w:p>
        </w:tc>
        <w:tc>
          <w:tcPr>
            <w:tcW w:w="836" w:type="dxa"/>
          </w:tcPr>
          <w:p w:rsidR="005713E8" w:rsidRDefault="005713E8" w:rsidP="005713E8">
            <w:r>
              <w:t>EC</w:t>
            </w:r>
          </w:p>
        </w:tc>
      </w:tr>
      <w:tr w:rsidR="00704767" w:rsidRPr="0083537E" w:rsidTr="001C698F">
        <w:tc>
          <w:tcPr>
            <w:tcW w:w="804" w:type="dxa"/>
          </w:tcPr>
          <w:p w:rsidR="00704767" w:rsidRPr="007A594A" w:rsidRDefault="00704767" w:rsidP="00704767">
            <w:r>
              <w:t>2</w:t>
            </w:r>
          </w:p>
        </w:tc>
        <w:tc>
          <w:tcPr>
            <w:tcW w:w="7710" w:type="dxa"/>
          </w:tcPr>
          <w:p w:rsidR="00704767" w:rsidRDefault="00704767" w:rsidP="00704767">
            <w:pPr>
              <w:rPr>
                <w:i/>
                <w:iCs/>
              </w:rPr>
            </w:pPr>
            <w:r>
              <w:rPr>
                <w:i/>
                <w:iCs/>
              </w:rPr>
              <w:t>Recommendation on grandfathering current registrations should be updated per the current discussion</w:t>
            </w:r>
          </w:p>
        </w:tc>
        <w:tc>
          <w:tcPr>
            <w:tcW w:w="836" w:type="dxa"/>
          </w:tcPr>
          <w:p w:rsidR="00704767" w:rsidRDefault="00704767" w:rsidP="00704767">
            <w:r>
              <w:t>KF</w:t>
            </w:r>
          </w:p>
        </w:tc>
      </w:tr>
      <w:tr w:rsidR="00704767" w:rsidRPr="0083537E" w:rsidTr="001C698F">
        <w:tc>
          <w:tcPr>
            <w:tcW w:w="804" w:type="dxa"/>
          </w:tcPr>
          <w:p w:rsidR="00704767" w:rsidRDefault="00704767" w:rsidP="00704767">
            <w:r>
              <w:t>3</w:t>
            </w:r>
          </w:p>
        </w:tc>
        <w:tc>
          <w:tcPr>
            <w:tcW w:w="7710" w:type="dxa"/>
          </w:tcPr>
          <w:p w:rsidR="00704767" w:rsidRPr="004C6C8C" w:rsidRDefault="00704767" w:rsidP="00704767">
            <w:pPr>
              <w:rPr>
                <w:i/>
                <w:iCs/>
              </w:rPr>
            </w:pPr>
            <w:r>
              <w:rPr>
                <w:i/>
                <w:iCs/>
              </w:rPr>
              <w:t>Update recommendation 5 from version 3.0 to include in the current version, to address the discussion on mingling scripts and removing the last sentence</w:t>
            </w:r>
          </w:p>
        </w:tc>
        <w:tc>
          <w:tcPr>
            <w:tcW w:w="836" w:type="dxa"/>
          </w:tcPr>
          <w:p w:rsidR="00704767" w:rsidRPr="004C6C8C" w:rsidRDefault="00704767" w:rsidP="00704767">
            <w:r>
              <w:t>MD</w:t>
            </w:r>
          </w:p>
        </w:tc>
      </w:tr>
      <w:tr w:rsidR="00704767" w:rsidRPr="0083537E" w:rsidTr="001C698F">
        <w:tc>
          <w:tcPr>
            <w:tcW w:w="804" w:type="dxa"/>
          </w:tcPr>
          <w:p w:rsidR="00704767" w:rsidRDefault="00704767" w:rsidP="00704767">
            <w:r>
              <w:t>4</w:t>
            </w:r>
          </w:p>
        </w:tc>
        <w:tc>
          <w:tcPr>
            <w:tcW w:w="7710" w:type="dxa"/>
          </w:tcPr>
          <w:p w:rsidR="00704767" w:rsidRDefault="00704767" w:rsidP="00704767">
            <w:pPr>
              <w:rPr>
                <w:i/>
                <w:iCs/>
              </w:rPr>
            </w:pPr>
            <w:r>
              <w:rPr>
                <w:i/>
                <w:iCs/>
              </w:rPr>
              <w:t>Update the recommendation on harmonization</w:t>
            </w:r>
            <w:r w:rsidR="00BA6580">
              <w:rPr>
                <w:i/>
                <w:iCs/>
              </w:rPr>
              <w:t xml:space="preserve"> of LGRs/IDN tables</w:t>
            </w:r>
            <w:r>
              <w:rPr>
                <w:i/>
                <w:iCs/>
              </w:rPr>
              <w:t xml:space="preserve"> for the registries</w:t>
            </w:r>
            <w:r w:rsidR="00BA6580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addressing the two use cases identified</w:t>
            </w:r>
          </w:p>
        </w:tc>
        <w:tc>
          <w:tcPr>
            <w:tcW w:w="836" w:type="dxa"/>
          </w:tcPr>
          <w:p w:rsidR="00704767" w:rsidRDefault="00704767" w:rsidP="00704767">
            <w:r>
              <w:t>DT</w:t>
            </w:r>
          </w:p>
        </w:tc>
      </w:tr>
    </w:tbl>
    <w:p w:rsidR="0072451D" w:rsidRDefault="0072451D" w:rsidP="00E209AC">
      <w:pPr>
        <w:pStyle w:val="ListParagraph"/>
      </w:pPr>
      <w:bookmarkStart w:id="0" w:name="_GoBack"/>
      <w:bookmarkEnd w:id="0"/>
    </w:p>
    <w:sectPr w:rsidR="007245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ED" w:rsidRDefault="009344ED" w:rsidP="00876CE6">
      <w:pPr>
        <w:spacing w:after="0" w:line="240" w:lineRule="auto"/>
      </w:pPr>
      <w:r>
        <w:separator/>
      </w:r>
    </w:p>
  </w:endnote>
  <w:endnote w:type="continuationSeparator" w:id="0">
    <w:p w:rsidR="009344ED" w:rsidRDefault="009344ED" w:rsidP="0087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260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25C" w:rsidRDefault="00F92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25C" w:rsidRDefault="00F92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ED" w:rsidRDefault="009344ED" w:rsidP="00876CE6">
      <w:pPr>
        <w:spacing w:after="0" w:line="240" w:lineRule="auto"/>
      </w:pPr>
      <w:r>
        <w:separator/>
      </w:r>
    </w:p>
  </w:footnote>
  <w:footnote w:type="continuationSeparator" w:id="0">
    <w:p w:rsidR="009344ED" w:rsidRDefault="009344ED" w:rsidP="0087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6E8"/>
    <w:multiLevelType w:val="hybridMultilevel"/>
    <w:tmpl w:val="3066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5FA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319A2"/>
    <w:multiLevelType w:val="hybridMultilevel"/>
    <w:tmpl w:val="690EDE1A"/>
    <w:lvl w:ilvl="0" w:tplc="21B22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225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A83CBC"/>
    <w:multiLevelType w:val="hybridMultilevel"/>
    <w:tmpl w:val="95FA4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5130B"/>
    <w:multiLevelType w:val="hybridMultilevel"/>
    <w:tmpl w:val="84FC4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E7147F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E47650"/>
    <w:multiLevelType w:val="hybridMultilevel"/>
    <w:tmpl w:val="6BCE2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17E22"/>
    <w:multiLevelType w:val="hybridMultilevel"/>
    <w:tmpl w:val="54EAE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85E74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F9678A"/>
    <w:multiLevelType w:val="hybridMultilevel"/>
    <w:tmpl w:val="337E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FA"/>
    <w:rsid w:val="00016ED8"/>
    <w:rsid w:val="00032989"/>
    <w:rsid w:val="00034369"/>
    <w:rsid w:val="000362B2"/>
    <w:rsid w:val="0004538E"/>
    <w:rsid w:val="000462EA"/>
    <w:rsid w:val="00057300"/>
    <w:rsid w:val="00065C6E"/>
    <w:rsid w:val="0006668D"/>
    <w:rsid w:val="00066D26"/>
    <w:rsid w:val="000670E2"/>
    <w:rsid w:val="00073921"/>
    <w:rsid w:val="00075303"/>
    <w:rsid w:val="0008294B"/>
    <w:rsid w:val="00084F0E"/>
    <w:rsid w:val="00096556"/>
    <w:rsid w:val="000A0618"/>
    <w:rsid w:val="000A4D1B"/>
    <w:rsid w:val="000A669F"/>
    <w:rsid w:val="000B0252"/>
    <w:rsid w:val="000B3659"/>
    <w:rsid w:val="000C12C1"/>
    <w:rsid w:val="000C61EE"/>
    <w:rsid w:val="000D427F"/>
    <w:rsid w:val="000D51AD"/>
    <w:rsid w:val="000E3879"/>
    <w:rsid w:val="000E47F2"/>
    <w:rsid w:val="000E5382"/>
    <w:rsid w:val="000F2DF0"/>
    <w:rsid w:val="000F5B02"/>
    <w:rsid w:val="000F732B"/>
    <w:rsid w:val="001006ED"/>
    <w:rsid w:val="00102FA3"/>
    <w:rsid w:val="00115AED"/>
    <w:rsid w:val="00142922"/>
    <w:rsid w:val="00143C59"/>
    <w:rsid w:val="00154E71"/>
    <w:rsid w:val="001868B9"/>
    <w:rsid w:val="001936C7"/>
    <w:rsid w:val="00193AA0"/>
    <w:rsid w:val="00197FCA"/>
    <w:rsid w:val="001A6A50"/>
    <w:rsid w:val="001C36C8"/>
    <w:rsid w:val="001D110A"/>
    <w:rsid w:val="001E56F8"/>
    <w:rsid w:val="001E60AB"/>
    <w:rsid w:val="001F15CB"/>
    <w:rsid w:val="001F5EB2"/>
    <w:rsid w:val="0020153D"/>
    <w:rsid w:val="00212600"/>
    <w:rsid w:val="0021486A"/>
    <w:rsid w:val="0022283C"/>
    <w:rsid w:val="00223EF8"/>
    <w:rsid w:val="002245AE"/>
    <w:rsid w:val="00241234"/>
    <w:rsid w:val="00243272"/>
    <w:rsid w:val="0024576E"/>
    <w:rsid w:val="00250359"/>
    <w:rsid w:val="0025498E"/>
    <w:rsid w:val="002648C2"/>
    <w:rsid w:val="002712E5"/>
    <w:rsid w:val="002773ED"/>
    <w:rsid w:val="002815ED"/>
    <w:rsid w:val="002A0BBE"/>
    <w:rsid w:val="002A3D56"/>
    <w:rsid w:val="002A7A6F"/>
    <w:rsid w:val="002B0AB0"/>
    <w:rsid w:val="002B55EC"/>
    <w:rsid w:val="002B61C9"/>
    <w:rsid w:val="002C1488"/>
    <w:rsid w:val="002D33E3"/>
    <w:rsid w:val="002D35E9"/>
    <w:rsid w:val="002E5A3D"/>
    <w:rsid w:val="002F09C3"/>
    <w:rsid w:val="002F0DF7"/>
    <w:rsid w:val="002F3131"/>
    <w:rsid w:val="002F7CAC"/>
    <w:rsid w:val="00307446"/>
    <w:rsid w:val="00310935"/>
    <w:rsid w:val="00313B48"/>
    <w:rsid w:val="00313B7B"/>
    <w:rsid w:val="00317820"/>
    <w:rsid w:val="0032286B"/>
    <w:rsid w:val="00326C70"/>
    <w:rsid w:val="0033160D"/>
    <w:rsid w:val="00331A0E"/>
    <w:rsid w:val="00333121"/>
    <w:rsid w:val="003421E2"/>
    <w:rsid w:val="00344A89"/>
    <w:rsid w:val="00350A9C"/>
    <w:rsid w:val="0035238F"/>
    <w:rsid w:val="00352635"/>
    <w:rsid w:val="00373A16"/>
    <w:rsid w:val="00383AE4"/>
    <w:rsid w:val="003864D8"/>
    <w:rsid w:val="003870BE"/>
    <w:rsid w:val="00397D1C"/>
    <w:rsid w:val="003A354F"/>
    <w:rsid w:val="003A437E"/>
    <w:rsid w:val="003A5A5E"/>
    <w:rsid w:val="003B2F9B"/>
    <w:rsid w:val="003B3FD3"/>
    <w:rsid w:val="003B7594"/>
    <w:rsid w:val="003C47C6"/>
    <w:rsid w:val="003D0519"/>
    <w:rsid w:val="003D1C6C"/>
    <w:rsid w:val="003D1E49"/>
    <w:rsid w:val="003D50DF"/>
    <w:rsid w:val="003E4628"/>
    <w:rsid w:val="003F0DC6"/>
    <w:rsid w:val="004044C6"/>
    <w:rsid w:val="00410A3C"/>
    <w:rsid w:val="00430C67"/>
    <w:rsid w:val="00442EF1"/>
    <w:rsid w:val="0044418C"/>
    <w:rsid w:val="00445115"/>
    <w:rsid w:val="00446290"/>
    <w:rsid w:val="00452BC3"/>
    <w:rsid w:val="00452DC7"/>
    <w:rsid w:val="00454CA4"/>
    <w:rsid w:val="00457464"/>
    <w:rsid w:val="00461FDD"/>
    <w:rsid w:val="0047036F"/>
    <w:rsid w:val="0047143E"/>
    <w:rsid w:val="00474E79"/>
    <w:rsid w:val="00481CC8"/>
    <w:rsid w:val="00486FA2"/>
    <w:rsid w:val="00492DF1"/>
    <w:rsid w:val="0049346E"/>
    <w:rsid w:val="00493A89"/>
    <w:rsid w:val="004A578F"/>
    <w:rsid w:val="004B19B3"/>
    <w:rsid w:val="004B4A8A"/>
    <w:rsid w:val="004C3A84"/>
    <w:rsid w:val="004C3ADC"/>
    <w:rsid w:val="004C566B"/>
    <w:rsid w:val="004C5F72"/>
    <w:rsid w:val="004C6C8C"/>
    <w:rsid w:val="004D242C"/>
    <w:rsid w:val="004D5A6B"/>
    <w:rsid w:val="004D71CD"/>
    <w:rsid w:val="004D734C"/>
    <w:rsid w:val="004E1C2C"/>
    <w:rsid w:val="004E6F2C"/>
    <w:rsid w:val="00511E91"/>
    <w:rsid w:val="0051491F"/>
    <w:rsid w:val="00515637"/>
    <w:rsid w:val="0052290D"/>
    <w:rsid w:val="00531DC0"/>
    <w:rsid w:val="00532F11"/>
    <w:rsid w:val="00535003"/>
    <w:rsid w:val="005369EC"/>
    <w:rsid w:val="005544E5"/>
    <w:rsid w:val="00565D7C"/>
    <w:rsid w:val="005662B9"/>
    <w:rsid w:val="0056656B"/>
    <w:rsid w:val="005713E8"/>
    <w:rsid w:val="00596BF1"/>
    <w:rsid w:val="005B35C3"/>
    <w:rsid w:val="005B6815"/>
    <w:rsid w:val="005C2B21"/>
    <w:rsid w:val="005C3115"/>
    <w:rsid w:val="005C3972"/>
    <w:rsid w:val="005D4028"/>
    <w:rsid w:val="005D4CD7"/>
    <w:rsid w:val="005E1272"/>
    <w:rsid w:val="005F488B"/>
    <w:rsid w:val="00602121"/>
    <w:rsid w:val="006027AC"/>
    <w:rsid w:val="006030AF"/>
    <w:rsid w:val="0061064A"/>
    <w:rsid w:val="0063564E"/>
    <w:rsid w:val="00636F7A"/>
    <w:rsid w:val="0066220B"/>
    <w:rsid w:val="006661AE"/>
    <w:rsid w:val="0067351E"/>
    <w:rsid w:val="00674402"/>
    <w:rsid w:val="0068668D"/>
    <w:rsid w:val="00687C8F"/>
    <w:rsid w:val="00696C91"/>
    <w:rsid w:val="006A00A3"/>
    <w:rsid w:val="006A2E71"/>
    <w:rsid w:val="006B1EE4"/>
    <w:rsid w:val="006B68DD"/>
    <w:rsid w:val="006B7655"/>
    <w:rsid w:val="006C0D8D"/>
    <w:rsid w:val="006D29E8"/>
    <w:rsid w:val="006D56E5"/>
    <w:rsid w:val="006E1C49"/>
    <w:rsid w:val="006E37D0"/>
    <w:rsid w:val="006F17D2"/>
    <w:rsid w:val="007026D2"/>
    <w:rsid w:val="00704767"/>
    <w:rsid w:val="007068CB"/>
    <w:rsid w:val="007100C7"/>
    <w:rsid w:val="00712F1A"/>
    <w:rsid w:val="0071526E"/>
    <w:rsid w:val="0072451D"/>
    <w:rsid w:val="00724F07"/>
    <w:rsid w:val="00731C46"/>
    <w:rsid w:val="00736A05"/>
    <w:rsid w:val="00741271"/>
    <w:rsid w:val="007464EC"/>
    <w:rsid w:val="00757743"/>
    <w:rsid w:val="00764EC7"/>
    <w:rsid w:val="00770EEA"/>
    <w:rsid w:val="00775D67"/>
    <w:rsid w:val="00776A45"/>
    <w:rsid w:val="007816A6"/>
    <w:rsid w:val="00786384"/>
    <w:rsid w:val="007945CA"/>
    <w:rsid w:val="007A3B34"/>
    <w:rsid w:val="007A4EA1"/>
    <w:rsid w:val="007A594A"/>
    <w:rsid w:val="007C1A9C"/>
    <w:rsid w:val="007C1C4A"/>
    <w:rsid w:val="007C3BB9"/>
    <w:rsid w:val="007C74C8"/>
    <w:rsid w:val="007E3472"/>
    <w:rsid w:val="007E6AF4"/>
    <w:rsid w:val="007F4307"/>
    <w:rsid w:val="007F67B0"/>
    <w:rsid w:val="007F69F9"/>
    <w:rsid w:val="00800132"/>
    <w:rsid w:val="0080118F"/>
    <w:rsid w:val="00802DAB"/>
    <w:rsid w:val="00806706"/>
    <w:rsid w:val="0080673C"/>
    <w:rsid w:val="00825EB0"/>
    <w:rsid w:val="00827EC1"/>
    <w:rsid w:val="0083537E"/>
    <w:rsid w:val="008458F8"/>
    <w:rsid w:val="00846081"/>
    <w:rsid w:val="008474EB"/>
    <w:rsid w:val="0085079E"/>
    <w:rsid w:val="0085120F"/>
    <w:rsid w:val="00863ADD"/>
    <w:rsid w:val="00874D72"/>
    <w:rsid w:val="00876CE6"/>
    <w:rsid w:val="00880346"/>
    <w:rsid w:val="0089081A"/>
    <w:rsid w:val="008A4E79"/>
    <w:rsid w:val="008A5D19"/>
    <w:rsid w:val="008A7140"/>
    <w:rsid w:val="008C1C19"/>
    <w:rsid w:val="008C711B"/>
    <w:rsid w:val="008D3BFD"/>
    <w:rsid w:val="008D53DB"/>
    <w:rsid w:val="00904609"/>
    <w:rsid w:val="00912BE5"/>
    <w:rsid w:val="00915B26"/>
    <w:rsid w:val="00921B50"/>
    <w:rsid w:val="00921E47"/>
    <w:rsid w:val="00923BE8"/>
    <w:rsid w:val="00930A97"/>
    <w:rsid w:val="009344ED"/>
    <w:rsid w:val="00934E8D"/>
    <w:rsid w:val="0095743A"/>
    <w:rsid w:val="0096217F"/>
    <w:rsid w:val="00964AAB"/>
    <w:rsid w:val="00971DFA"/>
    <w:rsid w:val="009757CD"/>
    <w:rsid w:val="00981A07"/>
    <w:rsid w:val="00987022"/>
    <w:rsid w:val="009902ED"/>
    <w:rsid w:val="009A7919"/>
    <w:rsid w:val="009C41AA"/>
    <w:rsid w:val="009C5C1A"/>
    <w:rsid w:val="009D4314"/>
    <w:rsid w:val="009D556D"/>
    <w:rsid w:val="009F68F0"/>
    <w:rsid w:val="00A00CCA"/>
    <w:rsid w:val="00A0546C"/>
    <w:rsid w:val="00A11ACF"/>
    <w:rsid w:val="00A17EDE"/>
    <w:rsid w:val="00A316DE"/>
    <w:rsid w:val="00A5732B"/>
    <w:rsid w:val="00A61780"/>
    <w:rsid w:val="00A6436C"/>
    <w:rsid w:val="00A6678E"/>
    <w:rsid w:val="00A73ED4"/>
    <w:rsid w:val="00A7740D"/>
    <w:rsid w:val="00AA1F90"/>
    <w:rsid w:val="00AD0082"/>
    <w:rsid w:val="00AD157C"/>
    <w:rsid w:val="00AD4FEC"/>
    <w:rsid w:val="00AD7D6B"/>
    <w:rsid w:val="00AE389B"/>
    <w:rsid w:val="00AE5B0B"/>
    <w:rsid w:val="00AF68D4"/>
    <w:rsid w:val="00B00884"/>
    <w:rsid w:val="00B02826"/>
    <w:rsid w:val="00B10002"/>
    <w:rsid w:val="00B14B5B"/>
    <w:rsid w:val="00B310B0"/>
    <w:rsid w:val="00B33490"/>
    <w:rsid w:val="00B335FD"/>
    <w:rsid w:val="00B41638"/>
    <w:rsid w:val="00B508DA"/>
    <w:rsid w:val="00B53A1F"/>
    <w:rsid w:val="00B57C5A"/>
    <w:rsid w:val="00B61D6B"/>
    <w:rsid w:val="00B6339C"/>
    <w:rsid w:val="00B747A9"/>
    <w:rsid w:val="00B86BD4"/>
    <w:rsid w:val="00BA491F"/>
    <w:rsid w:val="00BA6580"/>
    <w:rsid w:val="00BC1169"/>
    <w:rsid w:val="00BC4D46"/>
    <w:rsid w:val="00BC4E4A"/>
    <w:rsid w:val="00BD7190"/>
    <w:rsid w:val="00BF038D"/>
    <w:rsid w:val="00BF175D"/>
    <w:rsid w:val="00BF7EBE"/>
    <w:rsid w:val="00C0527D"/>
    <w:rsid w:val="00C05501"/>
    <w:rsid w:val="00C067F5"/>
    <w:rsid w:val="00C12F52"/>
    <w:rsid w:val="00C213E9"/>
    <w:rsid w:val="00C438BD"/>
    <w:rsid w:val="00C644D6"/>
    <w:rsid w:val="00C66ACE"/>
    <w:rsid w:val="00C84A62"/>
    <w:rsid w:val="00C853FD"/>
    <w:rsid w:val="00C85E99"/>
    <w:rsid w:val="00C921FC"/>
    <w:rsid w:val="00C92DF4"/>
    <w:rsid w:val="00C93BFD"/>
    <w:rsid w:val="00C97798"/>
    <w:rsid w:val="00CB0F4A"/>
    <w:rsid w:val="00CB3155"/>
    <w:rsid w:val="00CB4222"/>
    <w:rsid w:val="00CC5A4E"/>
    <w:rsid w:val="00CD693F"/>
    <w:rsid w:val="00CE15DD"/>
    <w:rsid w:val="00CF4B0B"/>
    <w:rsid w:val="00CF52B0"/>
    <w:rsid w:val="00CF58FB"/>
    <w:rsid w:val="00CF74B5"/>
    <w:rsid w:val="00D0191F"/>
    <w:rsid w:val="00D04831"/>
    <w:rsid w:val="00D056A3"/>
    <w:rsid w:val="00D15A8C"/>
    <w:rsid w:val="00D17F68"/>
    <w:rsid w:val="00D24655"/>
    <w:rsid w:val="00D24A2C"/>
    <w:rsid w:val="00D3016D"/>
    <w:rsid w:val="00D335E2"/>
    <w:rsid w:val="00D33720"/>
    <w:rsid w:val="00D36C5A"/>
    <w:rsid w:val="00D36EAA"/>
    <w:rsid w:val="00D405A8"/>
    <w:rsid w:val="00D53964"/>
    <w:rsid w:val="00D70363"/>
    <w:rsid w:val="00D72609"/>
    <w:rsid w:val="00D74068"/>
    <w:rsid w:val="00D81089"/>
    <w:rsid w:val="00D860E6"/>
    <w:rsid w:val="00D91C03"/>
    <w:rsid w:val="00D92726"/>
    <w:rsid w:val="00D92C70"/>
    <w:rsid w:val="00D94224"/>
    <w:rsid w:val="00DA77FB"/>
    <w:rsid w:val="00DB0CD5"/>
    <w:rsid w:val="00DB14F7"/>
    <w:rsid w:val="00DC3BEB"/>
    <w:rsid w:val="00DC5B96"/>
    <w:rsid w:val="00DC7261"/>
    <w:rsid w:val="00DD2DA3"/>
    <w:rsid w:val="00DD4BC4"/>
    <w:rsid w:val="00DE50ED"/>
    <w:rsid w:val="00DF1470"/>
    <w:rsid w:val="00DF3CBA"/>
    <w:rsid w:val="00DF74FC"/>
    <w:rsid w:val="00E02C98"/>
    <w:rsid w:val="00E04C4E"/>
    <w:rsid w:val="00E114AB"/>
    <w:rsid w:val="00E12D7E"/>
    <w:rsid w:val="00E1488F"/>
    <w:rsid w:val="00E209AC"/>
    <w:rsid w:val="00E30607"/>
    <w:rsid w:val="00E34B91"/>
    <w:rsid w:val="00E4365A"/>
    <w:rsid w:val="00E44242"/>
    <w:rsid w:val="00E51A12"/>
    <w:rsid w:val="00E53687"/>
    <w:rsid w:val="00E6162C"/>
    <w:rsid w:val="00E61F09"/>
    <w:rsid w:val="00E7535E"/>
    <w:rsid w:val="00E80306"/>
    <w:rsid w:val="00E857A8"/>
    <w:rsid w:val="00E90C27"/>
    <w:rsid w:val="00EA1AD4"/>
    <w:rsid w:val="00EA3B0A"/>
    <w:rsid w:val="00EB4C09"/>
    <w:rsid w:val="00EB5AC2"/>
    <w:rsid w:val="00EC0AC6"/>
    <w:rsid w:val="00EC12BC"/>
    <w:rsid w:val="00EC279C"/>
    <w:rsid w:val="00ED2B41"/>
    <w:rsid w:val="00EE05D0"/>
    <w:rsid w:val="00F006D0"/>
    <w:rsid w:val="00F009FE"/>
    <w:rsid w:val="00F00A44"/>
    <w:rsid w:val="00F012E3"/>
    <w:rsid w:val="00F04826"/>
    <w:rsid w:val="00F07BF4"/>
    <w:rsid w:val="00F102E7"/>
    <w:rsid w:val="00F159EE"/>
    <w:rsid w:val="00F24DCB"/>
    <w:rsid w:val="00F265D7"/>
    <w:rsid w:val="00F317D4"/>
    <w:rsid w:val="00F32A4D"/>
    <w:rsid w:val="00F37D68"/>
    <w:rsid w:val="00F40C5A"/>
    <w:rsid w:val="00F53497"/>
    <w:rsid w:val="00F6532A"/>
    <w:rsid w:val="00F65D4A"/>
    <w:rsid w:val="00F71422"/>
    <w:rsid w:val="00F75FF6"/>
    <w:rsid w:val="00F80685"/>
    <w:rsid w:val="00F82306"/>
    <w:rsid w:val="00F90064"/>
    <w:rsid w:val="00F9225C"/>
    <w:rsid w:val="00F97EED"/>
    <w:rsid w:val="00FB5032"/>
    <w:rsid w:val="00FB69FB"/>
    <w:rsid w:val="00FB6D2B"/>
    <w:rsid w:val="00FC1185"/>
    <w:rsid w:val="00FC2C3B"/>
    <w:rsid w:val="00FC3DC2"/>
    <w:rsid w:val="00FD1916"/>
    <w:rsid w:val="00FE0C6F"/>
    <w:rsid w:val="00FE4ABA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349C-B34C-464C-8788-1A38E3D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C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C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C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ED"/>
  </w:style>
  <w:style w:type="paragraph" w:styleId="Footer">
    <w:name w:val="footer"/>
    <w:basedOn w:val="Normal"/>
    <w:link w:val="FooterChar"/>
    <w:uiPriority w:val="99"/>
    <w:unhideWhenUsed/>
    <w:rsid w:val="00F9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A1B5-C7E2-4427-A19A-6028F6E3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Hussain</dc:creator>
  <cp:lastModifiedBy>Sarmad Hussain</cp:lastModifiedBy>
  <cp:revision>109</cp:revision>
  <cp:lastPrinted>2016-12-10T19:59:00Z</cp:lastPrinted>
  <dcterms:created xsi:type="dcterms:W3CDTF">2016-04-22T09:10:00Z</dcterms:created>
  <dcterms:modified xsi:type="dcterms:W3CDTF">2016-12-23T13:10:00Z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