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780" w:rsidRPr="00F75FF6" w:rsidRDefault="00A61780" w:rsidP="00A61780">
      <w:pPr>
        <w:rPr>
          <w:b/>
          <w:bCs/>
          <w:color w:val="000000" w:themeColor="text1"/>
        </w:rPr>
      </w:pPr>
      <w:r w:rsidRPr="00F75FF6">
        <w:rPr>
          <w:b/>
          <w:bCs/>
          <w:color w:val="000000" w:themeColor="text1"/>
        </w:rPr>
        <w:t>IDN Implementation Guidelines (IDNG) Working Group (WG)</w:t>
      </w:r>
    </w:p>
    <w:p w:rsidR="00A61780" w:rsidRPr="00F75FF6" w:rsidRDefault="00A61780" w:rsidP="00CA2957">
      <w:pPr>
        <w:rPr>
          <w:b/>
          <w:bCs/>
          <w:color w:val="000000" w:themeColor="text1"/>
        </w:rPr>
      </w:pPr>
      <w:r w:rsidRPr="00F75FF6">
        <w:rPr>
          <w:b/>
          <w:bCs/>
          <w:color w:val="000000" w:themeColor="text1"/>
        </w:rPr>
        <w:t xml:space="preserve">Notes from Meeting on </w:t>
      </w:r>
      <w:r w:rsidR="006D73E9">
        <w:rPr>
          <w:b/>
          <w:bCs/>
          <w:color w:val="000000" w:themeColor="text1"/>
        </w:rPr>
        <w:t>1</w:t>
      </w:r>
      <w:r w:rsidR="00CA2957">
        <w:rPr>
          <w:b/>
          <w:bCs/>
          <w:color w:val="000000" w:themeColor="text1"/>
        </w:rPr>
        <w:t xml:space="preserve"> </w:t>
      </w:r>
      <w:r w:rsidR="006D73E9">
        <w:rPr>
          <w:b/>
          <w:bCs/>
          <w:color w:val="000000" w:themeColor="text1"/>
        </w:rPr>
        <w:t>June</w:t>
      </w:r>
      <w:r w:rsidR="00F04826">
        <w:rPr>
          <w:b/>
          <w:bCs/>
          <w:color w:val="000000" w:themeColor="text1"/>
        </w:rPr>
        <w:t>,</w:t>
      </w:r>
      <w:r w:rsidRPr="00F75FF6">
        <w:rPr>
          <w:b/>
          <w:bCs/>
          <w:color w:val="000000" w:themeColor="text1"/>
        </w:rPr>
        <w:t xml:space="preserve"> 201</w:t>
      </w:r>
      <w:r w:rsidR="00BD769C">
        <w:rPr>
          <w:b/>
          <w:bCs/>
          <w:color w:val="000000" w:themeColor="text1"/>
        </w:rPr>
        <w:t>7</w:t>
      </w:r>
    </w:p>
    <w:p w:rsidR="00B6339C" w:rsidRPr="00F75FF6" w:rsidRDefault="007100C7" w:rsidP="00A61780">
      <w:pPr>
        <w:rPr>
          <w:color w:val="000000" w:themeColor="text1"/>
          <w:u w:val="single"/>
        </w:rPr>
      </w:pPr>
      <w:r w:rsidRPr="00F75FF6">
        <w:rPr>
          <w:color w:val="000000" w:themeColor="text1"/>
          <w:u w:val="single"/>
        </w:rPr>
        <w:t>Meeting Attendees</w:t>
      </w:r>
      <w:r w:rsidR="00387776">
        <w:rPr>
          <w:color w:val="000000" w:themeColor="text1"/>
          <w:u w:val="single"/>
        </w:rPr>
        <w:t xml:space="preserve"> </w:t>
      </w:r>
      <w:r w:rsidR="009757CD" w:rsidRPr="00F75FF6">
        <w:rPr>
          <w:color w:val="000000" w:themeColor="text1"/>
        </w:rPr>
        <w:t>(in alphabetical order)</w:t>
      </w:r>
    </w:p>
    <w:p w:rsidR="00A61780" w:rsidRPr="00F75FF6" w:rsidRDefault="007E6AF4" w:rsidP="00E209AC">
      <w:pPr>
        <w:spacing w:after="0"/>
        <w:rPr>
          <w:color w:val="000000" w:themeColor="text1"/>
        </w:rPr>
      </w:pPr>
      <w:r w:rsidRPr="00F75FF6">
        <w:rPr>
          <w:color w:val="000000" w:themeColor="text1"/>
        </w:rPr>
        <w:tab/>
      </w:r>
      <w:r w:rsidR="00AA1F90" w:rsidRPr="00F75FF6">
        <w:rPr>
          <w:color w:val="000000" w:themeColor="text1"/>
        </w:rPr>
        <w:t>WG</w:t>
      </w:r>
      <w:r w:rsidR="00B6339C" w:rsidRPr="00F75FF6">
        <w:rPr>
          <w:color w:val="000000" w:themeColor="text1"/>
        </w:rPr>
        <w:t xml:space="preserve"> members</w:t>
      </w:r>
      <w:r w:rsidR="007100C7" w:rsidRPr="00F75FF6">
        <w:rPr>
          <w:color w:val="000000" w:themeColor="text1"/>
        </w:rPr>
        <w:t>:</w:t>
      </w:r>
    </w:p>
    <w:p w:rsidR="006D73E9" w:rsidRDefault="006D73E9" w:rsidP="00F147AF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Edmon Chung</w:t>
      </w:r>
    </w:p>
    <w:p w:rsidR="00F147AF" w:rsidRDefault="00F147AF" w:rsidP="00F147AF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Dennis Tanaka</w:t>
      </w:r>
    </w:p>
    <w:p w:rsidR="006D73E9" w:rsidRDefault="006D73E9" w:rsidP="00387776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Kal Feher</w:t>
      </w:r>
    </w:p>
    <w:p w:rsidR="00387776" w:rsidRDefault="00387776" w:rsidP="00387776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Mats Dufberg</w:t>
      </w:r>
    </w:p>
    <w:p w:rsidR="00AA1F90" w:rsidRPr="00F75FF6" w:rsidRDefault="007E6AF4" w:rsidP="00AA1F90">
      <w:pPr>
        <w:pStyle w:val="ListParagraph"/>
        <w:ind w:left="0"/>
        <w:rPr>
          <w:color w:val="000000" w:themeColor="text1"/>
        </w:rPr>
      </w:pPr>
      <w:r w:rsidRPr="00F75FF6">
        <w:rPr>
          <w:color w:val="000000" w:themeColor="text1"/>
        </w:rPr>
        <w:tab/>
        <w:t>Staff</w:t>
      </w:r>
      <w:r w:rsidR="007100C7" w:rsidRPr="00F75FF6">
        <w:rPr>
          <w:color w:val="000000" w:themeColor="text1"/>
        </w:rPr>
        <w:t>:</w:t>
      </w:r>
    </w:p>
    <w:p w:rsidR="00073921" w:rsidRPr="00F75FF6" w:rsidRDefault="00AA1F90" w:rsidP="0033160D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F75FF6">
        <w:rPr>
          <w:color w:val="000000" w:themeColor="text1"/>
        </w:rPr>
        <w:t xml:space="preserve">Sarmad Hussain </w:t>
      </w:r>
    </w:p>
    <w:p w:rsidR="00A61780" w:rsidRDefault="007100C7" w:rsidP="00A61780">
      <w:pPr>
        <w:rPr>
          <w:color w:val="000000" w:themeColor="text1"/>
          <w:u w:val="single"/>
        </w:rPr>
      </w:pPr>
      <w:r w:rsidRPr="00F75FF6">
        <w:rPr>
          <w:color w:val="000000" w:themeColor="text1"/>
          <w:u w:val="single"/>
        </w:rPr>
        <w:t>Meeting Notes</w:t>
      </w:r>
    </w:p>
    <w:p w:rsidR="009D4314" w:rsidRPr="009D4314" w:rsidRDefault="009D4314" w:rsidP="00BD769C">
      <w:pPr>
        <w:rPr>
          <w:color w:val="000000" w:themeColor="text1"/>
        </w:rPr>
      </w:pPr>
      <w:r>
        <w:rPr>
          <w:color w:val="000000" w:themeColor="text1"/>
        </w:rPr>
        <w:t xml:space="preserve">The WG members </w:t>
      </w:r>
      <w:r w:rsidR="00E54F2C">
        <w:rPr>
          <w:color w:val="000000" w:themeColor="text1"/>
        </w:rPr>
        <w:t>continued to discuss</w:t>
      </w:r>
      <w:r w:rsidR="00387776">
        <w:rPr>
          <w:color w:val="000000" w:themeColor="text1"/>
        </w:rPr>
        <w:t xml:space="preserve"> the public comments received, based on the PC summary circulated to the WG members</w:t>
      </w:r>
      <w:r w:rsidR="009C5C1A" w:rsidRPr="009C5C1A">
        <w:rPr>
          <w:color w:val="000000" w:themeColor="text1"/>
        </w:rPr>
        <w:t>.</w:t>
      </w:r>
    </w:p>
    <w:p w:rsidR="00B96461" w:rsidRPr="006D73E9" w:rsidRDefault="00E91BAA" w:rsidP="006D73E9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Comments</w:t>
      </w:r>
      <w:r w:rsidR="00E54F2C">
        <w:rPr>
          <w:b/>
          <w:bCs/>
          <w:color w:val="000000" w:themeColor="text1"/>
        </w:rPr>
        <w:t xml:space="preserve"> O-X1 - O-X3.  </w:t>
      </w:r>
      <w:r w:rsidR="00E54F2C">
        <w:rPr>
          <w:color w:val="000000" w:themeColor="text1"/>
        </w:rPr>
        <w:t xml:space="preserve"> </w:t>
      </w:r>
      <w:r w:rsidR="006D73E9">
        <w:rPr>
          <w:color w:val="000000" w:themeColor="text1"/>
        </w:rPr>
        <w:t>The WG decided to par</w:t>
      </w:r>
      <w:r w:rsidR="00C2787A">
        <w:rPr>
          <w:color w:val="000000" w:themeColor="text1"/>
        </w:rPr>
        <w:t>k</w:t>
      </w:r>
      <w:r w:rsidR="006D73E9">
        <w:rPr>
          <w:color w:val="000000" w:themeColor="text1"/>
        </w:rPr>
        <w:t xml:space="preserve"> these points and come back to them later, after reviewing other comments.</w:t>
      </w:r>
      <w:r w:rsidR="00E452D2" w:rsidRPr="006D73E9">
        <w:rPr>
          <w:bCs/>
        </w:rPr>
        <w:t xml:space="preserve"> </w:t>
      </w:r>
    </w:p>
    <w:p w:rsidR="00AD0647" w:rsidRDefault="00AD0647" w:rsidP="00AD0647">
      <w:pPr>
        <w:pStyle w:val="ListParagraph"/>
        <w:rPr>
          <w:bCs/>
        </w:rPr>
      </w:pPr>
    </w:p>
    <w:p w:rsidR="00AD0647" w:rsidRPr="00AD0647" w:rsidRDefault="00AD0647" w:rsidP="00A1512A">
      <w:pPr>
        <w:pStyle w:val="ListParagraph"/>
        <w:numPr>
          <w:ilvl w:val="0"/>
          <w:numId w:val="1"/>
        </w:numPr>
        <w:rPr>
          <w:b/>
        </w:rPr>
      </w:pPr>
      <w:r w:rsidRPr="00AD0647">
        <w:rPr>
          <w:b/>
        </w:rPr>
        <w:t xml:space="preserve">Comment IAB2. </w:t>
      </w:r>
      <w:r>
        <w:rPr>
          <w:bCs/>
        </w:rPr>
        <w:t>It was discussed that this remark supports the WG recommendations and no further action is needed.</w:t>
      </w:r>
    </w:p>
    <w:p w:rsidR="00AD0647" w:rsidRPr="00AD0647" w:rsidRDefault="00AD0647" w:rsidP="00AD0647">
      <w:pPr>
        <w:pStyle w:val="ListParagraph"/>
        <w:rPr>
          <w:b/>
        </w:rPr>
      </w:pPr>
    </w:p>
    <w:p w:rsidR="00AD0647" w:rsidRPr="00AD0647" w:rsidRDefault="00AD0647" w:rsidP="00A1512A">
      <w:pPr>
        <w:pStyle w:val="ListParagraph"/>
        <w:numPr>
          <w:ilvl w:val="0"/>
          <w:numId w:val="1"/>
        </w:numPr>
        <w:rPr>
          <w:b/>
        </w:rPr>
      </w:pPr>
      <w:r w:rsidRPr="00AD0647">
        <w:rPr>
          <w:b/>
        </w:rPr>
        <w:t>Comment IAB</w:t>
      </w:r>
      <w:r>
        <w:rPr>
          <w:b/>
        </w:rPr>
        <w:t>3</w:t>
      </w:r>
      <w:r w:rsidRPr="00AD0647">
        <w:rPr>
          <w:b/>
        </w:rPr>
        <w:t xml:space="preserve">. </w:t>
      </w:r>
      <w:r>
        <w:rPr>
          <w:bCs/>
        </w:rPr>
        <w:t xml:space="preserve">WG discussed </w:t>
      </w:r>
      <w:r w:rsidR="00C2787A">
        <w:rPr>
          <w:bCs/>
        </w:rPr>
        <w:t>it was</w:t>
      </w:r>
      <w:r>
        <w:rPr>
          <w:bCs/>
        </w:rPr>
        <w:t xml:space="preserve"> not clear what IAB meant as the comment spans six different guidelines.  </w:t>
      </w:r>
      <w:r w:rsidR="006D73E9">
        <w:rPr>
          <w:bCs/>
        </w:rPr>
        <w:t xml:space="preserve">It was suggested that IAB3 is asking to make a general statement, but it may be better to not include general </w:t>
      </w:r>
      <w:r w:rsidR="00235D1C">
        <w:rPr>
          <w:bCs/>
        </w:rPr>
        <w:t xml:space="preserve">and guiding </w:t>
      </w:r>
      <w:r w:rsidR="006D73E9">
        <w:rPr>
          <w:bCs/>
        </w:rPr>
        <w:t>statements</w:t>
      </w:r>
      <w:r w:rsidR="00235D1C">
        <w:rPr>
          <w:bCs/>
        </w:rPr>
        <w:t xml:space="preserve"> because </w:t>
      </w:r>
      <w:r w:rsidR="00C2787A">
        <w:rPr>
          <w:bCs/>
        </w:rPr>
        <w:t>such statements are not actionable for the</w:t>
      </w:r>
      <w:r w:rsidR="00235D1C">
        <w:rPr>
          <w:bCs/>
        </w:rPr>
        <w:t xml:space="preserve"> contracted parties </w:t>
      </w:r>
      <w:r w:rsidR="00C2787A">
        <w:rPr>
          <w:bCs/>
        </w:rPr>
        <w:t xml:space="preserve">which </w:t>
      </w:r>
      <w:proofErr w:type="gramStart"/>
      <w:r w:rsidR="00235D1C">
        <w:rPr>
          <w:bCs/>
        </w:rPr>
        <w:t>have to</w:t>
      </w:r>
      <w:proofErr w:type="gramEnd"/>
      <w:r w:rsidR="00235D1C">
        <w:rPr>
          <w:bCs/>
        </w:rPr>
        <w:t xml:space="preserve"> comply with</w:t>
      </w:r>
      <w:r w:rsidR="00C2787A">
        <w:rPr>
          <w:bCs/>
        </w:rPr>
        <w:t xml:space="preserve"> these guidelines</w:t>
      </w:r>
      <w:r w:rsidR="006D73E9">
        <w:rPr>
          <w:bCs/>
        </w:rPr>
        <w:t xml:space="preserve">.  </w:t>
      </w:r>
      <w:r w:rsidR="00235D1C">
        <w:rPr>
          <w:bCs/>
        </w:rPr>
        <w:t xml:space="preserve">It was suggested to follow up with IAB for further clarification.  It was also summarized that the comment is generally supportive of the recommendations by the WG.  </w:t>
      </w:r>
    </w:p>
    <w:p w:rsidR="00AD0647" w:rsidRPr="00AD0647" w:rsidRDefault="00AD0647" w:rsidP="00AD0647">
      <w:pPr>
        <w:pStyle w:val="ListParagraph"/>
        <w:rPr>
          <w:b/>
        </w:rPr>
      </w:pPr>
    </w:p>
    <w:p w:rsidR="00CA05BC" w:rsidRPr="003A0488" w:rsidRDefault="00AD0647" w:rsidP="00CA05BC">
      <w:pPr>
        <w:pStyle w:val="ListParagraph"/>
        <w:numPr>
          <w:ilvl w:val="0"/>
          <w:numId w:val="1"/>
        </w:numPr>
        <w:rPr>
          <w:b/>
        </w:rPr>
      </w:pPr>
      <w:r w:rsidRPr="00AD0647">
        <w:rPr>
          <w:b/>
        </w:rPr>
        <w:t>Comment IAB</w:t>
      </w:r>
      <w:r>
        <w:rPr>
          <w:b/>
        </w:rPr>
        <w:t>4</w:t>
      </w:r>
      <w:r w:rsidRPr="00AD0647">
        <w:rPr>
          <w:b/>
        </w:rPr>
        <w:t xml:space="preserve">. </w:t>
      </w:r>
      <w:r w:rsidR="00235D1C">
        <w:rPr>
          <w:bCs/>
        </w:rPr>
        <w:t xml:space="preserve">It was </w:t>
      </w:r>
      <w:r w:rsidR="00C2787A">
        <w:rPr>
          <w:bCs/>
        </w:rPr>
        <w:t>suggested</w:t>
      </w:r>
      <w:r w:rsidR="00235D1C">
        <w:rPr>
          <w:bCs/>
        </w:rPr>
        <w:t xml:space="preserve"> that the last paragraph be combined</w:t>
      </w:r>
      <w:r w:rsidR="00C2787A">
        <w:rPr>
          <w:bCs/>
        </w:rPr>
        <w:t xml:space="preserve"> with the previous one</w:t>
      </w:r>
      <w:r w:rsidR="00235D1C">
        <w:rPr>
          <w:bCs/>
        </w:rPr>
        <w:t xml:space="preserve">.  It was brought up the recommendation 13 is very long and needs to be </w:t>
      </w:r>
      <w:r w:rsidR="00C2787A">
        <w:rPr>
          <w:bCs/>
        </w:rPr>
        <w:t>reviewed</w:t>
      </w:r>
      <w:r w:rsidR="00235D1C">
        <w:rPr>
          <w:bCs/>
        </w:rPr>
        <w:t xml:space="preserve">.  </w:t>
      </w:r>
      <w:r w:rsidR="003A0488">
        <w:rPr>
          <w:bCs/>
        </w:rPr>
        <w:t xml:space="preserve">Other option would be to </w:t>
      </w:r>
      <w:r w:rsidR="00C2787A">
        <w:rPr>
          <w:bCs/>
        </w:rPr>
        <w:t>delete</w:t>
      </w:r>
      <w:r w:rsidR="003A0488">
        <w:rPr>
          <w:bCs/>
        </w:rPr>
        <w:t xml:space="preserve"> the last paragraph.  WG was reminded that the extra text was included to ensure that a conservative view is taken for registry side activation.  It was shared that if the </w:t>
      </w:r>
      <w:r w:rsidR="00C2787A">
        <w:rPr>
          <w:bCs/>
        </w:rPr>
        <w:t>reference text is</w:t>
      </w:r>
      <w:r w:rsidR="003A0488">
        <w:rPr>
          <w:bCs/>
        </w:rPr>
        <w:t xml:space="preserve"> to be included, it </w:t>
      </w:r>
      <w:r w:rsidR="00C2787A">
        <w:rPr>
          <w:bCs/>
        </w:rPr>
        <w:t xml:space="preserve">is better that it </w:t>
      </w:r>
      <w:proofErr w:type="gramStart"/>
      <w:r w:rsidR="00C2787A">
        <w:rPr>
          <w:bCs/>
        </w:rPr>
        <w:t>point</w:t>
      </w:r>
      <w:proofErr w:type="gramEnd"/>
      <w:r w:rsidR="00C2787A">
        <w:rPr>
          <w:bCs/>
        </w:rPr>
        <w:t xml:space="preserve"> to specific sections in documents.</w:t>
      </w:r>
      <w:r w:rsidR="003A0488">
        <w:rPr>
          <w:bCs/>
        </w:rPr>
        <w:t xml:space="preserve">  </w:t>
      </w:r>
    </w:p>
    <w:p w:rsidR="003A0488" w:rsidRPr="003A0488" w:rsidRDefault="003A0488" w:rsidP="003A0488">
      <w:pPr>
        <w:pStyle w:val="ListParagraph"/>
        <w:rPr>
          <w:b/>
        </w:rPr>
      </w:pPr>
    </w:p>
    <w:p w:rsidR="003A0488" w:rsidRPr="003A0488" w:rsidRDefault="003A0488" w:rsidP="003A0488">
      <w:pPr>
        <w:pStyle w:val="ListParagraph"/>
        <w:rPr>
          <w:bCs/>
        </w:rPr>
      </w:pPr>
      <w:r>
        <w:rPr>
          <w:bCs/>
        </w:rPr>
        <w:t xml:space="preserve">WG agreed to </w:t>
      </w:r>
      <w:r w:rsidR="00C2787A">
        <w:rPr>
          <w:bCs/>
        </w:rPr>
        <w:t>split</w:t>
      </w:r>
      <w:r>
        <w:rPr>
          <w:bCs/>
        </w:rPr>
        <w:t xml:space="preserve"> the recommendation, e.g., into 13a. and 13b.  The example could be moved to the footnote</w:t>
      </w:r>
      <w:r w:rsidR="00B55DFF">
        <w:rPr>
          <w:bCs/>
        </w:rPr>
        <w:t xml:space="preserve"> or possibly an appendix</w:t>
      </w:r>
      <w:r>
        <w:rPr>
          <w:bCs/>
        </w:rPr>
        <w:t xml:space="preserve">, with Arabic example added, in addition to the Chinese.  </w:t>
      </w:r>
      <w:r w:rsidR="00B55DFF">
        <w:rPr>
          <w:bCs/>
        </w:rPr>
        <w:t xml:space="preserve"> The WG will review the second paragraph at a later point, when addressing the relevant comment.</w:t>
      </w:r>
    </w:p>
    <w:p w:rsidR="00CA05BC" w:rsidRPr="00CA05BC" w:rsidRDefault="00235D1C" w:rsidP="00CA05BC">
      <w:pPr>
        <w:pStyle w:val="ListParagraph"/>
        <w:rPr>
          <w:bCs/>
        </w:rPr>
      </w:pPr>
      <w:r>
        <w:rPr>
          <w:bCs/>
        </w:rPr>
        <w:t xml:space="preserve"> </w:t>
      </w:r>
    </w:p>
    <w:p w:rsidR="00CA05BC" w:rsidRPr="00CA05BC" w:rsidRDefault="00B55DFF" w:rsidP="00CA05B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Comment IAB5</w:t>
      </w:r>
      <w:r w:rsidR="00CA05BC">
        <w:rPr>
          <w:b/>
        </w:rPr>
        <w:t>.</w:t>
      </w:r>
      <w:r w:rsidR="00CA05BC">
        <w:rPr>
          <w:bCs/>
        </w:rPr>
        <w:t xml:space="preserve"> </w:t>
      </w:r>
      <w:r>
        <w:rPr>
          <w:bCs/>
        </w:rPr>
        <w:t xml:space="preserve">It was pointed that the RFCs in the IDNA2008 protocol say that registries should have policy that </w:t>
      </w:r>
      <w:r w:rsidR="00CD04A6">
        <w:rPr>
          <w:bCs/>
        </w:rPr>
        <w:t xml:space="preserve">may restrict use of certain </w:t>
      </w:r>
      <w:r>
        <w:rPr>
          <w:bCs/>
        </w:rPr>
        <w:t xml:space="preserve">characters.  It was suggested that a pointer to the relevant RFC be added.  WG was not clear what is meant by “fully understand”.  Did it mean that registries needed to have a linguist on board for that purpose? The statement likely refers to </w:t>
      </w:r>
      <w:r>
        <w:rPr>
          <w:bCs/>
        </w:rPr>
        <w:lastRenderedPageBreak/>
        <w:t>section 3.2.</w:t>
      </w:r>
      <w:r w:rsidR="00CD04A6">
        <w:rPr>
          <w:bCs/>
        </w:rPr>
        <w:t xml:space="preserve"> of RFC 5894</w:t>
      </w:r>
      <w:r>
        <w:rPr>
          <w:bCs/>
        </w:rPr>
        <w:t xml:space="preserve">, that character repertoire be changed </w:t>
      </w:r>
      <w:r w:rsidR="007668C4">
        <w:rPr>
          <w:bCs/>
        </w:rPr>
        <w:t xml:space="preserve">after understanding the implications, which </w:t>
      </w:r>
      <w:r w:rsidR="00CD04A6">
        <w:rPr>
          <w:bCs/>
        </w:rPr>
        <w:t xml:space="preserve">WG agreed </w:t>
      </w:r>
      <w:r w:rsidR="007668C4">
        <w:rPr>
          <w:bCs/>
        </w:rPr>
        <w:t xml:space="preserve">is a reasonable goal.  It was also suggested to look at Inclusion principle from RFC 6912, in this context, section 4.2.  </w:t>
      </w:r>
      <w:r w:rsidR="00CD04A6">
        <w:rPr>
          <w:bCs/>
        </w:rPr>
        <w:t>These statements will be collected and all members are to review the statements and then discuss this further next time.</w:t>
      </w:r>
    </w:p>
    <w:p w:rsidR="00CA05BC" w:rsidRPr="00CA05BC" w:rsidRDefault="00CA05BC" w:rsidP="00CA05BC">
      <w:pPr>
        <w:pStyle w:val="ListParagraph"/>
        <w:rPr>
          <w:bCs/>
        </w:rPr>
      </w:pPr>
    </w:p>
    <w:p w:rsidR="002D475E" w:rsidRPr="00E91BAA" w:rsidRDefault="00E91BAA" w:rsidP="00CA05B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Comment GoI1</w:t>
      </w:r>
      <w:r w:rsidR="00CA05BC" w:rsidRPr="00CA05BC">
        <w:rPr>
          <w:b/>
        </w:rPr>
        <w:t>.</w:t>
      </w:r>
      <w:r w:rsidR="00CA05BC">
        <w:rPr>
          <w:bCs/>
        </w:rPr>
        <w:t xml:space="preserve"> </w:t>
      </w:r>
      <w:r>
        <w:rPr>
          <w:bCs/>
        </w:rPr>
        <w:t xml:space="preserve"> WG noted the comment </w:t>
      </w:r>
      <w:proofErr w:type="gramStart"/>
      <w:r>
        <w:rPr>
          <w:bCs/>
        </w:rPr>
        <w:t>and also</w:t>
      </w:r>
      <w:proofErr w:type="gramEnd"/>
      <w:r>
        <w:rPr>
          <w:bCs/>
        </w:rPr>
        <w:t xml:space="preserve"> noted that WG has made specific recommendations for whole-script </w:t>
      </w:r>
      <w:proofErr w:type="spellStart"/>
      <w:r>
        <w:rPr>
          <w:bCs/>
        </w:rPr>
        <w:t>confusables</w:t>
      </w:r>
      <w:proofErr w:type="spellEnd"/>
      <w:r>
        <w:rPr>
          <w:bCs/>
        </w:rPr>
        <w:t xml:space="preserve">.  </w:t>
      </w:r>
    </w:p>
    <w:p w:rsidR="00E91BAA" w:rsidRPr="00E91BAA" w:rsidRDefault="00E91BAA" w:rsidP="00E91BAA">
      <w:pPr>
        <w:pStyle w:val="ListParagraph"/>
        <w:rPr>
          <w:b/>
        </w:rPr>
      </w:pPr>
    </w:p>
    <w:p w:rsidR="00E91BAA" w:rsidRPr="00CA05BC" w:rsidRDefault="00E91BAA" w:rsidP="00CA05B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Comment GoI2.  </w:t>
      </w:r>
      <w:r>
        <w:rPr>
          <w:bCs/>
        </w:rPr>
        <w:t xml:space="preserve">WG noted it is a broad comment.  </w:t>
      </w:r>
      <w:r w:rsidR="00047149">
        <w:rPr>
          <w:bCs/>
        </w:rPr>
        <w:t xml:space="preserve">WG noted its response that this is addressed, i.e. </w:t>
      </w:r>
      <w:r w:rsidR="008A0558">
        <w:rPr>
          <w:bCs/>
        </w:rPr>
        <w:t xml:space="preserve">in </w:t>
      </w:r>
      <w:r w:rsidR="00047149">
        <w:rPr>
          <w:bCs/>
        </w:rPr>
        <w:t xml:space="preserve">recommendation 17 second part.  It was suggested to divided 17 into two parts.  </w:t>
      </w:r>
    </w:p>
    <w:p w:rsidR="007668C4" w:rsidRPr="002D475E" w:rsidRDefault="007668C4" w:rsidP="002D475E">
      <w:pPr>
        <w:rPr>
          <w:bCs/>
        </w:rPr>
      </w:pPr>
      <w:bookmarkStart w:id="0" w:name="_GoBack"/>
      <w:bookmarkEnd w:id="0"/>
    </w:p>
    <w:p w:rsidR="0072451D" w:rsidRPr="000A4D1B" w:rsidRDefault="0072451D" w:rsidP="000A4D1B">
      <w:pPr>
        <w:rPr>
          <w:color w:val="000000" w:themeColor="text1"/>
          <w:u w:val="single"/>
        </w:rPr>
      </w:pPr>
      <w:r w:rsidRPr="000A4D1B">
        <w:rPr>
          <w:color w:val="000000" w:themeColor="text1"/>
          <w:u w:val="single"/>
        </w:rPr>
        <w:t>Action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"/>
        <w:gridCol w:w="7224"/>
        <w:gridCol w:w="1322"/>
      </w:tblGrid>
      <w:tr w:rsidR="0072451D" w:rsidRPr="0083537E" w:rsidTr="00F147AF">
        <w:tc>
          <w:tcPr>
            <w:tcW w:w="804" w:type="dxa"/>
          </w:tcPr>
          <w:p w:rsidR="0072451D" w:rsidRPr="0083537E" w:rsidRDefault="0072451D" w:rsidP="008D6A71">
            <w:pPr>
              <w:rPr>
                <w:b/>
                <w:bCs/>
              </w:rPr>
            </w:pPr>
            <w:r w:rsidRPr="0083537E">
              <w:rPr>
                <w:b/>
                <w:bCs/>
              </w:rPr>
              <w:t>S. No.</w:t>
            </w:r>
          </w:p>
        </w:tc>
        <w:tc>
          <w:tcPr>
            <w:tcW w:w="7224" w:type="dxa"/>
          </w:tcPr>
          <w:p w:rsidR="0072451D" w:rsidRPr="0083537E" w:rsidRDefault="0072451D" w:rsidP="008D6A71">
            <w:pPr>
              <w:rPr>
                <w:b/>
                <w:bCs/>
              </w:rPr>
            </w:pPr>
            <w:r w:rsidRPr="0083537E">
              <w:rPr>
                <w:b/>
                <w:bCs/>
              </w:rPr>
              <w:t xml:space="preserve">Action Items </w:t>
            </w:r>
          </w:p>
        </w:tc>
        <w:tc>
          <w:tcPr>
            <w:tcW w:w="1322" w:type="dxa"/>
          </w:tcPr>
          <w:p w:rsidR="0072451D" w:rsidRPr="0083537E" w:rsidRDefault="0072451D" w:rsidP="008D6A71">
            <w:pPr>
              <w:rPr>
                <w:b/>
                <w:bCs/>
              </w:rPr>
            </w:pPr>
            <w:r w:rsidRPr="0083537E">
              <w:rPr>
                <w:b/>
                <w:bCs/>
              </w:rPr>
              <w:t>Owner</w:t>
            </w:r>
          </w:p>
        </w:tc>
      </w:tr>
      <w:tr w:rsidR="006A553E" w:rsidRPr="0083537E" w:rsidTr="00F147AF">
        <w:tc>
          <w:tcPr>
            <w:tcW w:w="804" w:type="dxa"/>
          </w:tcPr>
          <w:p w:rsidR="006A553E" w:rsidRPr="0083537E" w:rsidRDefault="006A553E" w:rsidP="006A553E">
            <w:pPr>
              <w:rPr>
                <w:b/>
                <w:bCs/>
              </w:rPr>
            </w:pPr>
            <w:r>
              <w:t>1</w:t>
            </w:r>
          </w:p>
        </w:tc>
        <w:tc>
          <w:tcPr>
            <w:tcW w:w="7224" w:type="dxa"/>
          </w:tcPr>
          <w:p w:rsidR="006A553E" w:rsidRPr="004C6C8C" w:rsidRDefault="00235D1C" w:rsidP="000B082D">
            <w:pPr>
              <w:rPr>
                <w:i/>
                <w:iCs/>
              </w:rPr>
            </w:pPr>
            <w:r>
              <w:rPr>
                <w:i/>
                <w:iCs/>
              </w:rPr>
              <w:t>Reach out to IAB to get clarification on IAB3.</w:t>
            </w:r>
          </w:p>
        </w:tc>
        <w:tc>
          <w:tcPr>
            <w:tcW w:w="1322" w:type="dxa"/>
          </w:tcPr>
          <w:p w:rsidR="006A553E" w:rsidRPr="004C6C8C" w:rsidRDefault="00235D1C" w:rsidP="006A553E">
            <w:r>
              <w:t>EC</w:t>
            </w:r>
          </w:p>
        </w:tc>
      </w:tr>
      <w:tr w:rsidR="000F4D9B" w:rsidRPr="0083537E" w:rsidTr="00F147AF">
        <w:tc>
          <w:tcPr>
            <w:tcW w:w="804" w:type="dxa"/>
          </w:tcPr>
          <w:p w:rsidR="000F4D9B" w:rsidRDefault="000F4D9B" w:rsidP="006A553E">
            <w:r>
              <w:t>2</w:t>
            </w:r>
          </w:p>
        </w:tc>
        <w:tc>
          <w:tcPr>
            <w:tcW w:w="7224" w:type="dxa"/>
          </w:tcPr>
          <w:p w:rsidR="000F4D9B" w:rsidRDefault="00B55DFF" w:rsidP="000B082D">
            <w:pPr>
              <w:rPr>
                <w:i/>
                <w:iCs/>
              </w:rPr>
            </w:pPr>
            <w:r>
              <w:rPr>
                <w:i/>
                <w:iCs/>
              </w:rPr>
              <w:t>Based on IAB4, split recommendation 13 into two parts.  Add Arabic languages as an example and review the second paragraph when the relevant comment is addressed.</w:t>
            </w:r>
          </w:p>
        </w:tc>
        <w:tc>
          <w:tcPr>
            <w:tcW w:w="1322" w:type="dxa"/>
          </w:tcPr>
          <w:p w:rsidR="000F4D9B" w:rsidRDefault="000F4D9B" w:rsidP="006A553E"/>
        </w:tc>
      </w:tr>
      <w:tr w:rsidR="002D475E" w:rsidRPr="0083537E" w:rsidTr="00F147AF">
        <w:tc>
          <w:tcPr>
            <w:tcW w:w="804" w:type="dxa"/>
          </w:tcPr>
          <w:p w:rsidR="002D475E" w:rsidRDefault="002D475E" w:rsidP="006A553E">
            <w:r>
              <w:t>3</w:t>
            </w:r>
          </w:p>
        </w:tc>
        <w:tc>
          <w:tcPr>
            <w:tcW w:w="7224" w:type="dxa"/>
          </w:tcPr>
          <w:p w:rsidR="002D475E" w:rsidRDefault="007668C4" w:rsidP="000B082D">
            <w:pPr>
              <w:rPr>
                <w:i/>
                <w:iCs/>
              </w:rPr>
            </w:pPr>
            <w:r>
              <w:rPr>
                <w:i/>
                <w:iCs/>
              </w:rPr>
              <w:t>For IAB5, all are requested to review the statements from the RFCs.  The relevant sections be identified and circulated to the WG for further discussion.</w:t>
            </w:r>
          </w:p>
        </w:tc>
        <w:tc>
          <w:tcPr>
            <w:tcW w:w="1322" w:type="dxa"/>
          </w:tcPr>
          <w:p w:rsidR="002D475E" w:rsidRDefault="008A0558" w:rsidP="006A553E">
            <w:r>
              <w:t xml:space="preserve">All, </w:t>
            </w:r>
            <w:r w:rsidR="002D475E">
              <w:t>SH</w:t>
            </w:r>
          </w:p>
        </w:tc>
      </w:tr>
      <w:tr w:rsidR="002D475E" w:rsidRPr="0083537E" w:rsidTr="00F147AF">
        <w:tc>
          <w:tcPr>
            <w:tcW w:w="804" w:type="dxa"/>
          </w:tcPr>
          <w:p w:rsidR="002D475E" w:rsidRDefault="002D475E" w:rsidP="006A553E">
            <w:r>
              <w:t>4</w:t>
            </w:r>
          </w:p>
        </w:tc>
        <w:tc>
          <w:tcPr>
            <w:tcW w:w="7224" w:type="dxa"/>
          </w:tcPr>
          <w:p w:rsidR="002D475E" w:rsidRDefault="00047149" w:rsidP="000B082D">
            <w:pPr>
              <w:rPr>
                <w:i/>
                <w:iCs/>
              </w:rPr>
            </w:pPr>
            <w:r>
              <w:rPr>
                <w:i/>
                <w:iCs/>
              </w:rPr>
              <w:t>Revise 17 by splitting it into separate recommendations.</w:t>
            </w:r>
          </w:p>
        </w:tc>
        <w:tc>
          <w:tcPr>
            <w:tcW w:w="1322" w:type="dxa"/>
          </w:tcPr>
          <w:p w:rsidR="002D475E" w:rsidRDefault="002D475E" w:rsidP="006A553E"/>
        </w:tc>
      </w:tr>
    </w:tbl>
    <w:p w:rsidR="007668C4" w:rsidRDefault="007668C4" w:rsidP="007668C4"/>
    <w:p w:rsidR="007668C4" w:rsidRPr="00E91BAA" w:rsidRDefault="008A0558" w:rsidP="007668C4">
      <w:pPr>
        <w:rPr>
          <w:b/>
          <w:bCs/>
        </w:rPr>
      </w:pPr>
      <w:r>
        <w:rPr>
          <w:b/>
          <w:bCs/>
        </w:rPr>
        <w:t>Notes from Relevant RFCs 5890, 5891,5894 and 6912</w:t>
      </w:r>
    </w:p>
    <w:p w:rsidR="007668C4" w:rsidRDefault="007668C4" w:rsidP="007668C4"/>
    <w:p w:rsidR="007668C4" w:rsidRDefault="007668C4" w:rsidP="007668C4">
      <w:r>
        <w:t>RFC 5890.</w:t>
      </w:r>
    </w:p>
    <w:bookmarkStart w:id="1" w:name="section-2.3.2.3"/>
    <w:p w:rsidR="007668C4" w:rsidRDefault="007668C4" w:rsidP="00586F6A">
      <w:pPr>
        <w:pStyle w:val="Heading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fldChar w:fldCharType="begin"/>
      </w:r>
      <w:r>
        <w:rPr>
          <w:rFonts w:ascii="Courier New" w:hAnsi="Courier New" w:cs="Courier New"/>
          <w:color w:val="000000"/>
        </w:rPr>
        <w:instrText xml:space="preserve"> HYPERLINK "https://tools.ietf.org/html/rfc5890" \l "section-2.3.2.3" </w:instrText>
      </w:r>
      <w:r>
        <w:rPr>
          <w:rFonts w:ascii="Courier New" w:hAnsi="Courier New" w:cs="Courier New"/>
          <w:color w:val="000000"/>
        </w:rPr>
        <w:fldChar w:fldCharType="separate"/>
      </w:r>
      <w:r>
        <w:rPr>
          <w:rStyle w:val="Hyperlink"/>
          <w:rFonts w:ascii="Courier New" w:hAnsi="Courier New" w:cs="Courier New"/>
          <w:color w:val="000000"/>
          <w:u w:val="none"/>
        </w:rPr>
        <w:t>2.3.2.3</w:t>
      </w:r>
      <w:r>
        <w:rPr>
          <w:rFonts w:ascii="Courier New" w:hAnsi="Courier New" w:cs="Courier New"/>
          <w:color w:val="000000"/>
        </w:rPr>
        <w:fldChar w:fldCharType="end"/>
      </w:r>
      <w:bookmarkEnd w:id="1"/>
      <w:r>
        <w:rPr>
          <w:rFonts w:ascii="Courier New" w:hAnsi="Courier New" w:cs="Courier New"/>
          <w:color w:val="000000"/>
        </w:rPr>
        <w:t>.  Internationalized Domain Name and Internationalized Label</w:t>
      </w:r>
    </w:p>
    <w:p w:rsidR="007668C4" w:rsidRDefault="007668C4" w:rsidP="007668C4">
      <w:pPr>
        <w:pStyle w:val="HTMLPreformatted"/>
        <w:rPr>
          <w:color w:val="000000"/>
        </w:rPr>
      </w:pPr>
      <w:r>
        <w:rPr>
          <w:color w:val="000000"/>
        </w:rPr>
        <w:t xml:space="preserve">   An "internationalized domain name" (IDN) is a domain name that</w:t>
      </w:r>
    </w:p>
    <w:p w:rsidR="007668C4" w:rsidRDefault="007668C4" w:rsidP="007668C4">
      <w:pPr>
        <w:pStyle w:val="HTMLPreformatted"/>
        <w:rPr>
          <w:color w:val="000000"/>
        </w:rPr>
      </w:pPr>
      <w:r>
        <w:rPr>
          <w:color w:val="000000"/>
        </w:rPr>
        <w:t xml:space="preserve">   contains at least one A-label or U-label, but that otherwise may</w:t>
      </w:r>
    </w:p>
    <w:p w:rsidR="007668C4" w:rsidRDefault="007668C4" w:rsidP="007668C4">
      <w:pPr>
        <w:pStyle w:val="HTMLPreformatted"/>
        <w:rPr>
          <w:color w:val="000000"/>
        </w:rPr>
      </w:pPr>
      <w:r>
        <w:rPr>
          <w:color w:val="000000"/>
        </w:rPr>
        <w:t xml:space="preserve">   contain any mixture of NR-LDH labels, A-labels, or U-labels.  Just as</w:t>
      </w:r>
    </w:p>
    <w:p w:rsidR="007668C4" w:rsidRPr="00586F6A" w:rsidRDefault="007668C4" w:rsidP="007668C4">
      <w:pPr>
        <w:pStyle w:val="HTMLPreformatted"/>
        <w:rPr>
          <w:color w:val="000000"/>
          <w:highlight w:val="yellow"/>
        </w:rPr>
      </w:pPr>
      <w:r>
        <w:rPr>
          <w:color w:val="000000"/>
        </w:rPr>
        <w:t xml:space="preserve">   has been the case with ASCII names, </w:t>
      </w:r>
      <w:r w:rsidRPr="00586F6A">
        <w:rPr>
          <w:color w:val="000000"/>
          <w:highlight w:val="yellow"/>
        </w:rPr>
        <w:t xml:space="preserve">some DNS zone </w:t>
      </w:r>
      <w:proofErr w:type="gramStart"/>
      <w:r w:rsidRPr="00586F6A">
        <w:rPr>
          <w:color w:val="000000"/>
          <w:highlight w:val="yellow"/>
        </w:rPr>
        <w:t>administrators</w:t>
      </w:r>
      <w:proofErr w:type="gramEnd"/>
      <w:r w:rsidRPr="00586F6A">
        <w:rPr>
          <w:color w:val="000000"/>
          <w:highlight w:val="yellow"/>
        </w:rPr>
        <w:t xml:space="preserve"> may</w:t>
      </w:r>
    </w:p>
    <w:p w:rsidR="007668C4" w:rsidRPr="00586F6A" w:rsidRDefault="007668C4" w:rsidP="007668C4">
      <w:pPr>
        <w:pStyle w:val="HTMLPreformatted"/>
        <w:rPr>
          <w:color w:val="000000"/>
          <w:highlight w:val="yellow"/>
        </w:rPr>
      </w:pPr>
      <w:r w:rsidRPr="00586F6A">
        <w:rPr>
          <w:color w:val="000000"/>
          <w:highlight w:val="yellow"/>
        </w:rPr>
        <w:t xml:space="preserve">   impose restrictions, beyond those imposed by DNS or IDNA, on the</w:t>
      </w:r>
    </w:p>
    <w:p w:rsidR="007668C4" w:rsidRPr="00586F6A" w:rsidRDefault="007668C4" w:rsidP="007668C4">
      <w:pPr>
        <w:pStyle w:val="HTMLPreformatted"/>
        <w:rPr>
          <w:color w:val="000000"/>
          <w:highlight w:val="yellow"/>
        </w:rPr>
      </w:pPr>
      <w:r w:rsidRPr="00586F6A">
        <w:rPr>
          <w:color w:val="000000"/>
          <w:highlight w:val="yellow"/>
        </w:rPr>
        <w:t xml:space="preserve">   characters or strings that may be registered as labels in </w:t>
      </w:r>
      <w:proofErr w:type="gramStart"/>
      <w:r w:rsidRPr="00586F6A">
        <w:rPr>
          <w:color w:val="000000"/>
          <w:highlight w:val="yellow"/>
        </w:rPr>
        <w:t>their</w:t>
      </w:r>
      <w:proofErr w:type="gramEnd"/>
    </w:p>
    <w:p w:rsidR="007668C4" w:rsidRPr="00586F6A" w:rsidRDefault="007668C4" w:rsidP="007668C4">
      <w:pPr>
        <w:pStyle w:val="HTMLPreformatted"/>
        <w:rPr>
          <w:color w:val="000000"/>
          <w:highlight w:val="yellow"/>
        </w:rPr>
      </w:pPr>
      <w:r w:rsidRPr="00586F6A">
        <w:rPr>
          <w:color w:val="000000"/>
          <w:highlight w:val="yellow"/>
        </w:rPr>
        <w:t xml:space="preserve">   zones.  Because of the diversity of characters that can be used in a</w:t>
      </w:r>
    </w:p>
    <w:p w:rsidR="007668C4" w:rsidRPr="00586F6A" w:rsidRDefault="007668C4" w:rsidP="007668C4">
      <w:pPr>
        <w:pStyle w:val="HTMLPreformatted"/>
        <w:rPr>
          <w:color w:val="000000"/>
          <w:highlight w:val="yellow"/>
        </w:rPr>
      </w:pPr>
      <w:r w:rsidRPr="00586F6A">
        <w:rPr>
          <w:color w:val="000000"/>
          <w:highlight w:val="yellow"/>
        </w:rPr>
        <w:t xml:space="preserve">   U-label and the confusion they might cause, such restrictions are</w:t>
      </w:r>
    </w:p>
    <w:p w:rsidR="007668C4" w:rsidRPr="00586F6A" w:rsidRDefault="007668C4" w:rsidP="007668C4">
      <w:pPr>
        <w:pStyle w:val="HTMLPreformatted"/>
        <w:rPr>
          <w:color w:val="000000"/>
          <w:highlight w:val="yellow"/>
        </w:rPr>
      </w:pPr>
      <w:r w:rsidRPr="00586F6A">
        <w:rPr>
          <w:color w:val="000000"/>
          <w:highlight w:val="yellow"/>
        </w:rPr>
        <w:t xml:space="preserve">   mandatory for IDN registries and zones even though the particular</w:t>
      </w:r>
    </w:p>
    <w:p w:rsidR="007668C4" w:rsidRPr="00586F6A" w:rsidRDefault="007668C4" w:rsidP="007668C4">
      <w:pPr>
        <w:pStyle w:val="HTMLPreformatted"/>
        <w:rPr>
          <w:color w:val="000000"/>
          <w:highlight w:val="yellow"/>
        </w:rPr>
      </w:pPr>
      <w:r w:rsidRPr="00586F6A">
        <w:rPr>
          <w:color w:val="000000"/>
          <w:highlight w:val="yellow"/>
        </w:rPr>
        <w:t xml:space="preserve">   restrictions are not part of these specifications (the issue is</w:t>
      </w:r>
    </w:p>
    <w:p w:rsidR="007668C4" w:rsidRPr="00586F6A" w:rsidRDefault="007668C4" w:rsidP="007668C4">
      <w:pPr>
        <w:pStyle w:val="HTMLPreformatted"/>
        <w:rPr>
          <w:color w:val="000000"/>
          <w:highlight w:val="yellow"/>
        </w:rPr>
      </w:pPr>
      <w:r w:rsidRPr="00586F6A">
        <w:rPr>
          <w:color w:val="000000"/>
          <w:highlight w:val="yellow"/>
        </w:rPr>
        <w:t xml:space="preserve">   discussed in more detail in </w:t>
      </w:r>
      <w:hyperlink r:id="rId8" w:anchor="section-4.3" w:history="1">
        <w:r w:rsidRPr="00586F6A">
          <w:rPr>
            <w:rStyle w:val="Hyperlink"/>
            <w:highlight w:val="yellow"/>
          </w:rPr>
          <w:t>Section 4.3</w:t>
        </w:r>
      </w:hyperlink>
      <w:r w:rsidRPr="00586F6A">
        <w:rPr>
          <w:color w:val="000000"/>
          <w:highlight w:val="yellow"/>
        </w:rPr>
        <w:t xml:space="preserve"> of the Protocol document</w:t>
      </w:r>
    </w:p>
    <w:p w:rsidR="007668C4" w:rsidRDefault="007668C4" w:rsidP="007668C4">
      <w:pPr>
        <w:pStyle w:val="HTMLPreformatted"/>
        <w:rPr>
          <w:color w:val="000000"/>
        </w:rPr>
      </w:pPr>
      <w:r w:rsidRPr="00586F6A">
        <w:rPr>
          <w:color w:val="000000"/>
          <w:highlight w:val="yellow"/>
        </w:rPr>
        <w:t xml:space="preserve">   [</w:t>
      </w:r>
      <w:hyperlink r:id="rId9" w:tooltip="&quot;Internationalized Domain Names in Applications (IDNA): Protocol&quot;" w:history="1">
        <w:r w:rsidRPr="00586F6A">
          <w:rPr>
            <w:rStyle w:val="Hyperlink"/>
            <w:highlight w:val="yellow"/>
          </w:rPr>
          <w:t>RFC5891</w:t>
        </w:r>
      </w:hyperlink>
      <w:r w:rsidRPr="00586F6A">
        <w:rPr>
          <w:color w:val="000000"/>
          <w:highlight w:val="yellow"/>
        </w:rPr>
        <w:t>].</w:t>
      </w:r>
      <w:r>
        <w:rPr>
          <w:color w:val="000000"/>
        </w:rPr>
        <w:t xml:space="preserve">  Because these restrictions, commonly known as "registry</w:t>
      </w:r>
    </w:p>
    <w:p w:rsidR="007668C4" w:rsidRDefault="007668C4" w:rsidP="007668C4">
      <w:pPr>
        <w:pStyle w:val="HTMLPreformatted"/>
        <w:rPr>
          <w:color w:val="000000"/>
        </w:rPr>
      </w:pPr>
      <w:r>
        <w:rPr>
          <w:color w:val="000000"/>
        </w:rPr>
        <w:t xml:space="preserve">   restrictions", only affect what can be registered and not lookup</w:t>
      </w:r>
    </w:p>
    <w:p w:rsidR="007668C4" w:rsidRDefault="007668C4" w:rsidP="007668C4">
      <w:pPr>
        <w:pStyle w:val="HTMLPreformatted"/>
        <w:rPr>
          <w:color w:val="000000"/>
        </w:rPr>
      </w:pPr>
      <w:r>
        <w:rPr>
          <w:color w:val="000000"/>
        </w:rPr>
        <w:t xml:space="preserve">   processing, they have no effect on the syntax or semantics of DNS</w:t>
      </w:r>
    </w:p>
    <w:p w:rsidR="007668C4" w:rsidRDefault="007668C4" w:rsidP="007668C4">
      <w:pPr>
        <w:pStyle w:val="HTMLPreformatted"/>
        <w:rPr>
          <w:color w:val="000000"/>
        </w:rPr>
      </w:pPr>
      <w:r>
        <w:rPr>
          <w:color w:val="000000"/>
        </w:rPr>
        <w:t xml:space="preserve">   protocol messages; a query for a name that matches no records will</w:t>
      </w:r>
    </w:p>
    <w:p w:rsidR="007668C4" w:rsidRDefault="007668C4" w:rsidP="007668C4">
      <w:pPr>
        <w:pStyle w:val="HTMLPreformatted"/>
        <w:rPr>
          <w:color w:val="000000"/>
        </w:rPr>
      </w:pPr>
      <w:r>
        <w:rPr>
          <w:color w:val="000000"/>
        </w:rPr>
        <w:t xml:space="preserve">   yield the same response regardless of the reason why it is not in the</w:t>
      </w:r>
    </w:p>
    <w:p w:rsidR="007668C4" w:rsidRDefault="007668C4" w:rsidP="007668C4">
      <w:pPr>
        <w:pStyle w:val="HTMLPreformatted"/>
        <w:rPr>
          <w:color w:val="000000"/>
        </w:rPr>
      </w:pPr>
      <w:r>
        <w:rPr>
          <w:color w:val="000000"/>
        </w:rPr>
        <w:t xml:space="preserve">   zone.  Clients issuing queries or interpreting responses cannot be</w:t>
      </w:r>
      <w:r>
        <w:rPr>
          <w:color w:val="000000"/>
        </w:rPr>
        <w:t xml:space="preserve"> </w:t>
      </w:r>
    </w:p>
    <w:p w:rsidR="007668C4" w:rsidRDefault="007668C4" w:rsidP="007668C4">
      <w:pPr>
        <w:pStyle w:val="HTMLPreformatted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>assumed to have any knowledge of zone-specific restrictions or</w:t>
      </w:r>
    </w:p>
    <w:p w:rsidR="007668C4" w:rsidRDefault="007668C4" w:rsidP="007668C4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 conventions.  See the section on registration policy in the Rationale</w:t>
      </w:r>
    </w:p>
    <w:p w:rsidR="007668C4" w:rsidRDefault="007668C4" w:rsidP="007668C4">
      <w:pPr>
        <w:pStyle w:val="HTMLPreformatted"/>
        <w:rPr>
          <w:color w:val="000000"/>
        </w:rPr>
      </w:pPr>
      <w:r>
        <w:rPr>
          <w:color w:val="000000"/>
        </w:rPr>
        <w:t xml:space="preserve">   document [</w:t>
      </w:r>
      <w:hyperlink r:id="rId10" w:tooltip="&quot;Internationalized Domain Names for Applications (IDNA): Background, Explanation, and Rationale&quot;" w:history="1">
        <w:r>
          <w:rPr>
            <w:rStyle w:val="Hyperlink"/>
          </w:rPr>
          <w:t>RFC5894</w:t>
        </w:r>
      </w:hyperlink>
      <w:r>
        <w:rPr>
          <w:color w:val="000000"/>
        </w:rPr>
        <w:t>] for additional discussion.</w:t>
      </w:r>
    </w:p>
    <w:p w:rsidR="00586F6A" w:rsidRDefault="00586F6A" w:rsidP="007668C4">
      <w:pPr>
        <w:pStyle w:val="HTMLPreformatted"/>
        <w:rPr>
          <w:color w:val="000000"/>
        </w:rPr>
      </w:pPr>
    </w:p>
    <w:bookmarkStart w:id="2" w:name="section-4.4"/>
    <w:p w:rsidR="00586F6A" w:rsidRPr="00586F6A" w:rsidRDefault="00586F6A" w:rsidP="00586F6A">
      <w:pPr>
        <w:pStyle w:val="Heading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Courier New" w:hAnsi="Courier New" w:cs="Courier New"/>
        </w:rPr>
      </w:pPr>
      <w:r w:rsidRPr="00586F6A">
        <w:rPr>
          <w:rFonts w:ascii="Courier New" w:hAnsi="Courier New" w:cs="Courier New"/>
        </w:rPr>
        <w:fldChar w:fldCharType="begin"/>
      </w:r>
      <w:r w:rsidRPr="00586F6A">
        <w:rPr>
          <w:rFonts w:ascii="Courier New" w:hAnsi="Courier New" w:cs="Courier New"/>
        </w:rPr>
        <w:instrText xml:space="preserve"> HYPERLINK "https://tools.ietf.org/html/rfc5890" \l "section-4.4" </w:instrText>
      </w:r>
      <w:r w:rsidRPr="00586F6A">
        <w:rPr>
          <w:rFonts w:ascii="Courier New" w:hAnsi="Courier New" w:cs="Courier New"/>
        </w:rPr>
        <w:fldChar w:fldCharType="separate"/>
      </w:r>
      <w:r w:rsidRPr="00586F6A">
        <w:t>4.4</w:t>
      </w:r>
      <w:r w:rsidRPr="00586F6A">
        <w:rPr>
          <w:rFonts w:ascii="Courier New" w:hAnsi="Courier New" w:cs="Courier New"/>
        </w:rPr>
        <w:fldChar w:fldCharType="end"/>
      </w:r>
      <w:bookmarkEnd w:id="2"/>
      <w:r w:rsidRPr="00586F6A">
        <w:rPr>
          <w:rFonts w:ascii="Courier New" w:hAnsi="Courier New" w:cs="Courier New"/>
        </w:rPr>
        <w:t>.  Visually Similar Characters</w:t>
      </w:r>
    </w:p>
    <w:p w:rsidR="00586F6A" w:rsidRPr="00586F6A" w:rsidRDefault="00586F6A" w:rsidP="00586F6A">
      <w:pPr>
        <w:pStyle w:val="HTMLPreformatted"/>
        <w:rPr>
          <w:color w:val="000000"/>
          <w:highlight w:val="yellow"/>
        </w:rPr>
      </w:pPr>
      <w:r>
        <w:rPr>
          <w:color w:val="000000"/>
        </w:rPr>
        <w:t xml:space="preserve">   </w:t>
      </w:r>
      <w:r w:rsidRPr="00586F6A">
        <w:rPr>
          <w:color w:val="000000"/>
          <w:highlight w:val="yellow"/>
        </w:rPr>
        <w:t>To help prevent confusion between characters that are visually</w:t>
      </w:r>
    </w:p>
    <w:p w:rsidR="00586F6A" w:rsidRPr="00586F6A" w:rsidRDefault="00586F6A" w:rsidP="00586F6A">
      <w:pPr>
        <w:pStyle w:val="HTMLPreformatted"/>
        <w:rPr>
          <w:color w:val="000000"/>
          <w:highlight w:val="yellow"/>
        </w:rPr>
      </w:pPr>
      <w:r w:rsidRPr="00586F6A">
        <w:rPr>
          <w:color w:val="000000"/>
          <w:highlight w:val="yellow"/>
        </w:rPr>
        <w:t xml:space="preserve">   similar (sometimes called "</w:t>
      </w:r>
      <w:proofErr w:type="spellStart"/>
      <w:r w:rsidRPr="00586F6A">
        <w:rPr>
          <w:color w:val="000000"/>
          <w:highlight w:val="yellow"/>
        </w:rPr>
        <w:t>confusables</w:t>
      </w:r>
      <w:proofErr w:type="spellEnd"/>
      <w:r w:rsidRPr="00586F6A">
        <w:rPr>
          <w:color w:val="000000"/>
          <w:highlight w:val="yellow"/>
        </w:rPr>
        <w:t>"), it is suggested that</w:t>
      </w:r>
    </w:p>
    <w:p w:rsidR="00586F6A" w:rsidRPr="00586F6A" w:rsidRDefault="00586F6A" w:rsidP="00586F6A">
      <w:pPr>
        <w:pStyle w:val="HTMLPreformatted"/>
        <w:rPr>
          <w:color w:val="000000"/>
          <w:highlight w:val="yellow"/>
        </w:rPr>
      </w:pPr>
      <w:r w:rsidRPr="00586F6A">
        <w:rPr>
          <w:color w:val="000000"/>
          <w:highlight w:val="yellow"/>
        </w:rPr>
        <w:t xml:space="preserve">   implementations provide visual indications where a domain name</w:t>
      </w:r>
    </w:p>
    <w:p w:rsidR="00586F6A" w:rsidRPr="00586F6A" w:rsidRDefault="00586F6A" w:rsidP="00586F6A">
      <w:pPr>
        <w:pStyle w:val="HTMLPreformatted"/>
        <w:rPr>
          <w:color w:val="000000"/>
          <w:highlight w:val="yellow"/>
        </w:rPr>
      </w:pPr>
      <w:r w:rsidRPr="00586F6A">
        <w:rPr>
          <w:color w:val="000000"/>
          <w:highlight w:val="yellow"/>
        </w:rPr>
        <w:t xml:space="preserve">   contains multiple scripts, especially when the scripts contain</w:t>
      </w:r>
    </w:p>
    <w:p w:rsidR="00586F6A" w:rsidRPr="00586F6A" w:rsidRDefault="00586F6A" w:rsidP="00586F6A">
      <w:pPr>
        <w:pStyle w:val="HTMLPreformatted"/>
        <w:rPr>
          <w:color w:val="000000"/>
          <w:highlight w:val="yellow"/>
        </w:rPr>
      </w:pPr>
      <w:r w:rsidRPr="00586F6A">
        <w:rPr>
          <w:color w:val="000000"/>
          <w:highlight w:val="yellow"/>
        </w:rPr>
        <w:t xml:space="preserve">   characters that are easily confused visually, such as an omicron in</w:t>
      </w:r>
    </w:p>
    <w:p w:rsidR="00586F6A" w:rsidRPr="00586F6A" w:rsidRDefault="00586F6A" w:rsidP="00586F6A">
      <w:pPr>
        <w:pStyle w:val="HTMLPreformatted"/>
        <w:rPr>
          <w:color w:val="000000"/>
          <w:highlight w:val="yellow"/>
        </w:rPr>
      </w:pPr>
      <w:r w:rsidRPr="00586F6A">
        <w:rPr>
          <w:color w:val="000000"/>
          <w:highlight w:val="yellow"/>
        </w:rPr>
        <w:t xml:space="preserve">   Greek mixed with Latin text.  Such mechanisms can also be used to</w:t>
      </w:r>
    </w:p>
    <w:p w:rsidR="00586F6A" w:rsidRPr="00586F6A" w:rsidRDefault="00586F6A" w:rsidP="00586F6A">
      <w:pPr>
        <w:pStyle w:val="HTMLPreformatted"/>
        <w:rPr>
          <w:color w:val="000000"/>
          <w:highlight w:val="yellow"/>
        </w:rPr>
      </w:pPr>
      <w:r w:rsidRPr="00586F6A">
        <w:rPr>
          <w:color w:val="000000"/>
          <w:highlight w:val="yellow"/>
        </w:rPr>
        <w:t xml:space="preserve">   show when a name contains a mixture of Simplified Chinese characters</w:t>
      </w:r>
    </w:p>
    <w:p w:rsidR="00586F6A" w:rsidRPr="00586F6A" w:rsidRDefault="00586F6A" w:rsidP="00586F6A">
      <w:pPr>
        <w:pStyle w:val="HTMLPreformatted"/>
        <w:rPr>
          <w:color w:val="000000"/>
          <w:highlight w:val="yellow"/>
        </w:rPr>
      </w:pPr>
      <w:r w:rsidRPr="00586F6A">
        <w:rPr>
          <w:color w:val="000000"/>
          <w:highlight w:val="yellow"/>
        </w:rPr>
        <w:t xml:space="preserve">   with Traditional ones that have Simplified forms, or to distinguish</w:t>
      </w:r>
    </w:p>
    <w:p w:rsidR="00586F6A" w:rsidRPr="00586F6A" w:rsidRDefault="00586F6A" w:rsidP="00586F6A">
      <w:pPr>
        <w:pStyle w:val="HTMLPreformatted"/>
        <w:rPr>
          <w:color w:val="000000"/>
          <w:highlight w:val="yellow"/>
        </w:rPr>
      </w:pPr>
      <w:r w:rsidRPr="00586F6A">
        <w:rPr>
          <w:color w:val="000000"/>
          <w:highlight w:val="yellow"/>
        </w:rPr>
        <w:t xml:space="preserve">   zero and one from uppercase "O" and lowercase "L".  DNS zone</w:t>
      </w:r>
    </w:p>
    <w:p w:rsidR="00586F6A" w:rsidRPr="00586F6A" w:rsidRDefault="00586F6A" w:rsidP="00586F6A">
      <w:pPr>
        <w:pStyle w:val="HTMLPreformatted"/>
        <w:rPr>
          <w:color w:val="000000"/>
          <w:highlight w:val="yellow"/>
        </w:rPr>
      </w:pPr>
      <w:r w:rsidRPr="00586F6A">
        <w:rPr>
          <w:color w:val="000000"/>
          <w:highlight w:val="yellow"/>
        </w:rPr>
        <w:t xml:space="preserve">   administrators may impose restrictions (subject to the limitations</w:t>
      </w:r>
    </w:p>
    <w:p w:rsidR="00586F6A" w:rsidRPr="00586F6A" w:rsidRDefault="00586F6A" w:rsidP="00586F6A">
      <w:pPr>
        <w:pStyle w:val="HTMLPreformatted"/>
        <w:rPr>
          <w:color w:val="000000"/>
          <w:highlight w:val="yellow"/>
        </w:rPr>
      </w:pPr>
      <w:r w:rsidRPr="00586F6A">
        <w:rPr>
          <w:color w:val="000000"/>
          <w:highlight w:val="yellow"/>
        </w:rPr>
        <w:t xml:space="preserve">   identified elsewhere in these documents) that try to minimize</w:t>
      </w:r>
    </w:p>
    <w:p w:rsidR="00586F6A" w:rsidRPr="00586F6A" w:rsidRDefault="00586F6A" w:rsidP="00586F6A">
      <w:pPr>
        <w:pStyle w:val="HTMLPreformatted"/>
        <w:rPr>
          <w:color w:val="000000"/>
          <w:highlight w:val="yellow"/>
        </w:rPr>
      </w:pPr>
      <w:r w:rsidRPr="00586F6A">
        <w:rPr>
          <w:color w:val="000000"/>
          <w:highlight w:val="yellow"/>
        </w:rPr>
        <w:t xml:space="preserve">   characters that have similar appearance or similar interpretations.</w:t>
      </w:r>
    </w:p>
    <w:p w:rsidR="00586F6A" w:rsidRPr="00586F6A" w:rsidRDefault="00586F6A" w:rsidP="00586F6A">
      <w:pPr>
        <w:pStyle w:val="HTMLPreformatted"/>
        <w:rPr>
          <w:color w:val="000000"/>
          <w:highlight w:val="yellow"/>
        </w:rPr>
      </w:pPr>
    </w:p>
    <w:p w:rsidR="00586F6A" w:rsidRPr="00586F6A" w:rsidRDefault="00586F6A" w:rsidP="00586F6A">
      <w:pPr>
        <w:pStyle w:val="HTMLPreformatted"/>
        <w:rPr>
          <w:color w:val="000000"/>
          <w:highlight w:val="yellow"/>
        </w:rPr>
      </w:pPr>
      <w:r w:rsidRPr="00586F6A">
        <w:rPr>
          <w:color w:val="000000"/>
          <w:highlight w:val="yellow"/>
        </w:rPr>
        <w:t xml:space="preserve">   If multiple characters appear in a label and the label consists only</w:t>
      </w:r>
    </w:p>
    <w:p w:rsidR="00586F6A" w:rsidRPr="00586F6A" w:rsidRDefault="00586F6A" w:rsidP="00586F6A">
      <w:pPr>
        <w:pStyle w:val="HTMLPreformatted"/>
        <w:rPr>
          <w:color w:val="000000"/>
          <w:highlight w:val="yellow"/>
        </w:rPr>
      </w:pPr>
      <w:r w:rsidRPr="00586F6A">
        <w:rPr>
          <w:color w:val="000000"/>
          <w:highlight w:val="yellow"/>
        </w:rPr>
        <w:t xml:space="preserve">   of characters in one script, individual characters that might be</w:t>
      </w:r>
    </w:p>
    <w:p w:rsidR="00586F6A" w:rsidRPr="00586F6A" w:rsidRDefault="00586F6A" w:rsidP="00586F6A">
      <w:pPr>
        <w:pStyle w:val="HTMLPreformatted"/>
        <w:rPr>
          <w:color w:val="000000"/>
          <w:highlight w:val="yellow"/>
        </w:rPr>
      </w:pPr>
      <w:r w:rsidRPr="00586F6A">
        <w:rPr>
          <w:color w:val="000000"/>
          <w:highlight w:val="yellow"/>
        </w:rPr>
        <w:t xml:space="preserve">   confused with others if compared separately may be unambiguous and</w:t>
      </w:r>
    </w:p>
    <w:p w:rsidR="00586F6A" w:rsidRPr="00586F6A" w:rsidRDefault="00586F6A" w:rsidP="00586F6A">
      <w:pPr>
        <w:pStyle w:val="HTMLPreformatted"/>
        <w:rPr>
          <w:color w:val="000000"/>
          <w:highlight w:val="yellow"/>
        </w:rPr>
      </w:pPr>
      <w:r w:rsidRPr="00586F6A">
        <w:rPr>
          <w:color w:val="000000"/>
          <w:highlight w:val="yellow"/>
        </w:rPr>
        <w:t xml:space="preserve">   non-confusing.  On the other hand, that observation makes labels</w:t>
      </w:r>
    </w:p>
    <w:p w:rsidR="00586F6A" w:rsidRPr="00586F6A" w:rsidRDefault="00586F6A" w:rsidP="00586F6A">
      <w:pPr>
        <w:pStyle w:val="HTMLPreformatted"/>
        <w:rPr>
          <w:color w:val="000000"/>
          <w:highlight w:val="yellow"/>
        </w:rPr>
      </w:pPr>
      <w:r w:rsidRPr="00586F6A">
        <w:rPr>
          <w:color w:val="000000"/>
          <w:highlight w:val="yellow"/>
        </w:rPr>
        <w:t xml:space="preserve">   containing characters from more than one script (often called "mixed-</w:t>
      </w:r>
    </w:p>
    <w:p w:rsidR="00586F6A" w:rsidRPr="00586F6A" w:rsidRDefault="00586F6A" w:rsidP="00586F6A">
      <w:pPr>
        <w:pStyle w:val="HTMLPreformatted"/>
        <w:rPr>
          <w:color w:val="000000"/>
          <w:highlight w:val="yellow"/>
        </w:rPr>
      </w:pPr>
      <w:r w:rsidRPr="00586F6A">
        <w:rPr>
          <w:color w:val="000000"/>
          <w:highlight w:val="yellow"/>
        </w:rPr>
        <w:t xml:space="preserve">   script labels") even more risky -- users will tend to see what they</w:t>
      </w:r>
    </w:p>
    <w:p w:rsidR="00586F6A" w:rsidRPr="00586F6A" w:rsidRDefault="00586F6A" w:rsidP="00586F6A">
      <w:pPr>
        <w:pStyle w:val="HTMLPreformatted"/>
        <w:rPr>
          <w:color w:val="000000"/>
          <w:highlight w:val="yellow"/>
        </w:rPr>
      </w:pPr>
      <w:r w:rsidRPr="00586F6A">
        <w:rPr>
          <w:color w:val="000000"/>
          <w:highlight w:val="yellow"/>
        </w:rPr>
        <w:t xml:space="preserve">   expect to see and context is a powerful reinforcement to perception.</w:t>
      </w:r>
    </w:p>
    <w:p w:rsidR="00586F6A" w:rsidRPr="00586F6A" w:rsidRDefault="00586F6A" w:rsidP="00586F6A">
      <w:pPr>
        <w:pStyle w:val="HTMLPreformatted"/>
        <w:rPr>
          <w:color w:val="000000"/>
          <w:highlight w:val="yellow"/>
        </w:rPr>
      </w:pPr>
      <w:r w:rsidRPr="00586F6A">
        <w:rPr>
          <w:color w:val="000000"/>
          <w:highlight w:val="yellow"/>
        </w:rPr>
        <w:t xml:space="preserve">   At the same time, while the risks associated with mixed-script labels</w:t>
      </w:r>
    </w:p>
    <w:p w:rsidR="00586F6A" w:rsidRPr="00586F6A" w:rsidRDefault="00586F6A" w:rsidP="00586F6A">
      <w:pPr>
        <w:pStyle w:val="HTMLPreformatted"/>
        <w:rPr>
          <w:color w:val="000000"/>
          <w:highlight w:val="yellow"/>
        </w:rPr>
      </w:pPr>
      <w:r w:rsidRPr="00586F6A">
        <w:rPr>
          <w:color w:val="000000"/>
          <w:highlight w:val="yellow"/>
        </w:rPr>
        <w:t xml:space="preserve">   are clear, simply prohibiting them will not eliminate problems,</w:t>
      </w:r>
    </w:p>
    <w:p w:rsidR="00586F6A" w:rsidRPr="00586F6A" w:rsidRDefault="00586F6A" w:rsidP="00586F6A">
      <w:pPr>
        <w:pStyle w:val="HTMLPreformatted"/>
        <w:rPr>
          <w:color w:val="000000"/>
          <w:highlight w:val="yellow"/>
        </w:rPr>
      </w:pPr>
      <w:r w:rsidRPr="00586F6A">
        <w:rPr>
          <w:color w:val="000000"/>
          <w:highlight w:val="yellow"/>
        </w:rPr>
        <w:t xml:space="preserve">   especially where closely related scripts are involved.  For example,</w:t>
      </w:r>
    </w:p>
    <w:p w:rsidR="00586F6A" w:rsidRPr="00586F6A" w:rsidRDefault="00586F6A" w:rsidP="00586F6A">
      <w:pPr>
        <w:pStyle w:val="HTMLPreformatted"/>
        <w:rPr>
          <w:color w:val="000000"/>
          <w:highlight w:val="yellow"/>
        </w:rPr>
      </w:pPr>
      <w:r w:rsidRPr="00586F6A">
        <w:rPr>
          <w:color w:val="000000"/>
          <w:highlight w:val="yellow"/>
        </w:rPr>
        <w:t xml:space="preserve">   there are many strings that are entirely in Greek or Cyrillic scripts</w:t>
      </w:r>
    </w:p>
    <w:p w:rsidR="00586F6A" w:rsidRPr="00586F6A" w:rsidRDefault="00586F6A" w:rsidP="00586F6A">
      <w:pPr>
        <w:pStyle w:val="HTMLPreformatted"/>
        <w:rPr>
          <w:color w:val="000000"/>
          <w:highlight w:val="yellow"/>
        </w:rPr>
      </w:pPr>
      <w:r w:rsidRPr="00586F6A">
        <w:rPr>
          <w:color w:val="000000"/>
          <w:highlight w:val="yellow"/>
        </w:rPr>
        <w:t xml:space="preserve">   that can be confused with each other or with Latin script strings.</w:t>
      </w:r>
    </w:p>
    <w:p w:rsidR="00586F6A" w:rsidRPr="00586F6A" w:rsidRDefault="00586F6A" w:rsidP="00586F6A">
      <w:pPr>
        <w:pStyle w:val="HTMLPreformatted"/>
        <w:rPr>
          <w:color w:val="000000"/>
          <w:highlight w:val="yellow"/>
        </w:rPr>
      </w:pPr>
    </w:p>
    <w:p w:rsidR="00586F6A" w:rsidRPr="00586F6A" w:rsidRDefault="00586F6A" w:rsidP="00586F6A">
      <w:pPr>
        <w:pStyle w:val="HTMLPreformatted"/>
        <w:rPr>
          <w:color w:val="000000"/>
          <w:highlight w:val="yellow"/>
        </w:rPr>
      </w:pPr>
      <w:r w:rsidRPr="00586F6A">
        <w:rPr>
          <w:color w:val="000000"/>
          <w:highlight w:val="yellow"/>
        </w:rPr>
        <w:t xml:space="preserve">   It is worth noting that there are no comprehensive technical</w:t>
      </w:r>
    </w:p>
    <w:p w:rsidR="00586F6A" w:rsidRPr="00586F6A" w:rsidRDefault="00586F6A" w:rsidP="00586F6A">
      <w:pPr>
        <w:pStyle w:val="HTMLPreformatted"/>
        <w:rPr>
          <w:color w:val="000000"/>
          <w:highlight w:val="yellow"/>
        </w:rPr>
      </w:pPr>
      <w:r w:rsidRPr="00586F6A">
        <w:rPr>
          <w:color w:val="000000"/>
          <w:highlight w:val="yellow"/>
        </w:rPr>
        <w:t xml:space="preserve">   solutions to the problems of confusable characters.  One can reduce</w:t>
      </w:r>
    </w:p>
    <w:p w:rsidR="00586F6A" w:rsidRPr="00586F6A" w:rsidRDefault="00586F6A" w:rsidP="00586F6A">
      <w:pPr>
        <w:pStyle w:val="HTMLPreformatted"/>
        <w:rPr>
          <w:color w:val="000000"/>
          <w:highlight w:val="yellow"/>
        </w:rPr>
      </w:pPr>
      <w:r w:rsidRPr="00586F6A">
        <w:rPr>
          <w:color w:val="000000"/>
          <w:highlight w:val="yellow"/>
        </w:rPr>
        <w:t xml:space="preserve">   the extent of the problems in various ways, but probably never</w:t>
      </w:r>
    </w:p>
    <w:p w:rsidR="00586F6A" w:rsidRPr="00586F6A" w:rsidRDefault="00586F6A" w:rsidP="00586F6A">
      <w:pPr>
        <w:pStyle w:val="HTMLPreformatted"/>
        <w:rPr>
          <w:color w:val="000000"/>
          <w:highlight w:val="yellow"/>
        </w:rPr>
      </w:pPr>
      <w:r w:rsidRPr="00586F6A">
        <w:rPr>
          <w:color w:val="000000"/>
          <w:highlight w:val="yellow"/>
        </w:rPr>
        <w:t xml:space="preserve">   eliminate it.  Some specific suggestions about identification and</w:t>
      </w:r>
    </w:p>
    <w:p w:rsidR="00586F6A" w:rsidRPr="00586F6A" w:rsidRDefault="00586F6A" w:rsidP="00586F6A">
      <w:pPr>
        <w:pStyle w:val="HTMLPreformatted"/>
        <w:rPr>
          <w:color w:val="000000"/>
          <w:highlight w:val="yellow"/>
        </w:rPr>
      </w:pPr>
      <w:r w:rsidRPr="00586F6A">
        <w:rPr>
          <w:color w:val="000000"/>
          <w:highlight w:val="yellow"/>
        </w:rPr>
        <w:t xml:space="preserve">   handling of confusable characters </w:t>
      </w:r>
      <w:proofErr w:type="gramStart"/>
      <w:r w:rsidRPr="00586F6A">
        <w:rPr>
          <w:color w:val="000000"/>
          <w:highlight w:val="yellow"/>
        </w:rPr>
        <w:t>appear</w:t>
      </w:r>
      <w:proofErr w:type="gramEnd"/>
      <w:r w:rsidRPr="00586F6A">
        <w:rPr>
          <w:color w:val="000000"/>
          <w:highlight w:val="yellow"/>
        </w:rPr>
        <w:t xml:space="preserve"> in a Unicode Consortium</w:t>
      </w:r>
    </w:p>
    <w:p w:rsidR="00586F6A" w:rsidRDefault="00586F6A" w:rsidP="00586F6A">
      <w:pPr>
        <w:pStyle w:val="HTMLPreformatted"/>
        <w:rPr>
          <w:color w:val="000000"/>
        </w:rPr>
      </w:pPr>
      <w:r w:rsidRPr="00586F6A">
        <w:rPr>
          <w:color w:val="000000"/>
          <w:highlight w:val="yellow"/>
        </w:rPr>
        <w:t xml:space="preserve">   publication [</w:t>
      </w:r>
      <w:hyperlink r:id="rId11" w:anchor="ref-Unicode-UTR36" w:history="1">
        <w:r w:rsidRPr="00586F6A">
          <w:rPr>
            <w:rStyle w:val="Hyperlink"/>
            <w:highlight w:val="yellow"/>
          </w:rPr>
          <w:t>Unicode-UTR36</w:t>
        </w:r>
      </w:hyperlink>
      <w:r w:rsidRPr="00586F6A">
        <w:rPr>
          <w:color w:val="000000"/>
          <w:highlight w:val="yellow"/>
        </w:rPr>
        <w:t>].</w:t>
      </w:r>
    </w:p>
    <w:p w:rsidR="00586F6A" w:rsidRDefault="00586F6A" w:rsidP="007668C4">
      <w:pPr>
        <w:pStyle w:val="HTMLPreformatted"/>
        <w:rPr>
          <w:color w:val="000000"/>
        </w:rPr>
      </w:pPr>
    </w:p>
    <w:p w:rsidR="00586F6A" w:rsidRDefault="00586F6A" w:rsidP="00586F6A"/>
    <w:p w:rsidR="007668C4" w:rsidRDefault="00586F6A" w:rsidP="00586F6A">
      <w:r w:rsidRPr="00586F6A">
        <w:t>RFC 589</w:t>
      </w:r>
      <w:r>
        <w:t>1</w:t>
      </w:r>
    </w:p>
    <w:bookmarkStart w:id="3" w:name="section-4.3"/>
    <w:p w:rsidR="00586F6A" w:rsidRPr="00586F6A" w:rsidRDefault="00586F6A" w:rsidP="00586F6A">
      <w:pPr>
        <w:pStyle w:val="Heading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Courier New" w:hAnsi="Courier New" w:cs="Courier New"/>
        </w:rPr>
      </w:pPr>
      <w:r w:rsidRPr="00586F6A">
        <w:rPr>
          <w:rFonts w:ascii="Courier New" w:hAnsi="Courier New" w:cs="Courier New"/>
        </w:rPr>
        <w:fldChar w:fldCharType="begin"/>
      </w:r>
      <w:r w:rsidRPr="00586F6A">
        <w:rPr>
          <w:rFonts w:ascii="Courier New" w:hAnsi="Courier New" w:cs="Courier New"/>
        </w:rPr>
        <w:instrText xml:space="preserve"> HYPERLINK "https://tools.ietf.org/html/rfc5891" \l "section-4.3" </w:instrText>
      </w:r>
      <w:r w:rsidRPr="00586F6A">
        <w:rPr>
          <w:rFonts w:ascii="Courier New" w:hAnsi="Courier New" w:cs="Courier New"/>
        </w:rPr>
        <w:fldChar w:fldCharType="separate"/>
      </w:r>
      <w:r w:rsidRPr="00586F6A">
        <w:rPr>
          <w:rFonts w:ascii="Courier New" w:hAnsi="Courier New" w:cs="Courier New"/>
        </w:rPr>
        <w:t>4.3</w:t>
      </w:r>
      <w:r w:rsidRPr="00586F6A">
        <w:rPr>
          <w:rFonts w:ascii="Courier New" w:hAnsi="Courier New" w:cs="Courier New"/>
        </w:rPr>
        <w:fldChar w:fldCharType="end"/>
      </w:r>
      <w:bookmarkEnd w:id="3"/>
      <w:r w:rsidRPr="00586F6A">
        <w:rPr>
          <w:rFonts w:ascii="Courier New" w:hAnsi="Courier New" w:cs="Courier New"/>
        </w:rPr>
        <w:t>.  Registry Restrictions</w:t>
      </w:r>
    </w:p>
    <w:p w:rsidR="00586F6A" w:rsidRDefault="00586F6A" w:rsidP="00586F6A">
      <w:pPr>
        <w:pStyle w:val="HTMLPreformatted"/>
        <w:rPr>
          <w:color w:val="000000"/>
        </w:rPr>
      </w:pPr>
      <w:r>
        <w:rPr>
          <w:color w:val="000000"/>
        </w:rPr>
        <w:t xml:space="preserve">   In addition to the rules and tests above, there are many reasons why</w:t>
      </w:r>
    </w:p>
    <w:p w:rsidR="00586F6A" w:rsidRPr="00586F6A" w:rsidRDefault="00586F6A" w:rsidP="00586F6A">
      <w:pPr>
        <w:pStyle w:val="HTMLPreformatted"/>
        <w:rPr>
          <w:color w:val="000000"/>
          <w:highlight w:val="yellow"/>
        </w:rPr>
      </w:pPr>
      <w:r>
        <w:rPr>
          <w:color w:val="000000"/>
        </w:rPr>
        <w:t xml:space="preserve">   a registry could reject a label.  </w:t>
      </w:r>
      <w:r w:rsidRPr="00586F6A">
        <w:rPr>
          <w:color w:val="000000"/>
          <w:highlight w:val="yellow"/>
        </w:rPr>
        <w:t>Registries at all levels of the</w:t>
      </w:r>
    </w:p>
    <w:p w:rsidR="00586F6A" w:rsidRPr="00586F6A" w:rsidRDefault="00586F6A" w:rsidP="00586F6A">
      <w:pPr>
        <w:pStyle w:val="HTMLPreformatted"/>
        <w:rPr>
          <w:color w:val="000000"/>
          <w:highlight w:val="yellow"/>
        </w:rPr>
      </w:pPr>
      <w:r w:rsidRPr="00586F6A">
        <w:rPr>
          <w:color w:val="000000"/>
          <w:highlight w:val="yellow"/>
        </w:rPr>
        <w:t xml:space="preserve">   DNS, not just the top level, are expected to establish policies about</w:t>
      </w:r>
    </w:p>
    <w:p w:rsidR="00586F6A" w:rsidRPr="00586F6A" w:rsidRDefault="00586F6A" w:rsidP="00586F6A">
      <w:pPr>
        <w:pStyle w:val="HTMLPreformatted"/>
        <w:rPr>
          <w:color w:val="000000"/>
          <w:highlight w:val="yellow"/>
        </w:rPr>
      </w:pPr>
      <w:r w:rsidRPr="00586F6A">
        <w:rPr>
          <w:color w:val="000000"/>
          <w:highlight w:val="yellow"/>
        </w:rPr>
        <w:t xml:space="preserve">   label registrations.  Policies are likely to be informed by the local</w:t>
      </w:r>
    </w:p>
    <w:p w:rsidR="00586F6A" w:rsidRPr="00586F6A" w:rsidRDefault="00586F6A" w:rsidP="00586F6A">
      <w:pPr>
        <w:pStyle w:val="HTMLPreformatted"/>
        <w:rPr>
          <w:color w:val="000000"/>
          <w:highlight w:val="yellow"/>
        </w:rPr>
      </w:pPr>
      <w:r w:rsidRPr="00586F6A">
        <w:rPr>
          <w:color w:val="000000"/>
          <w:highlight w:val="yellow"/>
        </w:rPr>
        <w:t xml:space="preserve">   languages and the scripts that are used to write them and may depend</w:t>
      </w:r>
    </w:p>
    <w:p w:rsidR="00586F6A" w:rsidRPr="00586F6A" w:rsidRDefault="00586F6A" w:rsidP="00586F6A">
      <w:pPr>
        <w:pStyle w:val="HTMLPreformatted"/>
        <w:rPr>
          <w:color w:val="000000"/>
          <w:highlight w:val="yellow"/>
        </w:rPr>
      </w:pPr>
      <w:r w:rsidRPr="00586F6A">
        <w:rPr>
          <w:color w:val="000000"/>
          <w:highlight w:val="yellow"/>
        </w:rPr>
        <w:t xml:space="preserve">   on many factors including what characters are in the label (for</w:t>
      </w:r>
    </w:p>
    <w:p w:rsidR="00586F6A" w:rsidRPr="00586F6A" w:rsidRDefault="00586F6A" w:rsidP="00586F6A">
      <w:pPr>
        <w:pStyle w:val="HTMLPreformatted"/>
        <w:rPr>
          <w:color w:val="000000"/>
          <w:highlight w:val="yellow"/>
        </w:rPr>
      </w:pPr>
      <w:r w:rsidRPr="00586F6A">
        <w:rPr>
          <w:color w:val="000000"/>
          <w:highlight w:val="yellow"/>
        </w:rPr>
        <w:t xml:space="preserve">   example, a label may be rejected based on other labels already</w:t>
      </w:r>
    </w:p>
    <w:p w:rsidR="00586F6A" w:rsidRDefault="00586F6A" w:rsidP="00586F6A">
      <w:pPr>
        <w:pStyle w:val="HTMLPreformatted"/>
        <w:rPr>
          <w:color w:val="000000"/>
        </w:rPr>
      </w:pPr>
      <w:r w:rsidRPr="00586F6A">
        <w:rPr>
          <w:color w:val="000000"/>
          <w:highlight w:val="yellow"/>
        </w:rPr>
        <w:t xml:space="preserve">   registered).</w:t>
      </w:r>
      <w:r>
        <w:rPr>
          <w:color w:val="000000"/>
        </w:rPr>
        <w:t xml:space="preserve">  See the Rationale document </w:t>
      </w:r>
      <w:hyperlink r:id="rId12" w:anchor="section-3.2" w:history="1">
        <w:r>
          <w:rPr>
            <w:rStyle w:val="Hyperlink"/>
          </w:rPr>
          <w:t>[RFC5894], Section 3.2</w:t>
        </w:r>
      </w:hyperlink>
      <w:r>
        <w:rPr>
          <w:color w:val="000000"/>
        </w:rPr>
        <w:t>, for</w:t>
      </w:r>
    </w:p>
    <w:p w:rsidR="00586F6A" w:rsidRDefault="00586F6A" w:rsidP="00586F6A">
      <w:pPr>
        <w:pStyle w:val="HTMLPreformatted"/>
        <w:rPr>
          <w:color w:val="000000"/>
        </w:rPr>
      </w:pPr>
      <w:r>
        <w:rPr>
          <w:color w:val="000000"/>
        </w:rPr>
        <w:t xml:space="preserve">   further discussion and recommendations about registry policies.</w:t>
      </w:r>
    </w:p>
    <w:p w:rsidR="00586F6A" w:rsidRPr="00586F6A" w:rsidRDefault="00586F6A" w:rsidP="00586F6A"/>
    <w:p w:rsidR="00E91BAA" w:rsidRDefault="00E91BAA">
      <w:r>
        <w:lastRenderedPageBreak/>
        <w:br w:type="page"/>
      </w:r>
    </w:p>
    <w:p w:rsidR="00586F6A" w:rsidRPr="00586F6A" w:rsidRDefault="00586F6A" w:rsidP="00586F6A">
      <w:r w:rsidRPr="00586F6A">
        <w:lastRenderedPageBreak/>
        <w:t>RFC 5894</w:t>
      </w:r>
    </w:p>
    <w:p w:rsidR="00586F6A" w:rsidRDefault="00586F6A" w:rsidP="007668C4">
      <w:pPr>
        <w:pStyle w:val="HTMLPreformatted"/>
        <w:rPr>
          <w:color w:val="000000"/>
        </w:rPr>
      </w:pPr>
    </w:p>
    <w:bookmarkStart w:id="4" w:name="section-3.2"/>
    <w:p w:rsidR="00586F6A" w:rsidRPr="00586F6A" w:rsidRDefault="00586F6A" w:rsidP="00586F6A">
      <w:pPr>
        <w:pStyle w:val="Heading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Courier New" w:hAnsi="Courier New" w:cs="Courier New"/>
        </w:rPr>
      </w:pPr>
      <w:r w:rsidRPr="00586F6A">
        <w:rPr>
          <w:rFonts w:ascii="Courier New" w:hAnsi="Courier New" w:cs="Courier New"/>
        </w:rPr>
        <w:fldChar w:fldCharType="begin"/>
      </w:r>
      <w:r w:rsidRPr="00586F6A">
        <w:rPr>
          <w:rFonts w:ascii="Courier New" w:hAnsi="Courier New" w:cs="Courier New"/>
        </w:rPr>
        <w:instrText xml:space="preserve"> HYPERLINK "https://tools.ietf.org/html/rfc5894" \l "section-3.2" </w:instrText>
      </w:r>
      <w:r w:rsidRPr="00586F6A">
        <w:rPr>
          <w:rFonts w:ascii="Courier New" w:hAnsi="Courier New" w:cs="Courier New"/>
        </w:rPr>
        <w:fldChar w:fldCharType="separate"/>
      </w:r>
      <w:r w:rsidRPr="00586F6A">
        <w:t>3.2</w:t>
      </w:r>
      <w:r w:rsidRPr="00586F6A">
        <w:rPr>
          <w:rFonts w:ascii="Courier New" w:hAnsi="Courier New" w:cs="Courier New"/>
        </w:rPr>
        <w:fldChar w:fldCharType="end"/>
      </w:r>
      <w:bookmarkEnd w:id="4"/>
      <w:r w:rsidRPr="00586F6A">
        <w:rPr>
          <w:rFonts w:ascii="Courier New" w:hAnsi="Courier New" w:cs="Courier New"/>
        </w:rPr>
        <w:t>.  Registration Policy</w:t>
      </w:r>
    </w:p>
    <w:p w:rsidR="00586F6A" w:rsidRDefault="00586F6A" w:rsidP="00586F6A">
      <w:pPr>
        <w:pStyle w:val="HTMLPreformatted"/>
        <w:rPr>
          <w:color w:val="000000"/>
        </w:rPr>
      </w:pPr>
      <w:r>
        <w:rPr>
          <w:color w:val="000000"/>
        </w:rPr>
        <w:t xml:space="preserve">   While these recommendations cannot and should not define registry</w:t>
      </w:r>
    </w:p>
    <w:p w:rsidR="00586F6A" w:rsidRPr="00E91BAA" w:rsidRDefault="00586F6A" w:rsidP="00586F6A">
      <w:pPr>
        <w:pStyle w:val="HTMLPreformatted"/>
        <w:rPr>
          <w:color w:val="000000"/>
          <w:highlight w:val="yellow"/>
        </w:rPr>
      </w:pPr>
      <w:r>
        <w:rPr>
          <w:color w:val="000000"/>
        </w:rPr>
        <w:t xml:space="preserve">   policies, </w:t>
      </w:r>
      <w:r w:rsidRPr="00E91BAA">
        <w:rPr>
          <w:color w:val="000000"/>
          <w:highlight w:val="yellow"/>
        </w:rPr>
        <w:t>registries should develop and apply additional restrictions</w:t>
      </w:r>
    </w:p>
    <w:p w:rsidR="00586F6A" w:rsidRPr="00E91BAA" w:rsidRDefault="00586F6A" w:rsidP="00586F6A">
      <w:pPr>
        <w:pStyle w:val="HTMLPreformatted"/>
        <w:rPr>
          <w:color w:val="000000"/>
          <w:highlight w:val="yellow"/>
        </w:rPr>
      </w:pPr>
      <w:r w:rsidRPr="00E91BAA">
        <w:rPr>
          <w:color w:val="000000"/>
          <w:highlight w:val="yellow"/>
        </w:rPr>
        <w:t xml:space="preserve">   as needed to reduce confusion and other problems.  For example, it is</w:t>
      </w:r>
    </w:p>
    <w:p w:rsidR="00586F6A" w:rsidRPr="00E91BAA" w:rsidRDefault="00586F6A" w:rsidP="00586F6A">
      <w:pPr>
        <w:pStyle w:val="HTMLPreformatted"/>
        <w:rPr>
          <w:color w:val="000000"/>
          <w:highlight w:val="yellow"/>
        </w:rPr>
      </w:pPr>
      <w:r w:rsidRPr="00E91BAA">
        <w:rPr>
          <w:color w:val="000000"/>
          <w:highlight w:val="yellow"/>
        </w:rPr>
        <w:t xml:space="preserve">   generally believed that labels containing characters from more than</w:t>
      </w:r>
    </w:p>
    <w:p w:rsidR="00586F6A" w:rsidRPr="00E91BAA" w:rsidRDefault="00586F6A" w:rsidP="00586F6A">
      <w:pPr>
        <w:pStyle w:val="HTMLPreformatted"/>
        <w:rPr>
          <w:color w:val="000000"/>
          <w:highlight w:val="yellow"/>
        </w:rPr>
      </w:pPr>
      <w:r w:rsidRPr="00E91BAA">
        <w:rPr>
          <w:color w:val="000000"/>
          <w:highlight w:val="yellow"/>
        </w:rPr>
        <w:t xml:space="preserve">   one script </w:t>
      </w:r>
      <w:proofErr w:type="gramStart"/>
      <w:r w:rsidRPr="00E91BAA">
        <w:rPr>
          <w:color w:val="000000"/>
          <w:highlight w:val="yellow"/>
        </w:rPr>
        <w:t>are</w:t>
      </w:r>
      <w:proofErr w:type="gramEnd"/>
      <w:r w:rsidRPr="00E91BAA">
        <w:rPr>
          <w:color w:val="000000"/>
          <w:highlight w:val="yellow"/>
        </w:rPr>
        <w:t xml:space="preserve"> a bad practice although there may be some important</w:t>
      </w:r>
    </w:p>
    <w:p w:rsidR="00586F6A" w:rsidRPr="00E91BAA" w:rsidRDefault="00586F6A" w:rsidP="00586F6A">
      <w:pPr>
        <w:pStyle w:val="HTMLPreformatted"/>
        <w:rPr>
          <w:color w:val="000000"/>
          <w:highlight w:val="yellow"/>
        </w:rPr>
      </w:pPr>
      <w:r w:rsidRPr="00E91BAA">
        <w:rPr>
          <w:color w:val="000000"/>
          <w:highlight w:val="yellow"/>
        </w:rPr>
        <w:t xml:space="preserve">   exceptions to that principle.  Some registries may choose to restrict</w:t>
      </w:r>
    </w:p>
    <w:p w:rsidR="00586F6A" w:rsidRPr="00E91BAA" w:rsidRDefault="00586F6A" w:rsidP="00586F6A">
      <w:pPr>
        <w:pStyle w:val="HTMLPreformatted"/>
        <w:rPr>
          <w:color w:val="000000"/>
          <w:highlight w:val="yellow"/>
        </w:rPr>
      </w:pPr>
      <w:r w:rsidRPr="00E91BAA">
        <w:rPr>
          <w:color w:val="000000"/>
          <w:highlight w:val="yellow"/>
        </w:rPr>
        <w:t xml:space="preserve">   registrations to characters drawn from a very small number of</w:t>
      </w:r>
    </w:p>
    <w:p w:rsidR="00586F6A" w:rsidRDefault="00586F6A" w:rsidP="00586F6A">
      <w:pPr>
        <w:pStyle w:val="HTMLPreformatted"/>
        <w:rPr>
          <w:color w:val="000000"/>
        </w:rPr>
      </w:pPr>
      <w:r w:rsidRPr="00E91BAA">
        <w:rPr>
          <w:color w:val="000000"/>
          <w:highlight w:val="yellow"/>
        </w:rPr>
        <w:t xml:space="preserve">   scripts.</w:t>
      </w:r>
      <w:r>
        <w:rPr>
          <w:color w:val="000000"/>
        </w:rPr>
        <w:t xml:space="preserve">  For many scripts, the use of variant techniques such as</w:t>
      </w:r>
    </w:p>
    <w:p w:rsidR="00586F6A" w:rsidRDefault="00586F6A" w:rsidP="00586F6A">
      <w:pPr>
        <w:pStyle w:val="HTMLPreformatted"/>
        <w:rPr>
          <w:color w:val="000000"/>
        </w:rPr>
      </w:pPr>
      <w:r>
        <w:rPr>
          <w:color w:val="000000"/>
        </w:rPr>
        <w:t xml:space="preserve">   those as described in the JET specification for the CJK script</w:t>
      </w:r>
    </w:p>
    <w:p w:rsidR="00586F6A" w:rsidRDefault="00586F6A" w:rsidP="00586F6A">
      <w:pPr>
        <w:pStyle w:val="HTMLPreformatted"/>
        <w:rPr>
          <w:color w:val="000000"/>
        </w:rPr>
      </w:pPr>
      <w:r>
        <w:rPr>
          <w:color w:val="000000"/>
        </w:rPr>
        <w:t xml:space="preserve">   [</w:t>
      </w:r>
      <w:hyperlink r:id="rId13" w:tooltip="&quot;Joint Engineering Team (JET) Guidelines for Internationalized Domain Names (IDN) Registration and Administration for Chinese, Japanese, and Korean&quot;" w:history="1">
        <w:r>
          <w:rPr>
            <w:rStyle w:val="Hyperlink"/>
          </w:rPr>
          <w:t>RFC3743</w:t>
        </w:r>
      </w:hyperlink>
      <w:r>
        <w:rPr>
          <w:color w:val="000000"/>
        </w:rPr>
        <w:t>] and its generalization [</w:t>
      </w:r>
      <w:hyperlink r:id="rId14" w:tooltip="&quot;Suggested Practices for Registration of Internationalized Domain Names (IDN)&quot;" w:history="1">
        <w:r>
          <w:rPr>
            <w:rStyle w:val="Hyperlink"/>
          </w:rPr>
          <w:t>RFC4290</w:t>
        </w:r>
      </w:hyperlink>
      <w:r>
        <w:rPr>
          <w:color w:val="000000"/>
        </w:rPr>
        <w:t>], and illustrated for</w:t>
      </w:r>
    </w:p>
    <w:p w:rsidR="00586F6A" w:rsidRDefault="00586F6A" w:rsidP="00586F6A">
      <w:pPr>
        <w:pStyle w:val="HTMLPreformatted"/>
        <w:rPr>
          <w:color w:val="000000"/>
        </w:rPr>
      </w:pPr>
      <w:r>
        <w:rPr>
          <w:color w:val="000000"/>
        </w:rPr>
        <w:t xml:space="preserve">   Chinese by the tables provided by the Chinese Domain Name Consortium</w:t>
      </w:r>
    </w:p>
    <w:p w:rsidR="00586F6A" w:rsidRDefault="00586F6A" w:rsidP="00586F6A">
      <w:pPr>
        <w:pStyle w:val="HTMLPreformatted"/>
        <w:rPr>
          <w:color w:val="000000"/>
        </w:rPr>
      </w:pPr>
      <w:r>
        <w:rPr>
          <w:color w:val="000000"/>
        </w:rPr>
        <w:t xml:space="preserve">   [</w:t>
      </w:r>
      <w:hyperlink r:id="rId15" w:tooltip="&quot;Registration and Administration Recommendations for Chinese Domain Names&quot;" w:history="1">
        <w:r>
          <w:rPr>
            <w:rStyle w:val="Hyperlink"/>
          </w:rPr>
          <w:t>RFC4713</w:t>
        </w:r>
      </w:hyperlink>
      <w:r>
        <w:rPr>
          <w:color w:val="000000"/>
        </w:rPr>
        <w:t>] may be helpful in reducing problems that might be perceived</w:t>
      </w:r>
    </w:p>
    <w:p w:rsidR="00586F6A" w:rsidRDefault="00586F6A" w:rsidP="00586F6A">
      <w:pPr>
        <w:pStyle w:val="HTMLPreformatted"/>
        <w:rPr>
          <w:color w:val="000000"/>
        </w:rPr>
      </w:pPr>
      <w:r>
        <w:rPr>
          <w:color w:val="000000"/>
        </w:rPr>
        <w:t xml:space="preserve">   by users.</w:t>
      </w:r>
    </w:p>
    <w:p w:rsidR="00586F6A" w:rsidRDefault="00586F6A" w:rsidP="00586F6A">
      <w:pPr>
        <w:pStyle w:val="HTMLPreformatted"/>
        <w:rPr>
          <w:color w:val="000000"/>
        </w:rPr>
      </w:pPr>
    </w:p>
    <w:p w:rsidR="00586F6A" w:rsidRPr="00E91BAA" w:rsidRDefault="00586F6A" w:rsidP="00586F6A">
      <w:pPr>
        <w:pStyle w:val="HTMLPreformatted"/>
        <w:rPr>
          <w:color w:val="000000"/>
          <w:highlight w:val="yellow"/>
        </w:rPr>
      </w:pPr>
      <w:r>
        <w:rPr>
          <w:color w:val="000000"/>
        </w:rPr>
        <w:t xml:space="preserve">   </w:t>
      </w:r>
      <w:r w:rsidRPr="00E91BAA">
        <w:rPr>
          <w:color w:val="000000"/>
          <w:highlight w:val="yellow"/>
        </w:rPr>
        <w:t>In general, users will benefit if registries only permit characters</w:t>
      </w:r>
    </w:p>
    <w:p w:rsidR="00586F6A" w:rsidRPr="00E91BAA" w:rsidRDefault="00586F6A" w:rsidP="00586F6A">
      <w:pPr>
        <w:pStyle w:val="HTMLPreformatted"/>
        <w:rPr>
          <w:color w:val="000000"/>
          <w:highlight w:val="yellow"/>
        </w:rPr>
      </w:pPr>
      <w:r w:rsidRPr="00E91BAA">
        <w:rPr>
          <w:color w:val="000000"/>
          <w:highlight w:val="yellow"/>
        </w:rPr>
        <w:t xml:space="preserve">   from scripts that are well-understood by the registry or its</w:t>
      </w:r>
    </w:p>
    <w:p w:rsidR="00586F6A" w:rsidRPr="00E91BAA" w:rsidRDefault="00586F6A" w:rsidP="00586F6A">
      <w:pPr>
        <w:pStyle w:val="HTMLPreformatted"/>
        <w:rPr>
          <w:color w:val="000000"/>
          <w:highlight w:val="yellow"/>
        </w:rPr>
      </w:pPr>
      <w:r w:rsidRPr="00E91BAA">
        <w:rPr>
          <w:color w:val="000000"/>
          <w:highlight w:val="yellow"/>
        </w:rPr>
        <w:t xml:space="preserve">   advisers.  If a registry decides to reduce opportunities for</w:t>
      </w:r>
    </w:p>
    <w:p w:rsidR="00586F6A" w:rsidRPr="00E91BAA" w:rsidRDefault="00586F6A" w:rsidP="00586F6A">
      <w:pPr>
        <w:pStyle w:val="HTMLPreformatted"/>
        <w:rPr>
          <w:color w:val="000000"/>
          <w:highlight w:val="yellow"/>
        </w:rPr>
      </w:pPr>
      <w:r w:rsidRPr="00E91BAA">
        <w:rPr>
          <w:color w:val="000000"/>
          <w:highlight w:val="yellow"/>
        </w:rPr>
        <w:t xml:space="preserve">   confusion by constructing policies that disallow characters used in</w:t>
      </w:r>
    </w:p>
    <w:p w:rsidR="00586F6A" w:rsidRPr="00E91BAA" w:rsidRDefault="00586F6A" w:rsidP="00586F6A">
      <w:pPr>
        <w:pStyle w:val="HTMLPreformatted"/>
        <w:rPr>
          <w:color w:val="000000"/>
          <w:highlight w:val="yellow"/>
        </w:rPr>
      </w:pPr>
      <w:r w:rsidRPr="00E91BAA">
        <w:rPr>
          <w:color w:val="000000"/>
          <w:highlight w:val="yellow"/>
        </w:rPr>
        <w:t xml:space="preserve">   historic writing systems or characters whose use is restricted to</w:t>
      </w:r>
    </w:p>
    <w:p w:rsidR="00586F6A" w:rsidRPr="00E91BAA" w:rsidRDefault="00586F6A" w:rsidP="00586F6A">
      <w:pPr>
        <w:pStyle w:val="HTMLPreformatted"/>
        <w:rPr>
          <w:color w:val="000000"/>
          <w:highlight w:val="yellow"/>
        </w:rPr>
      </w:pPr>
      <w:r w:rsidRPr="00E91BAA">
        <w:rPr>
          <w:color w:val="000000"/>
          <w:highlight w:val="yellow"/>
        </w:rPr>
        <w:t xml:space="preserve">   specialized, highly technical contexts, some relevant information may</w:t>
      </w:r>
    </w:p>
    <w:p w:rsidR="00586F6A" w:rsidRPr="00E91BAA" w:rsidRDefault="00586F6A" w:rsidP="00586F6A">
      <w:pPr>
        <w:pStyle w:val="HTMLPreformatted"/>
        <w:rPr>
          <w:color w:val="000000"/>
          <w:highlight w:val="yellow"/>
        </w:rPr>
      </w:pPr>
      <w:r w:rsidRPr="00E91BAA">
        <w:rPr>
          <w:color w:val="000000"/>
          <w:highlight w:val="yellow"/>
        </w:rPr>
        <w:t xml:space="preserve">   be found in </w:t>
      </w:r>
      <w:hyperlink r:id="rId16" w:anchor="section-2.4" w:history="1">
        <w:r w:rsidRPr="00E91BAA">
          <w:rPr>
            <w:rStyle w:val="Hyperlink"/>
            <w:highlight w:val="yellow"/>
          </w:rPr>
          <w:t>Section 2.4</w:t>
        </w:r>
      </w:hyperlink>
      <w:r w:rsidRPr="00E91BAA">
        <w:rPr>
          <w:color w:val="000000"/>
          <w:highlight w:val="yellow"/>
        </w:rPr>
        <w:t xml:space="preserve"> (Specific Character Adjustments) of Unicode</w:t>
      </w:r>
    </w:p>
    <w:p w:rsidR="00586F6A" w:rsidRPr="00E91BAA" w:rsidRDefault="00586F6A" w:rsidP="00586F6A">
      <w:pPr>
        <w:pStyle w:val="HTMLPreformatted"/>
        <w:rPr>
          <w:color w:val="000000"/>
          <w:highlight w:val="yellow"/>
        </w:rPr>
      </w:pPr>
      <w:r w:rsidRPr="00E91BAA">
        <w:rPr>
          <w:color w:val="000000"/>
          <w:highlight w:val="yellow"/>
        </w:rPr>
        <w:t xml:space="preserve">   Identifier and Pattern Syntax [</w:t>
      </w:r>
      <w:hyperlink r:id="rId17" w:anchor="ref-Unicode-UAX31" w:history="1">
        <w:r w:rsidRPr="00E91BAA">
          <w:rPr>
            <w:rStyle w:val="Hyperlink"/>
            <w:highlight w:val="yellow"/>
          </w:rPr>
          <w:t>Unicode-UAX31</w:t>
        </w:r>
      </w:hyperlink>
      <w:r w:rsidRPr="00E91BAA">
        <w:rPr>
          <w:color w:val="000000"/>
          <w:highlight w:val="yellow"/>
        </w:rPr>
        <w:t>], especially Table 4</w:t>
      </w:r>
    </w:p>
    <w:p w:rsidR="00586F6A" w:rsidRPr="00E91BAA" w:rsidRDefault="00586F6A" w:rsidP="00586F6A">
      <w:pPr>
        <w:pStyle w:val="HTMLPreformatted"/>
        <w:rPr>
          <w:color w:val="000000"/>
          <w:highlight w:val="yellow"/>
        </w:rPr>
      </w:pPr>
      <w:r w:rsidRPr="00E91BAA">
        <w:rPr>
          <w:color w:val="000000"/>
          <w:highlight w:val="yellow"/>
        </w:rPr>
        <w:t xml:space="preserve">   (Candidate Characters for Exclusion from Identifiers), and </w:t>
      </w:r>
      <w:hyperlink r:id="rId18" w:anchor="section-3.1" w:history="1">
        <w:r w:rsidRPr="00E91BAA">
          <w:rPr>
            <w:rStyle w:val="Hyperlink"/>
            <w:highlight w:val="yellow"/>
          </w:rPr>
          <w:t>Section</w:t>
        </w:r>
      </w:hyperlink>
    </w:p>
    <w:p w:rsidR="00586F6A" w:rsidRPr="00E91BAA" w:rsidRDefault="00586F6A" w:rsidP="00586F6A">
      <w:pPr>
        <w:pStyle w:val="HTMLPreformatted"/>
        <w:rPr>
          <w:color w:val="000000"/>
          <w:highlight w:val="yellow"/>
        </w:rPr>
      </w:pPr>
      <w:r w:rsidRPr="00E91BAA">
        <w:rPr>
          <w:color w:val="000000"/>
          <w:highlight w:val="yellow"/>
        </w:rPr>
        <w:t xml:space="preserve">   </w:t>
      </w:r>
      <w:hyperlink r:id="rId19" w:anchor="section-3.1" w:history="1">
        <w:r w:rsidRPr="00E91BAA">
          <w:rPr>
            <w:rStyle w:val="Hyperlink"/>
            <w:highlight w:val="yellow"/>
          </w:rPr>
          <w:t>3.1</w:t>
        </w:r>
      </w:hyperlink>
      <w:r w:rsidRPr="00E91BAA">
        <w:rPr>
          <w:color w:val="000000"/>
          <w:highlight w:val="yellow"/>
        </w:rPr>
        <w:t xml:space="preserve"> (General Security Profile for Identifiers) in Unicode Security</w:t>
      </w:r>
    </w:p>
    <w:p w:rsidR="00586F6A" w:rsidRDefault="00586F6A" w:rsidP="00586F6A">
      <w:pPr>
        <w:pStyle w:val="HTMLPreformatted"/>
        <w:rPr>
          <w:color w:val="000000"/>
        </w:rPr>
      </w:pPr>
      <w:r w:rsidRPr="00E91BAA">
        <w:rPr>
          <w:color w:val="000000"/>
          <w:highlight w:val="yellow"/>
        </w:rPr>
        <w:t xml:space="preserve">   Mechanisms [</w:t>
      </w:r>
      <w:hyperlink r:id="rId20" w:anchor="ref-Unicode-UTS39" w:history="1">
        <w:r w:rsidRPr="00E91BAA">
          <w:rPr>
            <w:rStyle w:val="Hyperlink"/>
            <w:highlight w:val="yellow"/>
          </w:rPr>
          <w:t>Unicode-UTS39</w:t>
        </w:r>
      </w:hyperlink>
      <w:r w:rsidRPr="00E91BAA">
        <w:rPr>
          <w:color w:val="000000"/>
          <w:highlight w:val="yellow"/>
        </w:rPr>
        <w:t>].</w:t>
      </w:r>
    </w:p>
    <w:p w:rsidR="00586F6A" w:rsidRDefault="00586F6A" w:rsidP="007668C4">
      <w:pPr>
        <w:pStyle w:val="HTMLPreformatted"/>
        <w:rPr>
          <w:color w:val="000000"/>
        </w:rPr>
      </w:pPr>
    </w:p>
    <w:p w:rsidR="007668C4" w:rsidRDefault="007668C4" w:rsidP="007668C4"/>
    <w:p w:rsidR="00E91BAA" w:rsidRDefault="00E91BAA" w:rsidP="007668C4">
      <w:r>
        <w:t>RFC 6912</w:t>
      </w:r>
    </w:p>
    <w:bookmarkStart w:id="5" w:name="section-4.2"/>
    <w:p w:rsidR="00E91BAA" w:rsidRPr="00E91BAA" w:rsidRDefault="00E91BAA" w:rsidP="00E91BAA">
      <w:pPr>
        <w:pStyle w:val="Heading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Courier New" w:hAnsi="Courier New" w:cs="Courier New"/>
        </w:rPr>
      </w:pPr>
      <w:r w:rsidRPr="00E91BAA">
        <w:rPr>
          <w:rFonts w:ascii="Courier New" w:hAnsi="Courier New" w:cs="Courier New"/>
        </w:rPr>
        <w:fldChar w:fldCharType="begin"/>
      </w:r>
      <w:r w:rsidRPr="00E91BAA">
        <w:rPr>
          <w:rFonts w:ascii="Courier New" w:hAnsi="Courier New" w:cs="Courier New"/>
        </w:rPr>
        <w:instrText xml:space="preserve"> HYPERLINK "https://tools.ietf.org/html/rfc6912" \l "section-4.2" </w:instrText>
      </w:r>
      <w:r w:rsidRPr="00E91BAA">
        <w:rPr>
          <w:rFonts w:ascii="Courier New" w:hAnsi="Courier New" w:cs="Courier New"/>
        </w:rPr>
        <w:fldChar w:fldCharType="separate"/>
      </w:r>
      <w:r w:rsidRPr="00E91BAA">
        <w:t>4.2</w:t>
      </w:r>
      <w:r w:rsidRPr="00E91BAA">
        <w:rPr>
          <w:rFonts w:ascii="Courier New" w:hAnsi="Courier New" w:cs="Courier New"/>
        </w:rPr>
        <w:fldChar w:fldCharType="end"/>
      </w:r>
      <w:bookmarkEnd w:id="5"/>
      <w:r w:rsidRPr="00E91BAA">
        <w:rPr>
          <w:rFonts w:ascii="Courier New" w:hAnsi="Courier New" w:cs="Courier New"/>
        </w:rPr>
        <w:t>.  Inclusion Principle</w:t>
      </w:r>
    </w:p>
    <w:p w:rsidR="00E91BAA" w:rsidRPr="00E91BAA" w:rsidRDefault="00E91BAA" w:rsidP="00E91BAA">
      <w:pPr>
        <w:pStyle w:val="HTMLPreformatted"/>
        <w:rPr>
          <w:color w:val="000000"/>
        </w:rPr>
      </w:pPr>
      <w:r>
        <w:rPr>
          <w:color w:val="000000"/>
        </w:rPr>
        <w:t xml:space="preserve">   </w:t>
      </w:r>
      <w:r w:rsidRPr="00E91BAA">
        <w:rPr>
          <w:color w:val="000000"/>
        </w:rPr>
        <w:t>Just as IDNA2008 starts from the principle that the Unicode range is</w:t>
      </w:r>
    </w:p>
    <w:p w:rsidR="00E91BAA" w:rsidRPr="00E91BAA" w:rsidRDefault="00E91BAA" w:rsidP="00E91BAA">
      <w:pPr>
        <w:pStyle w:val="HTMLPreformatted"/>
        <w:rPr>
          <w:color w:val="000000"/>
        </w:rPr>
      </w:pPr>
      <w:r w:rsidRPr="00E91BAA">
        <w:rPr>
          <w:color w:val="000000"/>
        </w:rPr>
        <w:t xml:space="preserve">   excluded, and then adds code points </w:t>
      </w:r>
      <w:proofErr w:type="gramStart"/>
      <w:r w:rsidRPr="00E91BAA">
        <w:rPr>
          <w:color w:val="000000"/>
        </w:rPr>
        <w:t>according to</w:t>
      </w:r>
      <w:proofErr w:type="gramEnd"/>
      <w:r w:rsidRPr="00E91BAA">
        <w:rPr>
          <w:color w:val="000000"/>
        </w:rPr>
        <w:t xml:space="preserve"> derived properties</w:t>
      </w:r>
    </w:p>
    <w:p w:rsidR="00E91BAA" w:rsidRPr="00E91BAA" w:rsidRDefault="00E91BAA" w:rsidP="00E91BAA">
      <w:pPr>
        <w:pStyle w:val="HTMLPreformatted"/>
        <w:rPr>
          <w:color w:val="000000"/>
          <w:highlight w:val="yellow"/>
        </w:rPr>
      </w:pPr>
      <w:r w:rsidRPr="00E91BAA">
        <w:rPr>
          <w:color w:val="000000"/>
        </w:rPr>
        <w:t xml:space="preserve">   of the code points, </w:t>
      </w:r>
      <w:r w:rsidRPr="00E91BAA">
        <w:rPr>
          <w:color w:val="000000"/>
          <w:highlight w:val="yellow"/>
        </w:rPr>
        <w:t>so a public zone should only permit inclusion of</w:t>
      </w:r>
    </w:p>
    <w:p w:rsidR="00E91BAA" w:rsidRPr="00E91BAA" w:rsidRDefault="00E91BAA" w:rsidP="00E91BAA">
      <w:pPr>
        <w:pStyle w:val="HTMLPreformatted"/>
        <w:rPr>
          <w:color w:val="000000"/>
          <w:highlight w:val="yellow"/>
        </w:rPr>
      </w:pPr>
      <w:r w:rsidRPr="00E91BAA">
        <w:rPr>
          <w:color w:val="000000"/>
          <w:highlight w:val="yellow"/>
        </w:rPr>
        <w:t xml:space="preserve">   a code point if it is known to be "safe" in terms of usability and</w:t>
      </w:r>
    </w:p>
    <w:p w:rsidR="00E91BAA" w:rsidRPr="00E91BAA" w:rsidRDefault="00E91BAA" w:rsidP="00E91BAA">
      <w:pPr>
        <w:pStyle w:val="HTMLPreformatted"/>
        <w:rPr>
          <w:color w:val="000000"/>
          <w:highlight w:val="yellow"/>
        </w:rPr>
      </w:pPr>
      <w:r w:rsidRPr="00E91BAA">
        <w:rPr>
          <w:color w:val="000000"/>
          <w:highlight w:val="yellow"/>
        </w:rPr>
        <w:t xml:space="preserve">   confusability within the context of that zone.  The default treatment</w:t>
      </w:r>
    </w:p>
    <w:p w:rsidR="00E91BAA" w:rsidRDefault="00E91BAA" w:rsidP="00E91BAA">
      <w:pPr>
        <w:pStyle w:val="HTMLPreformatted"/>
        <w:rPr>
          <w:color w:val="000000"/>
        </w:rPr>
      </w:pPr>
      <w:r w:rsidRPr="00E91BAA">
        <w:rPr>
          <w:color w:val="000000"/>
          <w:highlight w:val="yellow"/>
        </w:rPr>
        <w:t xml:space="preserve">   of a code </w:t>
      </w:r>
      <w:proofErr w:type="gramStart"/>
      <w:r w:rsidRPr="00E91BAA">
        <w:rPr>
          <w:color w:val="000000"/>
          <w:highlight w:val="yellow"/>
        </w:rPr>
        <w:t>point</w:t>
      </w:r>
      <w:proofErr w:type="gramEnd"/>
      <w:r w:rsidRPr="00E91BAA">
        <w:rPr>
          <w:color w:val="000000"/>
          <w:highlight w:val="yellow"/>
        </w:rPr>
        <w:t xml:space="preserve"> should be that it is excluded.</w:t>
      </w:r>
    </w:p>
    <w:p w:rsidR="00E91BAA" w:rsidRDefault="00E91BAA" w:rsidP="007668C4"/>
    <w:sectPr w:rsidR="00E91BAA" w:rsidSect="00B67FCF"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40E" w:rsidRDefault="003A740E" w:rsidP="00876CE6">
      <w:pPr>
        <w:spacing w:after="0" w:line="240" w:lineRule="auto"/>
      </w:pPr>
      <w:r>
        <w:separator/>
      </w:r>
    </w:p>
  </w:endnote>
  <w:endnote w:type="continuationSeparator" w:id="0">
    <w:p w:rsidR="003A740E" w:rsidRDefault="003A740E" w:rsidP="0087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12601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1B67" w:rsidRDefault="00C87F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04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1B67" w:rsidRDefault="00AC1B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40E" w:rsidRDefault="003A740E" w:rsidP="00876CE6">
      <w:pPr>
        <w:spacing w:after="0" w:line="240" w:lineRule="auto"/>
      </w:pPr>
      <w:r>
        <w:separator/>
      </w:r>
    </w:p>
  </w:footnote>
  <w:footnote w:type="continuationSeparator" w:id="0">
    <w:p w:rsidR="003A740E" w:rsidRDefault="003A740E" w:rsidP="00876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276E8"/>
    <w:multiLevelType w:val="hybridMultilevel"/>
    <w:tmpl w:val="30662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175FA"/>
    <w:multiLevelType w:val="hybridMultilevel"/>
    <w:tmpl w:val="FE72F9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C319A2"/>
    <w:multiLevelType w:val="hybridMultilevel"/>
    <w:tmpl w:val="690EDE1A"/>
    <w:lvl w:ilvl="0" w:tplc="21B223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A4225"/>
    <w:multiLevelType w:val="hybridMultilevel"/>
    <w:tmpl w:val="FE72F9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A83CBC"/>
    <w:multiLevelType w:val="hybridMultilevel"/>
    <w:tmpl w:val="95FA44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05130B"/>
    <w:multiLevelType w:val="hybridMultilevel"/>
    <w:tmpl w:val="84FC40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E7147F"/>
    <w:multiLevelType w:val="hybridMultilevel"/>
    <w:tmpl w:val="51EC25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E47650"/>
    <w:multiLevelType w:val="hybridMultilevel"/>
    <w:tmpl w:val="6BCE29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D17E22"/>
    <w:multiLevelType w:val="hybridMultilevel"/>
    <w:tmpl w:val="54EAE9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385E74"/>
    <w:multiLevelType w:val="hybridMultilevel"/>
    <w:tmpl w:val="51EC25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8F9678A"/>
    <w:multiLevelType w:val="hybridMultilevel"/>
    <w:tmpl w:val="337EE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DFA"/>
    <w:rsid w:val="0000306F"/>
    <w:rsid w:val="00003BC7"/>
    <w:rsid w:val="00016ED8"/>
    <w:rsid w:val="00032989"/>
    <w:rsid w:val="00034369"/>
    <w:rsid w:val="000362B2"/>
    <w:rsid w:val="0004538E"/>
    <w:rsid w:val="000462EA"/>
    <w:rsid w:val="00047149"/>
    <w:rsid w:val="00057300"/>
    <w:rsid w:val="00065C6E"/>
    <w:rsid w:val="0006668D"/>
    <w:rsid w:val="00066D26"/>
    <w:rsid w:val="000670E2"/>
    <w:rsid w:val="00073921"/>
    <w:rsid w:val="00075303"/>
    <w:rsid w:val="0008294B"/>
    <w:rsid w:val="00084F0E"/>
    <w:rsid w:val="00096556"/>
    <w:rsid w:val="00097223"/>
    <w:rsid w:val="000A0618"/>
    <w:rsid w:val="000A33C2"/>
    <w:rsid w:val="000A3D85"/>
    <w:rsid w:val="000A4D1B"/>
    <w:rsid w:val="000A669F"/>
    <w:rsid w:val="000B0252"/>
    <w:rsid w:val="000B082D"/>
    <w:rsid w:val="000B3659"/>
    <w:rsid w:val="000B693C"/>
    <w:rsid w:val="000C12C1"/>
    <w:rsid w:val="000C61EE"/>
    <w:rsid w:val="000D427F"/>
    <w:rsid w:val="000D51AD"/>
    <w:rsid w:val="000E3879"/>
    <w:rsid w:val="000E47F2"/>
    <w:rsid w:val="000E5382"/>
    <w:rsid w:val="000F2DF0"/>
    <w:rsid w:val="000F4D9B"/>
    <w:rsid w:val="000F5B02"/>
    <w:rsid w:val="000F732B"/>
    <w:rsid w:val="001006ED"/>
    <w:rsid w:val="00102FA3"/>
    <w:rsid w:val="001074D9"/>
    <w:rsid w:val="00115AED"/>
    <w:rsid w:val="00142922"/>
    <w:rsid w:val="00143C59"/>
    <w:rsid w:val="00153BAF"/>
    <w:rsid w:val="00154E71"/>
    <w:rsid w:val="00157F69"/>
    <w:rsid w:val="001868B9"/>
    <w:rsid w:val="001936C7"/>
    <w:rsid w:val="00193AA0"/>
    <w:rsid w:val="00196AB3"/>
    <w:rsid w:val="00197356"/>
    <w:rsid w:val="00197FCA"/>
    <w:rsid w:val="001A6A50"/>
    <w:rsid w:val="001C36C8"/>
    <w:rsid w:val="001D110A"/>
    <w:rsid w:val="001D2A35"/>
    <w:rsid w:val="001E56F8"/>
    <w:rsid w:val="001E60AB"/>
    <w:rsid w:val="001F15CB"/>
    <w:rsid w:val="001F5EB2"/>
    <w:rsid w:val="0020153D"/>
    <w:rsid w:val="00211106"/>
    <w:rsid w:val="00212600"/>
    <w:rsid w:val="0021486A"/>
    <w:rsid w:val="0022283C"/>
    <w:rsid w:val="00223EF8"/>
    <w:rsid w:val="002245AE"/>
    <w:rsid w:val="0023554C"/>
    <w:rsid w:val="00235D1C"/>
    <w:rsid w:val="00241234"/>
    <w:rsid w:val="00243272"/>
    <w:rsid w:val="00244F07"/>
    <w:rsid w:val="0024576E"/>
    <w:rsid w:val="00245F49"/>
    <w:rsid w:val="00250359"/>
    <w:rsid w:val="0025498E"/>
    <w:rsid w:val="002648C2"/>
    <w:rsid w:val="002712E5"/>
    <w:rsid w:val="00276ECB"/>
    <w:rsid w:val="002773ED"/>
    <w:rsid w:val="002815ED"/>
    <w:rsid w:val="002961D0"/>
    <w:rsid w:val="002A0BBE"/>
    <w:rsid w:val="002A3D56"/>
    <w:rsid w:val="002A7A6F"/>
    <w:rsid w:val="002B0AB0"/>
    <w:rsid w:val="002B55EC"/>
    <w:rsid w:val="002B61C9"/>
    <w:rsid w:val="002C1488"/>
    <w:rsid w:val="002D33E3"/>
    <w:rsid w:val="002D35E9"/>
    <w:rsid w:val="002D475E"/>
    <w:rsid w:val="002E5A3D"/>
    <w:rsid w:val="002F09C3"/>
    <w:rsid w:val="002F0DF7"/>
    <w:rsid w:val="002F3131"/>
    <w:rsid w:val="002F585C"/>
    <w:rsid w:val="002F7CAC"/>
    <w:rsid w:val="00306428"/>
    <w:rsid w:val="00307446"/>
    <w:rsid w:val="00310935"/>
    <w:rsid w:val="00313B48"/>
    <w:rsid w:val="00313B7B"/>
    <w:rsid w:val="00317820"/>
    <w:rsid w:val="0032286B"/>
    <w:rsid w:val="00326C70"/>
    <w:rsid w:val="0033160D"/>
    <w:rsid w:val="00331A0E"/>
    <w:rsid w:val="00333121"/>
    <w:rsid w:val="0033762C"/>
    <w:rsid w:val="003415BD"/>
    <w:rsid w:val="003421E2"/>
    <w:rsid w:val="00344A89"/>
    <w:rsid w:val="00350A9C"/>
    <w:rsid w:val="0035238F"/>
    <w:rsid w:val="00352635"/>
    <w:rsid w:val="00353980"/>
    <w:rsid w:val="00357AE4"/>
    <w:rsid w:val="003637C3"/>
    <w:rsid w:val="00373A16"/>
    <w:rsid w:val="00383AE4"/>
    <w:rsid w:val="003864D8"/>
    <w:rsid w:val="003870BE"/>
    <w:rsid w:val="00387776"/>
    <w:rsid w:val="00397D1C"/>
    <w:rsid w:val="003A01ED"/>
    <w:rsid w:val="003A0488"/>
    <w:rsid w:val="003A354F"/>
    <w:rsid w:val="003A437E"/>
    <w:rsid w:val="003A5A5E"/>
    <w:rsid w:val="003A740E"/>
    <w:rsid w:val="003B2F9B"/>
    <w:rsid w:val="003B3457"/>
    <w:rsid w:val="003B3FD3"/>
    <w:rsid w:val="003B7594"/>
    <w:rsid w:val="003C2F01"/>
    <w:rsid w:val="003C47C6"/>
    <w:rsid w:val="003C5002"/>
    <w:rsid w:val="003D0519"/>
    <w:rsid w:val="003D1C6C"/>
    <w:rsid w:val="003D1E49"/>
    <w:rsid w:val="003D4B2E"/>
    <w:rsid w:val="003D50DF"/>
    <w:rsid w:val="003E4628"/>
    <w:rsid w:val="003F0DC6"/>
    <w:rsid w:val="003F7F51"/>
    <w:rsid w:val="004044C6"/>
    <w:rsid w:val="00410A3C"/>
    <w:rsid w:val="00424BC9"/>
    <w:rsid w:val="00427DC6"/>
    <w:rsid w:val="00430C67"/>
    <w:rsid w:val="00442EF1"/>
    <w:rsid w:val="0044418C"/>
    <w:rsid w:val="00444FFA"/>
    <w:rsid w:val="00445115"/>
    <w:rsid w:val="00446290"/>
    <w:rsid w:val="00452BC3"/>
    <w:rsid w:val="00452DC7"/>
    <w:rsid w:val="00454CA4"/>
    <w:rsid w:val="00457464"/>
    <w:rsid w:val="00461FDD"/>
    <w:rsid w:val="0047036F"/>
    <w:rsid w:val="0047143E"/>
    <w:rsid w:val="00474E79"/>
    <w:rsid w:val="00477F0E"/>
    <w:rsid w:val="00481CC8"/>
    <w:rsid w:val="00486FA2"/>
    <w:rsid w:val="00492DF1"/>
    <w:rsid w:val="0049346E"/>
    <w:rsid w:val="00493A89"/>
    <w:rsid w:val="004A1473"/>
    <w:rsid w:val="004A578F"/>
    <w:rsid w:val="004B1588"/>
    <w:rsid w:val="004B19B3"/>
    <w:rsid w:val="004B4A8A"/>
    <w:rsid w:val="004C3A84"/>
    <w:rsid w:val="004C3ADC"/>
    <w:rsid w:val="004C566B"/>
    <w:rsid w:val="004C5F72"/>
    <w:rsid w:val="004C6C8C"/>
    <w:rsid w:val="004D242C"/>
    <w:rsid w:val="004D5A6B"/>
    <w:rsid w:val="004D71CD"/>
    <w:rsid w:val="004D734C"/>
    <w:rsid w:val="004E1C2C"/>
    <w:rsid w:val="004E4867"/>
    <w:rsid w:val="004E48B0"/>
    <w:rsid w:val="004E6F2C"/>
    <w:rsid w:val="004F3E29"/>
    <w:rsid w:val="004F4930"/>
    <w:rsid w:val="00511E91"/>
    <w:rsid w:val="0051491F"/>
    <w:rsid w:val="00515637"/>
    <w:rsid w:val="0052290D"/>
    <w:rsid w:val="00524A02"/>
    <w:rsid w:val="00531DC0"/>
    <w:rsid w:val="00532F11"/>
    <w:rsid w:val="00535003"/>
    <w:rsid w:val="005369EC"/>
    <w:rsid w:val="00543C9B"/>
    <w:rsid w:val="00545768"/>
    <w:rsid w:val="00545C0A"/>
    <w:rsid w:val="00553E8C"/>
    <w:rsid w:val="005544E5"/>
    <w:rsid w:val="00565D7C"/>
    <w:rsid w:val="005662B9"/>
    <w:rsid w:val="0056656B"/>
    <w:rsid w:val="005713E8"/>
    <w:rsid w:val="00572A01"/>
    <w:rsid w:val="00586F6A"/>
    <w:rsid w:val="00596BF1"/>
    <w:rsid w:val="005B028C"/>
    <w:rsid w:val="005B35C3"/>
    <w:rsid w:val="005B6815"/>
    <w:rsid w:val="005C2B21"/>
    <w:rsid w:val="005C3115"/>
    <w:rsid w:val="005C3972"/>
    <w:rsid w:val="005D4028"/>
    <w:rsid w:val="005D4CD7"/>
    <w:rsid w:val="005E1272"/>
    <w:rsid w:val="005F488B"/>
    <w:rsid w:val="00602121"/>
    <w:rsid w:val="006027AC"/>
    <w:rsid w:val="006030AF"/>
    <w:rsid w:val="0061064A"/>
    <w:rsid w:val="0063564E"/>
    <w:rsid w:val="00636F7A"/>
    <w:rsid w:val="00643D36"/>
    <w:rsid w:val="00652200"/>
    <w:rsid w:val="0066220B"/>
    <w:rsid w:val="0066254D"/>
    <w:rsid w:val="00664CB8"/>
    <w:rsid w:val="006661AE"/>
    <w:rsid w:val="0067351E"/>
    <w:rsid w:val="00674402"/>
    <w:rsid w:val="0068668D"/>
    <w:rsid w:val="00687C8F"/>
    <w:rsid w:val="00696C91"/>
    <w:rsid w:val="006A00A3"/>
    <w:rsid w:val="006A2E71"/>
    <w:rsid w:val="006A553E"/>
    <w:rsid w:val="006B1EE4"/>
    <w:rsid w:val="006B68DD"/>
    <w:rsid w:val="006B7655"/>
    <w:rsid w:val="006B76A5"/>
    <w:rsid w:val="006C0D8D"/>
    <w:rsid w:val="006D29E8"/>
    <w:rsid w:val="006D56E5"/>
    <w:rsid w:val="006D73E9"/>
    <w:rsid w:val="006E1C49"/>
    <w:rsid w:val="006E1D6C"/>
    <w:rsid w:val="006E37D0"/>
    <w:rsid w:val="006F17D2"/>
    <w:rsid w:val="007026D2"/>
    <w:rsid w:val="00704767"/>
    <w:rsid w:val="007068CB"/>
    <w:rsid w:val="007100C7"/>
    <w:rsid w:val="00712F1A"/>
    <w:rsid w:val="0071526E"/>
    <w:rsid w:val="0072451D"/>
    <w:rsid w:val="00724F07"/>
    <w:rsid w:val="00724F12"/>
    <w:rsid w:val="00731C46"/>
    <w:rsid w:val="00736A05"/>
    <w:rsid w:val="00741271"/>
    <w:rsid w:val="0074260C"/>
    <w:rsid w:val="007464EC"/>
    <w:rsid w:val="00757743"/>
    <w:rsid w:val="00764EC7"/>
    <w:rsid w:val="007668C4"/>
    <w:rsid w:val="00770EEA"/>
    <w:rsid w:val="00775D67"/>
    <w:rsid w:val="00776A45"/>
    <w:rsid w:val="0078132E"/>
    <w:rsid w:val="007816A6"/>
    <w:rsid w:val="00786384"/>
    <w:rsid w:val="007945CA"/>
    <w:rsid w:val="00797BA3"/>
    <w:rsid w:val="007A3B34"/>
    <w:rsid w:val="007A4EA1"/>
    <w:rsid w:val="007A594A"/>
    <w:rsid w:val="007C1A9C"/>
    <w:rsid w:val="007C1C4A"/>
    <w:rsid w:val="007C3BB9"/>
    <w:rsid w:val="007C74C8"/>
    <w:rsid w:val="007E3472"/>
    <w:rsid w:val="007E6AF4"/>
    <w:rsid w:val="007F4307"/>
    <w:rsid w:val="007F67B0"/>
    <w:rsid w:val="007F69F9"/>
    <w:rsid w:val="00800132"/>
    <w:rsid w:val="0080118F"/>
    <w:rsid w:val="00802745"/>
    <w:rsid w:val="00802DAB"/>
    <w:rsid w:val="00806706"/>
    <w:rsid w:val="0080673C"/>
    <w:rsid w:val="00817194"/>
    <w:rsid w:val="00825EB0"/>
    <w:rsid w:val="00827EC1"/>
    <w:rsid w:val="0083537E"/>
    <w:rsid w:val="008458F8"/>
    <w:rsid w:val="00846081"/>
    <w:rsid w:val="008474EB"/>
    <w:rsid w:val="0085079E"/>
    <w:rsid w:val="0085120F"/>
    <w:rsid w:val="00863ADD"/>
    <w:rsid w:val="00874D72"/>
    <w:rsid w:val="00876CE6"/>
    <w:rsid w:val="00880346"/>
    <w:rsid w:val="0089081A"/>
    <w:rsid w:val="00891C17"/>
    <w:rsid w:val="008A0558"/>
    <w:rsid w:val="008A4E79"/>
    <w:rsid w:val="008A5D19"/>
    <w:rsid w:val="008A7140"/>
    <w:rsid w:val="008C1C19"/>
    <w:rsid w:val="008C711B"/>
    <w:rsid w:val="008D3BFD"/>
    <w:rsid w:val="008D53DB"/>
    <w:rsid w:val="008D6A71"/>
    <w:rsid w:val="00903927"/>
    <w:rsid w:val="00904609"/>
    <w:rsid w:val="00906080"/>
    <w:rsid w:val="00912BE5"/>
    <w:rsid w:val="00915B26"/>
    <w:rsid w:val="00921B50"/>
    <w:rsid w:val="00921E47"/>
    <w:rsid w:val="00923BE8"/>
    <w:rsid w:val="00930A97"/>
    <w:rsid w:val="009344ED"/>
    <w:rsid w:val="00934E8D"/>
    <w:rsid w:val="009522AB"/>
    <w:rsid w:val="0095743A"/>
    <w:rsid w:val="0096217F"/>
    <w:rsid w:val="00964AAB"/>
    <w:rsid w:val="00966DBE"/>
    <w:rsid w:val="00971DFA"/>
    <w:rsid w:val="009757CD"/>
    <w:rsid w:val="00976193"/>
    <w:rsid w:val="00981A07"/>
    <w:rsid w:val="00987022"/>
    <w:rsid w:val="009902ED"/>
    <w:rsid w:val="0099728D"/>
    <w:rsid w:val="009A7919"/>
    <w:rsid w:val="009C41AA"/>
    <w:rsid w:val="009C5276"/>
    <w:rsid w:val="009C5C1A"/>
    <w:rsid w:val="009D4314"/>
    <w:rsid w:val="009D556D"/>
    <w:rsid w:val="009F68F0"/>
    <w:rsid w:val="00A00CCA"/>
    <w:rsid w:val="00A0546C"/>
    <w:rsid w:val="00A11ACF"/>
    <w:rsid w:val="00A14428"/>
    <w:rsid w:val="00A14707"/>
    <w:rsid w:val="00A17EDE"/>
    <w:rsid w:val="00A316DE"/>
    <w:rsid w:val="00A5732B"/>
    <w:rsid w:val="00A61780"/>
    <w:rsid w:val="00A6436C"/>
    <w:rsid w:val="00A6678E"/>
    <w:rsid w:val="00A72AA0"/>
    <w:rsid w:val="00A73ED4"/>
    <w:rsid w:val="00A7740D"/>
    <w:rsid w:val="00AA1F90"/>
    <w:rsid w:val="00AA64D2"/>
    <w:rsid w:val="00AC1B67"/>
    <w:rsid w:val="00AD0082"/>
    <w:rsid w:val="00AD0647"/>
    <w:rsid w:val="00AD157C"/>
    <w:rsid w:val="00AD4FEC"/>
    <w:rsid w:val="00AD7D6B"/>
    <w:rsid w:val="00AE3759"/>
    <w:rsid w:val="00AE389B"/>
    <w:rsid w:val="00AE5B0B"/>
    <w:rsid w:val="00AF68D4"/>
    <w:rsid w:val="00B00884"/>
    <w:rsid w:val="00B02826"/>
    <w:rsid w:val="00B06813"/>
    <w:rsid w:val="00B10002"/>
    <w:rsid w:val="00B14B5B"/>
    <w:rsid w:val="00B2170E"/>
    <w:rsid w:val="00B304E2"/>
    <w:rsid w:val="00B310B0"/>
    <w:rsid w:val="00B33490"/>
    <w:rsid w:val="00B335FD"/>
    <w:rsid w:val="00B37953"/>
    <w:rsid w:val="00B41638"/>
    <w:rsid w:val="00B508DA"/>
    <w:rsid w:val="00B53A1F"/>
    <w:rsid w:val="00B55DFF"/>
    <w:rsid w:val="00B57C5A"/>
    <w:rsid w:val="00B61D6B"/>
    <w:rsid w:val="00B6339C"/>
    <w:rsid w:val="00B6465E"/>
    <w:rsid w:val="00B67FCF"/>
    <w:rsid w:val="00B747A9"/>
    <w:rsid w:val="00B84C45"/>
    <w:rsid w:val="00B86BD4"/>
    <w:rsid w:val="00B93DC0"/>
    <w:rsid w:val="00B96461"/>
    <w:rsid w:val="00BA491F"/>
    <w:rsid w:val="00BA6580"/>
    <w:rsid w:val="00BC1169"/>
    <w:rsid w:val="00BC4D46"/>
    <w:rsid w:val="00BC4E4A"/>
    <w:rsid w:val="00BD7190"/>
    <w:rsid w:val="00BD769C"/>
    <w:rsid w:val="00BF038D"/>
    <w:rsid w:val="00BF175D"/>
    <w:rsid w:val="00BF7EBE"/>
    <w:rsid w:val="00C0527D"/>
    <w:rsid w:val="00C05501"/>
    <w:rsid w:val="00C067F5"/>
    <w:rsid w:val="00C12F52"/>
    <w:rsid w:val="00C162FC"/>
    <w:rsid w:val="00C213E9"/>
    <w:rsid w:val="00C2787A"/>
    <w:rsid w:val="00C438BD"/>
    <w:rsid w:val="00C644D6"/>
    <w:rsid w:val="00C66ACE"/>
    <w:rsid w:val="00C84A62"/>
    <w:rsid w:val="00C853FD"/>
    <w:rsid w:val="00C85E99"/>
    <w:rsid w:val="00C87F51"/>
    <w:rsid w:val="00C921FC"/>
    <w:rsid w:val="00C92DF4"/>
    <w:rsid w:val="00C93BFD"/>
    <w:rsid w:val="00C97798"/>
    <w:rsid w:val="00CA05BC"/>
    <w:rsid w:val="00CA2957"/>
    <w:rsid w:val="00CB025F"/>
    <w:rsid w:val="00CB0F4A"/>
    <w:rsid w:val="00CB3155"/>
    <w:rsid w:val="00CB4222"/>
    <w:rsid w:val="00CC0527"/>
    <w:rsid w:val="00CC5A4E"/>
    <w:rsid w:val="00CC6D1A"/>
    <w:rsid w:val="00CD04A6"/>
    <w:rsid w:val="00CD693F"/>
    <w:rsid w:val="00CE15DD"/>
    <w:rsid w:val="00CF4B0B"/>
    <w:rsid w:val="00CF52B0"/>
    <w:rsid w:val="00CF58FB"/>
    <w:rsid w:val="00CF74B5"/>
    <w:rsid w:val="00D0191F"/>
    <w:rsid w:val="00D04831"/>
    <w:rsid w:val="00D056A3"/>
    <w:rsid w:val="00D05BD4"/>
    <w:rsid w:val="00D07B7E"/>
    <w:rsid w:val="00D15A8C"/>
    <w:rsid w:val="00D17F68"/>
    <w:rsid w:val="00D24655"/>
    <w:rsid w:val="00D24A2C"/>
    <w:rsid w:val="00D3016D"/>
    <w:rsid w:val="00D335E2"/>
    <w:rsid w:val="00D33720"/>
    <w:rsid w:val="00D36C5A"/>
    <w:rsid w:val="00D36EAA"/>
    <w:rsid w:val="00D405A8"/>
    <w:rsid w:val="00D4241E"/>
    <w:rsid w:val="00D52A39"/>
    <w:rsid w:val="00D53964"/>
    <w:rsid w:val="00D57D9A"/>
    <w:rsid w:val="00D70363"/>
    <w:rsid w:val="00D72609"/>
    <w:rsid w:val="00D74068"/>
    <w:rsid w:val="00D81089"/>
    <w:rsid w:val="00D860E6"/>
    <w:rsid w:val="00D91C03"/>
    <w:rsid w:val="00D92726"/>
    <w:rsid w:val="00D92C70"/>
    <w:rsid w:val="00D94224"/>
    <w:rsid w:val="00DA77FB"/>
    <w:rsid w:val="00DB0CD5"/>
    <w:rsid w:val="00DB14F7"/>
    <w:rsid w:val="00DC3BEB"/>
    <w:rsid w:val="00DC5B96"/>
    <w:rsid w:val="00DC7261"/>
    <w:rsid w:val="00DD2DA3"/>
    <w:rsid w:val="00DD4BC4"/>
    <w:rsid w:val="00DE50ED"/>
    <w:rsid w:val="00DF10A3"/>
    <w:rsid w:val="00DF1470"/>
    <w:rsid w:val="00DF3CBA"/>
    <w:rsid w:val="00DF74FC"/>
    <w:rsid w:val="00E02C98"/>
    <w:rsid w:val="00E04C4E"/>
    <w:rsid w:val="00E114AB"/>
    <w:rsid w:val="00E12D7E"/>
    <w:rsid w:val="00E1488F"/>
    <w:rsid w:val="00E209AC"/>
    <w:rsid w:val="00E30607"/>
    <w:rsid w:val="00E34B91"/>
    <w:rsid w:val="00E41356"/>
    <w:rsid w:val="00E4365A"/>
    <w:rsid w:val="00E44242"/>
    <w:rsid w:val="00E452D2"/>
    <w:rsid w:val="00E51A12"/>
    <w:rsid w:val="00E53687"/>
    <w:rsid w:val="00E54F2C"/>
    <w:rsid w:val="00E6162C"/>
    <w:rsid w:val="00E61F09"/>
    <w:rsid w:val="00E7535E"/>
    <w:rsid w:val="00E80306"/>
    <w:rsid w:val="00E857A8"/>
    <w:rsid w:val="00E90C27"/>
    <w:rsid w:val="00E91BAA"/>
    <w:rsid w:val="00E97114"/>
    <w:rsid w:val="00EA1AD4"/>
    <w:rsid w:val="00EA3B0A"/>
    <w:rsid w:val="00EB4C09"/>
    <w:rsid w:val="00EB5AC2"/>
    <w:rsid w:val="00EC0AC6"/>
    <w:rsid w:val="00EC12BC"/>
    <w:rsid w:val="00EC279C"/>
    <w:rsid w:val="00ED2B41"/>
    <w:rsid w:val="00EE05D0"/>
    <w:rsid w:val="00EF4D54"/>
    <w:rsid w:val="00F006D0"/>
    <w:rsid w:val="00F009FE"/>
    <w:rsid w:val="00F00A44"/>
    <w:rsid w:val="00F012E3"/>
    <w:rsid w:val="00F04826"/>
    <w:rsid w:val="00F07BF4"/>
    <w:rsid w:val="00F102E7"/>
    <w:rsid w:val="00F13B2A"/>
    <w:rsid w:val="00F147AF"/>
    <w:rsid w:val="00F159EE"/>
    <w:rsid w:val="00F24DCB"/>
    <w:rsid w:val="00F265D7"/>
    <w:rsid w:val="00F317D4"/>
    <w:rsid w:val="00F32A4D"/>
    <w:rsid w:val="00F37D68"/>
    <w:rsid w:val="00F40C5A"/>
    <w:rsid w:val="00F53497"/>
    <w:rsid w:val="00F6532A"/>
    <w:rsid w:val="00F65D4A"/>
    <w:rsid w:val="00F71422"/>
    <w:rsid w:val="00F75FF6"/>
    <w:rsid w:val="00F80685"/>
    <w:rsid w:val="00F816C1"/>
    <w:rsid w:val="00F82306"/>
    <w:rsid w:val="00F90064"/>
    <w:rsid w:val="00F9225C"/>
    <w:rsid w:val="00F97EED"/>
    <w:rsid w:val="00FB1795"/>
    <w:rsid w:val="00FB5032"/>
    <w:rsid w:val="00FB69FB"/>
    <w:rsid w:val="00FB6D2B"/>
    <w:rsid w:val="00FC1185"/>
    <w:rsid w:val="00FC2C3B"/>
    <w:rsid w:val="00FC3DC2"/>
    <w:rsid w:val="00FC6B5B"/>
    <w:rsid w:val="00FD1916"/>
    <w:rsid w:val="00FE0C6F"/>
    <w:rsid w:val="00FE4ABA"/>
    <w:rsid w:val="00FE58A2"/>
    <w:rsid w:val="00FF3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C43AA"/>
  <w15:docId w15:val="{EF143511-9811-45F7-BCF9-93791B28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67FCF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6F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668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78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76C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6C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6CE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76CE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CE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6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229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C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7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EED"/>
  </w:style>
  <w:style w:type="paragraph" w:styleId="Footer">
    <w:name w:val="footer"/>
    <w:basedOn w:val="Normal"/>
    <w:link w:val="FooterChar"/>
    <w:uiPriority w:val="99"/>
    <w:unhideWhenUsed/>
    <w:rsid w:val="00F97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EED"/>
  </w:style>
  <w:style w:type="character" w:customStyle="1" w:styleId="Heading5Char">
    <w:name w:val="Heading 5 Char"/>
    <w:basedOn w:val="DefaultParagraphFont"/>
    <w:link w:val="Heading5"/>
    <w:uiPriority w:val="9"/>
    <w:rsid w:val="007668C4"/>
    <w:rPr>
      <w:rFonts w:ascii="Times New Roman" w:eastAsia="Times New Roman" w:hAnsi="Times New Roman" w:cs="Times New Roman"/>
      <w:b/>
      <w:bCs/>
      <w:sz w:val="20"/>
      <w:szCs w:val="20"/>
      <w:lang w:val="en-SG" w:eastAsia="en-SG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6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SG" w:eastAsia="en-S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68C4"/>
    <w:rPr>
      <w:rFonts w:ascii="Courier New" w:eastAsia="Times New Roman" w:hAnsi="Courier New" w:cs="Courier New"/>
      <w:sz w:val="20"/>
      <w:szCs w:val="20"/>
      <w:lang w:val="en-SG" w:eastAsia="en-S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6F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grey">
    <w:name w:val="grey"/>
    <w:basedOn w:val="DefaultParagraphFont"/>
    <w:rsid w:val="00586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ols.ietf.org/html/rfc5890" TargetMode="External"/><Relationship Id="rId13" Type="http://schemas.openxmlformats.org/officeDocument/2006/relationships/hyperlink" Target="https://tools.ietf.org/html/rfc3743" TargetMode="External"/><Relationship Id="rId18" Type="http://schemas.openxmlformats.org/officeDocument/2006/relationships/hyperlink" Target="https://tools.ietf.org/html/rfc5894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tools.ietf.org/html/rfc5894" TargetMode="External"/><Relationship Id="rId17" Type="http://schemas.openxmlformats.org/officeDocument/2006/relationships/hyperlink" Target="https://tools.ietf.org/html/rfc589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ools.ietf.org/html/rfc5894" TargetMode="External"/><Relationship Id="rId20" Type="http://schemas.openxmlformats.org/officeDocument/2006/relationships/hyperlink" Target="https://tools.ietf.org/html/rfc589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ools.ietf.org/html/rfc58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ools.ietf.org/html/rfc471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ools.ietf.org/html/rfc5894" TargetMode="External"/><Relationship Id="rId19" Type="http://schemas.openxmlformats.org/officeDocument/2006/relationships/hyperlink" Target="https://tools.ietf.org/html/rfc58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ols.ietf.org/html/rfc5891" TargetMode="External"/><Relationship Id="rId14" Type="http://schemas.openxmlformats.org/officeDocument/2006/relationships/hyperlink" Target="https://tools.ietf.org/html/rfc429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F42B7-BADC-4B2D-AEE1-ACC96726B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3449</TotalTime>
  <Pages>5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Verisign Inc</Company>
  <LinksUpToDate>false</LinksUpToDate>
  <CharactersWithSpaces>11378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Sarmad Hussain</dc:creator>
  <cp:lastModifiedBy>Sarmad Hussain</cp:lastModifiedBy>
  <cp:revision>161</cp:revision>
  <cp:lastPrinted>2017-01-31T17:17:00Z</cp:lastPrinted>
  <dcterms:created xsi:type="dcterms:W3CDTF">2016-04-22T09:10:00Z</dcterms:created>
  <dcterms:modified xsi:type="dcterms:W3CDTF">2017-06-03T19:01:00Z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