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CA2957">
      <w:pPr>
        <w:rPr>
          <w:b/>
          <w:bCs/>
          <w:color w:val="000000" w:themeColor="text1"/>
        </w:rPr>
      </w:pPr>
      <w:r w:rsidRPr="00F75FF6">
        <w:rPr>
          <w:b/>
          <w:bCs/>
          <w:color w:val="000000" w:themeColor="text1"/>
        </w:rPr>
        <w:t xml:space="preserve">Notes from Meeting on </w:t>
      </w:r>
      <w:r w:rsidR="0004663E">
        <w:rPr>
          <w:b/>
          <w:bCs/>
          <w:color w:val="000000" w:themeColor="text1"/>
        </w:rPr>
        <w:t>6</w:t>
      </w:r>
      <w:r w:rsidR="00CA2957">
        <w:rPr>
          <w:b/>
          <w:bCs/>
          <w:color w:val="000000" w:themeColor="text1"/>
        </w:rPr>
        <w:t xml:space="preserve"> </w:t>
      </w:r>
      <w:r w:rsidR="0004663E">
        <w:rPr>
          <w:b/>
          <w:bCs/>
          <w:color w:val="000000" w:themeColor="text1"/>
        </w:rPr>
        <w:t>July</w:t>
      </w:r>
      <w:r w:rsidR="00F04826">
        <w:rPr>
          <w:b/>
          <w:bCs/>
          <w:color w:val="000000" w:themeColor="text1"/>
        </w:rPr>
        <w:t>,</w:t>
      </w:r>
      <w:r w:rsidRPr="00F75FF6">
        <w:rPr>
          <w:b/>
          <w:bCs/>
          <w:color w:val="000000" w:themeColor="text1"/>
        </w:rPr>
        <w:t xml:space="preserve"> 201</w:t>
      </w:r>
      <w:r w:rsidR="00BD769C">
        <w:rPr>
          <w:b/>
          <w:bCs/>
          <w:color w:val="000000" w:themeColor="text1"/>
        </w:rPr>
        <w:t>7</w:t>
      </w:r>
    </w:p>
    <w:p w:rsidR="00B6339C" w:rsidRPr="00F75FF6" w:rsidRDefault="007100C7" w:rsidP="00A61780">
      <w:pPr>
        <w:rPr>
          <w:color w:val="000000" w:themeColor="text1"/>
          <w:u w:val="single"/>
        </w:rPr>
      </w:pPr>
      <w:r w:rsidRPr="00F75FF6">
        <w:rPr>
          <w:color w:val="000000" w:themeColor="text1"/>
          <w:u w:val="single"/>
        </w:rPr>
        <w:t>Meeting Attendees</w:t>
      </w:r>
      <w:r w:rsidR="0038777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BF46BB" w:rsidRDefault="00BF46BB" w:rsidP="00F147AF">
      <w:pPr>
        <w:pStyle w:val="ListParagraph"/>
        <w:numPr>
          <w:ilvl w:val="0"/>
          <w:numId w:val="2"/>
        </w:numPr>
        <w:rPr>
          <w:color w:val="000000" w:themeColor="text1"/>
        </w:rPr>
      </w:pPr>
      <w:r>
        <w:rPr>
          <w:color w:val="000000" w:themeColor="text1"/>
        </w:rPr>
        <w:t>Edmon Chung</w:t>
      </w:r>
    </w:p>
    <w:p w:rsidR="00BF46BB" w:rsidRDefault="00BF46BB" w:rsidP="00BF46BB">
      <w:pPr>
        <w:pStyle w:val="ListParagraph"/>
        <w:numPr>
          <w:ilvl w:val="0"/>
          <w:numId w:val="2"/>
        </w:numPr>
        <w:rPr>
          <w:color w:val="000000" w:themeColor="text1"/>
        </w:rPr>
      </w:pPr>
      <w:r>
        <w:rPr>
          <w:color w:val="000000" w:themeColor="text1"/>
        </w:rPr>
        <w:t>Mats Dufberg</w:t>
      </w:r>
    </w:p>
    <w:p w:rsidR="00F147AF" w:rsidRDefault="00620C13" w:rsidP="00F147AF">
      <w:pPr>
        <w:pStyle w:val="ListParagraph"/>
        <w:numPr>
          <w:ilvl w:val="0"/>
          <w:numId w:val="2"/>
        </w:numPr>
        <w:rPr>
          <w:color w:val="000000" w:themeColor="text1"/>
        </w:rPr>
      </w:pPr>
      <w:r>
        <w:rPr>
          <w:color w:val="000000" w:themeColor="text1"/>
        </w:rPr>
        <w:t>Satish Babu</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members </w:t>
      </w:r>
      <w:r w:rsidR="00E54F2C">
        <w:rPr>
          <w:color w:val="000000" w:themeColor="text1"/>
        </w:rPr>
        <w:t>continued to discuss</w:t>
      </w:r>
      <w:r w:rsidR="00387776">
        <w:rPr>
          <w:color w:val="000000" w:themeColor="text1"/>
        </w:rPr>
        <w:t xml:space="preserve"> the public comments received, based on the PC summary circulated to the WG members</w:t>
      </w:r>
      <w:r w:rsidR="009C5C1A" w:rsidRPr="009C5C1A">
        <w:rPr>
          <w:color w:val="000000" w:themeColor="text1"/>
        </w:rPr>
        <w:t>.</w:t>
      </w:r>
    </w:p>
    <w:p w:rsidR="00C46CC9" w:rsidRDefault="00C46CC9" w:rsidP="00C46CC9">
      <w:pPr>
        <w:pStyle w:val="ListParagraph"/>
        <w:numPr>
          <w:ilvl w:val="0"/>
          <w:numId w:val="1"/>
        </w:numPr>
        <w:rPr>
          <w:bCs/>
        </w:rPr>
      </w:pPr>
      <w:r w:rsidRPr="003F1564">
        <w:rPr>
          <w:b/>
        </w:rPr>
        <w:t xml:space="preserve">Comment </w:t>
      </w:r>
      <w:r>
        <w:rPr>
          <w:b/>
        </w:rPr>
        <w:t>RySG</w:t>
      </w:r>
      <w:r w:rsidR="00620C13">
        <w:rPr>
          <w:b/>
        </w:rPr>
        <w:t>9</w:t>
      </w:r>
      <w:r>
        <w:rPr>
          <w:b/>
        </w:rPr>
        <w:t xml:space="preserve">.  </w:t>
      </w:r>
      <w:r>
        <w:rPr>
          <w:bCs/>
        </w:rPr>
        <w:t>T</w:t>
      </w:r>
      <w:r w:rsidR="00620C13">
        <w:rPr>
          <w:bCs/>
        </w:rPr>
        <w:t xml:space="preserve">he working group agreed with RySG’s recommendation that </w:t>
      </w:r>
      <w:r w:rsidR="000A7E5F">
        <w:rPr>
          <w:bCs/>
        </w:rPr>
        <w:t>TLD registry</w:t>
      </w:r>
      <w:r w:rsidR="00620C13">
        <w:rPr>
          <w:bCs/>
        </w:rPr>
        <w:t xml:space="preserve"> must publish variant activation policy publicly, to be included as </w:t>
      </w:r>
      <w:r w:rsidR="000A7E5F">
        <w:rPr>
          <w:bCs/>
        </w:rPr>
        <w:t>either 13(</w:t>
      </w:r>
      <w:r w:rsidR="00A278C8">
        <w:rPr>
          <w:bCs/>
        </w:rPr>
        <w:t>c</w:t>
      </w:r>
      <w:r w:rsidR="000A7E5F">
        <w:rPr>
          <w:bCs/>
        </w:rPr>
        <w:t xml:space="preserve">) or </w:t>
      </w:r>
      <w:r w:rsidR="00620C13">
        <w:rPr>
          <w:bCs/>
        </w:rPr>
        <w:t>a standalone recommendation</w:t>
      </w:r>
      <w:r w:rsidR="000A7E5F">
        <w:rPr>
          <w:bCs/>
        </w:rPr>
        <w:t>.</w:t>
      </w:r>
    </w:p>
    <w:p w:rsidR="00C46CC9" w:rsidRPr="00BF46BB" w:rsidRDefault="00C46CC9" w:rsidP="00C46CC9">
      <w:pPr>
        <w:pStyle w:val="ListParagraph"/>
        <w:rPr>
          <w:bCs/>
        </w:rPr>
      </w:pPr>
    </w:p>
    <w:p w:rsidR="00F24925" w:rsidRDefault="00C46CC9" w:rsidP="00C46CC9">
      <w:pPr>
        <w:pStyle w:val="ListParagraph"/>
        <w:numPr>
          <w:ilvl w:val="0"/>
          <w:numId w:val="1"/>
        </w:numPr>
        <w:rPr>
          <w:bCs/>
        </w:rPr>
      </w:pPr>
      <w:r w:rsidRPr="003F1564">
        <w:rPr>
          <w:b/>
        </w:rPr>
        <w:t xml:space="preserve">Comment </w:t>
      </w:r>
      <w:r>
        <w:rPr>
          <w:b/>
        </w:rPr>
        <w:t>RySG</w:t>
      </w:r>
      <w:r w:rsidR="00E25E9F">
        <w:rPr>
          <w:b/>
        </w:rPr>
        <w:t>10</w:t>
      </w:r>
      <w:r>
        <w:rPr>
          <w:b/>
        </w:rPr>
        <w:t xml:space="preserve">.  </w:t>
      </w:r>
      <w:r w:rsidR="00E25E9F">
        <w:rPr>
          <w:bCs/>
        </w:rPr>
        <w:t xml:space="preserve">The WG noted there are three different items being asked by RySG in this comment.  </w:t>
      </w:r>
    </w:p>
    <w:p w:rsidR="00E25E9F" w:rsidRPr="00E25E9F" w:rsidRDefault="00E25E9F" w:rsidP="00E25E9F">
      <w:pPr>
        <w:pStyle w:val="ListParagraph"/>
        <w:rPr>
          <w:bCs/>
        </w:rPr>
      </w:pPr>
    </w:p>
    <w:p w:rsidR="00E25E9F" w:rsidRDefault="00E25E9F" w:rsidP="00262A18">
      <w:pPr>
        <w:pStyle w:val="ListParagraph"/>
        <w:rPr>
          <w:bCs/>
        </w:rPr>
      </w:pPr>
      <w:r>
        <w:rPr>
          <w:bCs/>
        </w:rPr>
        <w:t>For the first part of the comment, it</w:t>
      </w:r>
      <w:r>
        <w:rPr>
          <w:bCs/>
        </w:rPr>
        <w:t xml:space="preserve"> was agreed that the new term “registry side approach” should not be used and should be explained.  </w:t>
      </w:r>
      <w:r>
        <w:rPr>
          <w:bCs/>
        </w:rPr>
        <w:t>It was suggested to break the first paragraph into two parts</w:t>
      </w:r>
      <w:r w:rsidR="00262A18">
        <w:rPr>
          <w:bCs/>
        </w:rPr>
        <w:t xml:space="preserve">:  </w:t>
      </w:r>
      <w:r w:rsidR="00A278C8" w:rsidRPr="00262A18">
        <w:rPr>
          <w:bCs/>
        </w:rPr>
        <w:t xml:space="preserve">13 (a) </w:t>
      </w:r>
      <w:r w:rsidRPr="00262A18">
        <w:rPr>
          <w:bCs/>
        </w:rPr>
        <w:t>Only IDN Variant Labels with a disposition of "allocatable" may be included in the DNS.  IDN Variant Labels must only be delegated into the DNS ("activated") as requested by the registrant (or corresponding registrar)</w:t>
      </w:r>
      <w:r w:rsidR="00A278C8" w:rsidRPr="00262A18">
        <w:rPr>
          <w:bCs/>
        </w:rPr>
        <w:t>.</w:t>
      </w:r>
      <w:r w:rsidR="00262A18">
        <w:rPr>
          <w:bCs/>
        </w:rPr>
        <w:t xml:space="preserve"> </w:t>
      </w:r>
      <w:r w:rsidR="00A278C8" w:rsidRPr="00262A18">
        <w:rPr>
          <w:bCs/>
        </w:rPr>
        <w:t xml:space="preserve">13 (b) The registry may have automatic activation of variant labels if it </w:t>
      </w:r>
      <w:r w:rsidRPr="00262A18">
        <w:rPr>
          <w:bCs/>
        </w:rPr>
        <w:t>is explicit</w:t>
      </w:r>
      <w:r w:rsidR="00A278C8" w:rsidRPr="00262A18">
        <w:rPr>
          <w:bCs/>
        </w:rPr>
        <w:t>ly expressed in the IDN policy</w:t>
      </w:r>
      <w:r w:rsidRPr="00262A18">
        <w:rPr>
          <w:bCs/>
        </w:rPr>
        <w:t xml:space="preserve"> for a particular language/script</w:t>
      </w:r>
      <w:r w:rsidR="00A278C8" w:rsidRPr="00262A18">
        <w:rPr>
          <w:bCs/>
        </w:rPr>
        <w:t>.</w:t>
      </w:r>
    </w:p>
    <w:p w:rsidR="00262A18" w:rsidRDefault="00262A18" w:rsidP="00262A18">
      <w:pPr>
        <w:pStyle w:val="ListParagraph"/>
        <w:rPr>
          <w:bCs/>
        </w:rPr>
      </w:pPr>
    </w:p>
    <w:p w:rsidR="00DD5239" w:rsidRDefault="00262A18" w:rsidP="00DD5239">
      <w:pPr>
        <w:pStyle w:val="ListParagraph"/>
        <w:rPr>
          <w:bCs/>
        </w:rPr>
      </w:pPr>
      <w:r>
        <w:rPr>
          <w:bCs/>
        </w:rPr>
        <w:t>Following second part of the comment, the second paragraph it was discussed whether it be made into 13(c), in case automatic activation is done.  However, it was suggested that the second paragraph should be inc</w:t>
      </w:r>
      <w:r w:rsidR="00DD5239">
        <w:rPr>
          <w:bCs/>
        </w:rPr>
        <w:t>luded as a condition to 13(b), adding “</w:t>
      </w:r>
      <w:r w:rsidR="00DD5239" w:rsidRPr="00DD5239">
        <w:rPr>
          <w:bCs/>
        </w:rPr>
        <w:t>the registry must carefully take into consideration the security and stability impacts</w:t>
      </w:r>
      <w:r w:rsidR="00DD5239">
        <w:rPr>
          <w:bCs/>
        </w:rPr>
        <w:t xml:space="preserve">”.  It was pointed out that automatic activation also puts an operational challenge, which may need to be captured, so that this may be taken up the registries conservatively and carefully.  It was concluded that the second paragraph should be reviewed again in this context.  </w:t>
      </w:r>
    </w:p>
    <w:p w:rsidR="00DD5239" w:rsidRDefault="00DD5239" w:rsidP="00DD5239">
      <w:pPr>
        <w:pStyle w:val="ListParagraph"/>
        <w:rPr>
          <w:bCs/>
        </w:rPr>
      </w:pPr>
    </w:p>
    <w:p w:rsidR="00DD5239" w:rsidRDefault="00DD5239" w:rsidP="00DD5239">
      <w:pPr>
        <w:pStyle w:val="ListParagraph"/>
        <w:rPr>
          <w:bCs/>
        </w:rPr>
      </w:pPr>
      <w:r>
        <w:rPr>
          <w:bCs/>
        </w:rPr>
        <w:t>The last part of the comment regarding use of “must” was parked until the WG comes back and rewrites the second paragraph as part of 13 (b).</w:t>
      </w:r>
    </w:p>
    <w:p w:rsidR="00262A18" w:rsidRPr="00262A18" w:rsidRDefault="00262A18" w:rsidP="00262A18">
      <w:pPr>
        <w:pStyle w:val="ListParagraph"/>
        <w:rPr>
          <w:bCs/>
        </w:rPr>
      </w:pPr>
    </w:p>
    <w:p w:rsidR="002E083F" w:rsidRDefault="002E083F" w:rsidP="002E083F">
      <w:pPr>
        <w:pStyle w:val="ListParagraph"/>
        <w:numPr>
          <w:ilvl w:val="0"/>
          <w:numId w:val="1"/>
        </w:numPr>
        <w:rPr>
          <w:bCs/>
        </w:rPr>
      </w:pPr>
      <w:r w:rsidRPr="003F1564">
        <w:rPr>
          <w:b/>
        </w:rPr>
        <w:t xml:space="preserve">Comment </w:t>
      </w:r>
      <w:r>
        <w:rPr>
          <w:b/>
        </w:rPr>
        <w:t>RySG1</w:t>
      </w:r>
      <w:r>
        <w:rPr>
          <w:b/>
        </w:rPr>
        <w:t>1</w:t>
      </w:r>
      <w:r>
        <w:rPr>
          <w:b/>
        </w:rPr>
        <w:t xml:space="preserve">.  </w:t>
      </w:r>
      <w:r>
        <w:rPr>
          <w:bCs/>
        </w:rPr>
        <w:t>The WG</w:t>
      </w:r>
      <w:r>
        <w:rPr>
          <w:bCs/>
        </w:rPr>
        <w:t xml:space="preserve"> </w:t>
      </w:r>
      <w:r>
        <w:rPr>
          <w:bCs/>
        </w:rPr>
        <w:t>agreed that the clarification should be done.  The intent was to do it for a particular TLD.  It was suggested to change it to: “R</w:t>
      </w:r>
      <w:r w:rsidRPr="002E083F">
        <w:rPr>
          <w:bCs/>
        </w:rPr>
        <w:t xml:space="preserve">egistries must ensure that all applicable same-script IDN tables with a variant policy </w:t>
      </w:r>
      <w:r>
        <w:rPr>
          <w:bCs/>
        </w:rPr>
        <w:t xml:space="preserve">for a TLD </w:t>
      </w:r>
      <w:r w:rsidRPr="002E083F">
        <w:rPr>
          <w:bCs/>
        </w:rPr>
        <w:t>have uniform variant rules that properly account for symmetry and transitivity properties of all variant sets.</w:t>
      </w:r>
      <w:r>
        <w:rPr>
          <w:bCs/>
        </w:rPr>
        <w:t>”</w:t>
      </w:r>
    </w:p>
    <w:p w:rsidR="002E083F" w:rsidRDefault="002E083F" w:rsidP="002E083F">
      <w:pPr>
        <w:pStyle w:val="ListParagraph"/>
        <w:numPr>
          <w:ilvl w:val="0"/>
          <w:numId w:val="1"/>
        </w:numPr>
        <w:rPr>
          <w:bCs/>
        </w:rPr>
      </w:pPr>
      <w:r w:rsidRPr="002E083F">
        <w:rPr>
          <w:b/>
        </w:rPr>
        <w:lastRenderedPageBreak/>
        <w:t>Comment RySG1</w:t>
      </w:r>
      <w:r>
        <w:rPr>
          <w:b/>
        </w:rPr>
        <w:t>2</w:t>
      </w:r>
      <w:r w:rsidRPr="002E083F">
        <w:rPr>
          <w:b/>
        </w:rPr>
        <w:t xml:space="preserve">.  </w:t>
      </w:r>
      <w:r w:rsidRPr="002E083F">
        <w:rPr>
          <w:bCs/>
        </w:rPr>
        <w:t xml:space="preserve">The WG </w:t>
      </w:r>
      <w:r>
        <w:rPr>
          <w:bCs/>
        </w:rPr>
        <w:t>noted that RySG agreed with the WG for 2.7 and 2.8.</w:t>
      </w:r>
    </w:p>
    <w:p w:rsidR="002E083F" w:rsidRDefault="002E083F" w:rsidP="002E083F">
      <w:pPr>
        <w:pStyle w:val="ListParagraph"/>
        <w:rPr>
          <w:bCs/>
        </w:rPr>
      </w:pPr>
    </w:p>
    <w:p w:rsidR="002E083F" w:rsidRPr="002E083F" w:rsidRDefault="002E083F" w:rsidP="002E083F">
      <w:pPr>
        <w:pStyle w:val="ListParagraph"/>
        <w:numPr>
          <w:ilvl w:val="0"/>
          <w:numId w:val="1"/>
        </w:numPr>
        <w:rPr>
          <w:bCs/>
        </w:rPr>
      </w:pPr>
      <w:r w:rsidRPr="002E083F">
        <w:rPr>
          <w:b/>
        </w:rPr>
        <w:t xml:space="preserve">Comment RySG13. </w:t>
      </w:r>
      <w:r>
        <w:rPr>
          <w:bCs/>
        </w:rPr>
        <w:t xml:space="preserve"> T</w:t>
      </w:r>
      <w:r w:rsidR="007F4B37">
        <w:rPr>
          <w:bCs/>
        </w:rPr>
        <w:t xml:space="preserve">he WG accepted the comment and made the change from “word” to “label”.  </w:t>
      </w:r>
    </w:p>
    <w:p w:rsidR="00571EDB" w:rsidRDefault="00571EDB" w:rsidP="00571EDB">
      <w:pPr>
        <w:pStyle w:val="ListParagraph"/>
        <w:rPr>
          <w:b/>
        </w:rPr>
      </w:pPr>
    </w:p>
    <w:p w:rsidR="007F4B37" w:rsidRPr="007F4B37" w:rsidRDefault="007F4B37" w:rsidP="00681386">
      <w:pPr>
        <w:pStyle w:val="ListParagraph"/>
        <w:numPr>
          <w:ilvl w:val="0"/>
          <w:numId w:val="1"/>
        </w:numPr>
        <w:rPr>
          <w:b/>
        </w:rPr>
      </w:pPr>
      <w:r w:rsidRPr="007F4B37">
        <w:rPr>
          <w:b/>
        </w:rPr>
        <w:t>Next Steps</w:t>
      </w:r>
      <w:r w:rsidRPr="007F4B37">
        <w:rPr>
          <w:b/>
        </w:rPr>
        <w:t xml:space="preserve">. </w:t>
      </w:r>
      <w:r>
        <w:rPr>
          <w:bCs/>
        </w:rPr>
        <w:t xml:space="preserve"> It was identified that the WG needs to develop a response to the comments and also update the guidelines.  </w:t>
      </w:r>
      <w:r w:rsidR="003D09DC">
        <w:rPr>
          <w:bCs/>
        </w:rPr>
        <w:t>It was suggested to do the guidelines first.  Staff to develop a r</w:t>
      </w:r>
      <w:r w:rsidR="00100A87">
        <w:rPr>
          <w:bCs/>
        </w:rPr>
        <w:t>esponse based on the discussion to be reviewed by the WG for finalization.  Staff to also annotate the document with discussion and share with the WG for its revision by the WG.</w:t>
      </w:r>
    </w:p>
    <w:p w:rsidR="0072451D" w:rsidRPr="000A4D1B" w:rsidRDefault="0072451D" w:rsidP="000A4D1B">
      <w:pPr>
        <w:rPr>
          <w:color w:val="000000" w:themeColor="text1"/>
          <w:u w:val="single"/>
        </w:rPr>
      </w:pPr>
      <w:r w:rsidRPr="000A4D1B">
        <w:rPr>
          <w:color w:val="000000" w:themeColor="text1"/>
          <w:u w:val="single"/>
        </w:rPr>
        <w:t>Action Items</w:t>
      </w:r>
      <w:r w:rsidR="00B05DD3">
        <w:rPr>
          <w:color w:val="000000" w:themeColor="text1"/>
          <w:u w:val="single"/>
        </w:rPr>
        <w:t xml:space="preserve"> </w:t>
      </w:r>
    </w:p>
    <w:tbl>
      <w:tblPr>
        <w:tblStyle w:val="TableGrid"/>
        <w:tblW w:w="0" w:type="auto"/>
        <w:tblLook w:val="04A0" w:firstRow="1" w:lastRow="0" w:firstColumn="1" w:lastColumn="0" w:noHBand="0" w:noVBand="1"/>
      </w:tblPr>
      <w:tblGrid>
        <w:gridCol w:w="804"/>
        <w:gridCol w:w="7224"/>
        <w:gridCol w:w="1322"/>
      </w:tblGrid>
      <w:tr w:rsidR="0072451D" w:rsidRPr="0083537E" w:rsidTr="00BF46BB">
        <w:tc>
          <w:tcPr>
            <w:tcW w:w="804" w:type="dxa"/>
          </w:tcPr>
          <w:p w:rsidR="0072451D" w:rsidRPr="0083537E" w:rsidRDefault="0072451D" w:rsidP="008D6A71">
            <w:pPr>
              <w:rPr>
                <w:b/>
                <w:bCs/>
              </w:rPr>
            </w:pPr>
            <w:r w:rsidRPr="0083537E">
              <w:rPr>
                <w:b/>
                <w:bCs/>
              </w:rPr>
              <w:t>S. No.</w:t>
            </w:r>
          </w:p>
        </w:tc>
        <w:tc>
          <w:tcPr>
            <w:tcW w:w="7224" w:type="dxa"/>
          </w:tcPr>
          <w:p w:rsidR="0072451D" w:rsidRPr="0083537E" w:rsidRDefault="0072451D" w:rsidP="008D6A71">
            <w:pPr>
              <w:rPr>
                <w:b/>
                <w:bCs/>
              </w:rPr>
            </w:pPr>
            <w:r w:rsidRPr="0083537E">
              <w:rPr>
                <w:b/>
                <w:bCs/>
              </w:rPr>
              <w:t xml:space="preserve">Action Items </w:t>
            </w:r>
          </w:p>
        </w:tc>
        <w:tc>
          <w:tcPr>
            <w:tcW w:w="1322" w:type="dxa"/>
          </w:tcPr>
          <w:p w:rsidR="0072451D" w:rsidRPr="0083537E" w:rsidRDefault="0072451D" w:rsidP="008D6A71">
            <w:pPr>
              <w:rPr>
                <w:b/>
                <w:bCs/>
              </w:rPr>
            </w:pPr>
            <w:r w:rsidRPr="0083537E">
              <w:rPr>
                <w:b/>
                <w:bCs/>
              </w:rPr>
              <w:t>Owner</w:t>
            </w:r>
          </w:p>
        </w:tc>
      </w:tr>
      <w:tr w:rsidR="006A553E" w:rsidRPr="0083537E" w:rsidTr="00BF46BB">
        <w:tc>
          <w:tcPr>
            <w:tcW w:w="804" w:type="dxa"/>
          </w:tcPr>
          <w:p w:rsidR="006A553E" w:rsidRPr="007F4B37" w:rsidRDefault="007F4B37" w:rsidP="006A553E">
            <w:r>
              <w:t>1</w:t>
            </w:r>
          </w:p>
        </w:tc>
        <w:tc>
          <w:tcPr>
            <w:tcW w:w="7224" w:type="dxa"/>
          </w:tcPr>
          <w:p w:rsidR="006A553E" w:rsidRPr="004C6C8C" w:rsidRDefault="00100A87" w:rsidP="000B082D">
            <w:pPr>
              <w:rPr>
                <w:i/>
                <w:iCs/>
              </w:rPr>
            </w:pPr>
            <w:r>
              <w:rPr>
                <w:i/>
                <w:iCs/>
              </w:rPr>
              <w:t>Annotate the Guidelines document with discussion on comments received by the WG for further discussion.</w:t>
            </w:r>
          </w:p>
        </w:tc>
        <w:tc>
          <w:tcPr>
            <w:tcW w:w="1322" w:type="dxa"/>
          </w:tcPr>
          <w:p w:rsidR="006A553E" w:rsidRPr="004C6C8C" w:rsidRDefault="00100A87" w:rsidP="006A553E">
            <w:r>
              <w:t>SH</w:t>
            </w:r>
          </w:p>
        </w:tc>
      </w:tr>
      <w:tr w:rsidR="00100A87" w:rsidRPr="0083537E" w:rsidTr="00BF46BB">
        <w:tc>
          <w:tcPr>
            <w:tcW w:w="804" w:type="dxa"/>
          </w:tcPr>
          <w:p w:rsidR="00100A87" w:rsidRDefault="00100A87" w:rsidP="006A553E">
            <w:r>
              <w:t>2</w:t>
            </w:r>
          </w:p>
        </w:tc>
        <w:tc>
          <w:tcPr>
            <w:tcW w:w="7224" w:type="dxa"/>
          </w:tcPr>
          <w:p w:rsidR="00100A87" w:rsidRDefault="00100A87" w:rsidP="000B082D">
            <w:pPr>
              <w:rPr>
                <w:i/>
                <w:iCs/>
              </w:rPr>
            </w:pPr>
            <w:r>
              <w:rPr>
                <w:i/>
                <w:iCs/>
              </w:rPr>
              <w:t>Develop an initial tentative response to</w:t>
            </w:r>
            <w:bookmarkStart w:id="0" w:name="_GoBack"/>
            <w:bookmarkEnd w:id="0"/>
            <w:r>
              <w:rPr>
                <w:i/>
                <w:iCs/>
              </w:rPr>
              <w:t xml:space="preserve"> the comments for review of the WG in parallel with the discussion.</w:t>
            </w:r>
          </w:p>
        </w:tc>
        <w:tc>
          <w:tcPr>
            <w:tcW w:w="1322" w:type="dxa"/>
          </w:tcPr>
          <w:p w:rsidR="00100A87" w:rsidRDefault="00100A87" w:rsidP="006A553E">
            <w:r>
              <w:t>SH</w:t>
            </w:r>
          </w:p>
        </w:tc>
      </w:tr>
    </w:tbl>
    <w:p w:rsidR="00E91BAA" w:rsidRDefault="00E91BAA" w:rsidP="00D92088"/>
    <w:sectPr w:rsidR="00E91BAA" w:rsidSect="00B67F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14" w:rsidRDefault="00641A14" w:rsidP="00876CE6">
      <w:pPr>
        <w:spacing w:after="0" w:line="240" w:lineRule="auto"/>
      </w:pPr>
      <w:r>
        <w:separator/>
      </w:r>
    </w:p>
  </w:endnote>
  <w:endnote w:type="continuationSeparator" w:id="0">
    <w:p w:rsidR="00641A14" w:rsidRDefault="00641A14"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60190"/>
      <w:docPartObj>
        <w:docPartGallery w:val="Page Numbers (Bottom of Page)"/>
        <w:docPartUnique/>
      </w:docPartObj>
    </w:sdtPr>
    <w:sdtEndPr>
      <w:rPr>
        <w:noProof/>
      </w:rPr>
    </w:sdtEndPr>
    <w:sdtContent>
      <w:p w:rsidR="00E92FA3" w:rsidRDefault="00E92FA3">
        <w:pPr>
          <w:pStyle w:val="Footer"/>
          <w:jc w:val="center"/>
        </w:pPr>
        <w:r>
          <w:fldChar w:fldCharType="begin"/>
        </w:r>
        <w:r>
          <w:instrText xml:space="preserve"> PAGE   \* MERGEFORMAT </w:instrText>
        </w:r>
        <w:r>
          <w:fldChar w:fldCharType="separate"/>
        </w:r>
        <w:r w:rsidR="00100A87">
          <w:rPr>
            <w:noProof/>
          </w:rPr>
          <w:t>1</w:t>
        </w:r>
        <w:r>
          <w:rPr>
            <w:noProof/>
          </w:rPr>
          <w:fldChar w:fldCharType="end"/>
        </w:r>
      </w:p>
    </w:sdtContent>
  </w:sdt>
  <w:p w:rsidR="00E92FA3" w:rsidRDefault="00E9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14" w:rsidRDefault="00641A14" w:rsidP="00876CE6">
      <w:pPr>
        <w:spacing w:after="0" w:line="240" w:lineRule="auto"/>
      </w:pPr>
      <w:r>
        <w:separator/>
      </w:r>
    </w:p>
  </w:footnote>
  <w:footnote w:type="continuationSeparator" w:id="0">
    <w:p w:rsidR="00641A14" w:rsidRDefault="00641A14" w:rsidP="00876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DFA"/>
    <w:rsid w:val="0000306F"/>
    <w:rsid w:val="00003AEF"/>
    <w:rsid w:val="00003BC7"/>
    <w:rsid w:val="00004C9E"/>
    <w:rsid w:val="00016ED8"/>
    <w:rsid w:val="0003141C"/>
    <w:rsid w:val="00032989"/>
    <w:rsid w:val="00034369"/>
    <w:rsid w:val="000362B2"/>
    <w:rsid w:val="00043F60"/>
    <w:rsid w:val="0004538E"/>
    <w:rsid w:val="000462EA"/>
    <w:rsid w:val="0004663E"/>
    <w:rsid w:val="00047149"/>
    <w:rsid w:val="00057300"/>
    <w:rsid w:val="00065C6E"/>
    <w:rsid w:val="0006668D"/>
    <w:rsid w:val="00066D26"/>
    <w:rsid w:val="000670E2"/>
    <w:rsid w:val="00073921"/>
    <w:rsid w:val="00075303"/>
    <w:rsid w:val="0008294B"/>
    <w:rsid w:val="00084F0E"/>
    <w:rsid w:val="00096556"/>
    <w:rsid w:val="00097223"/>
    <w:rsid w:val="000A0618"/>
    <w:rsid w:val="000A33C2"/>
    <w:rsid w:val="000A3D85"/>
    <w:rsid w:val="000A4D1B"/>
    <w:rsid w:val="000A669F"/>
    <w:rsid w:val="000A7E5F"/>
    <w:rsid w:val="000B0252"/>
    <w:rsid w:val="000B082D"/>
    <w:rsid w:val="000B3659"/>
    <w:rsid w:val="000B693C"/>
    <w:rsid w:val="000C12C1"/>
    <w:rsid w:val="000C61EE"/>
    <w:rsid w:val="000D427F"/>
    <w:rsid w:val="000D51AD"/>
    <w:rsid w:val="000E33C5"/>
    <w:rsid w:val="000E3879"/>
    <w:rsid w:val="000E47F2"/>
    <w:rsid w:val="000E5382"/>
    <w:rsid w:val="000F2DF0"/>
    <w:rsid w:val="000F4D9B"/>
    <w:rsid w:val="000F5B02"/>
    <w:rsid w:val="000F732B"/>
    <w:rsid w:val="001006ED"/>
    <w:rsid w:val="00100A87"/>
    <w:rsid w:val="00102FA3"/>
    <w:rsid w:val="001074D9"/>
    <w:rsid w:val="00115AED"/>
    <w:rsid w:val="00142922"/>
    <w:rsid w:val="00143C59"/>
    <w:rsid w:val="00153BAF"/>
    <w:rsid w:val="00154E71"/>
    <w:rsid w:val="00157F69"/>
    <w:rsid w:val="001868B9"/>
    <w:rsid w:val="001936C7"/>
    <w:rsid w:val="00193AA0"/>
    <w:rsid w:val="00196AB3"/>
    <w:rsid w:val="00197356"/>
    <w:rsid w:val="00197FCA"/>
    <w:rsid w:val="001A6A50"/>
    <w:rsid w:val="001B750E"/>
    <w:rsid w:val="001C36C8"/>
    <w:rsid w:val="001D110A"/>
    <w:rsid w:val="001D2A35"/>
    <w:rsid w:val="001E56F8"/>
    <w:rsid w:val="001E60AB"/>
    <w:rsid w:val="001E6E5F"/>
    <w:rsid w:val="001F15CB"/>
    <w:rsid w:val="001F5EB2"/>
    <w:rsid w:val="0020153D"/>
    <w:rsid w:val="00211106"/>
    <w:rsid w:val="00212600"/>
    <w:rsid w:val="0021486A"/>
    <w:rsid w:val="0022283C"/>
    <w:rsid w:val="00223EF8"/>
    <w:rsid w:val="002245AE"/>
    <w:rsid w:val="0023554C"/>
    <w:rsid w:val="00235D1C"/>
    <w:rsid w:val="00241234"/>
    <w:rsid w:val="00243272"/>
    <w:rsid w:val="00244F07"/>
    <w:rsid w:val="0024576E"/>
    <w:rsid w:val="00245F49"/>
    <w:rsid w:val="00250359"/>
    <w:rsid w:val="0025498E"/>
    <w:rsid w:val="00262A18"/>
    <w:rsid w:val="002648C2"/>
    <w:rsid w:val="002712E5"/>
    <w:rsid w:val="00276ECB"/>
    <w:rsid w:val="002773ED"/>
    <w:rsid w:val="00281244"/>
    <w:rsid w:val="002815ED"/>
    <w:rsid w:val="002961D0"/>
    <w:rsid w:val="002A0BBE"/>
    <w:rsid w:val="002A3D56"/>
    <w:rsid w:val="002A7A6F"/>
    <w:rsid w:val="002B0AB0"/>
    <w:rsid w:val="002B55EC"/>
    <w:rsid w:val="002B61C9"/>
    <w:rsid w:val="002C1488"/>
    <w:rsid w:val="002D33E3"/>
    <w:rsid w:val="002D35E9"/>
    <w:rsid w:val="002D475E"/>
    <w:rsid w:val="002E083F"/>
    <w:rsid w:val="002E5A3D"/>
    <w:rsid w:val="002E763A"/>
    <w:rsid w:val="002F09C3"/>
    <w:rsid w:val="002F0DF7"/>
    <w:rsid w:val="002F3131"/>
    <w:rsid w:val="002F585C"/>
    <w:rsid w:val="002F7CAC"/>
    <w:rsid w:val="00306428"/>
    <w:rsid w:val="00307446"/>
    <w:rsid w:val="00310935"/>
    <w:rsid w:val="00313B48"/>
    <w:rsid w:val="00313B7B"/>
    <w:rsid w:val="00317820"/>
    <w:rsid w:val="0032286B"/>
    <w:rsid w:val="00326C70"/>
    <w:rsid w:val="0033160D"/>
    <w:rsid w:val="00331A0E"/>
    <w:rsid w:val="00333121"/>
    <w:rsid w:val="0033502A"/>
    <w:rsid w:val="0033762C"/>
    <w:rsid w:val="003415BD"/>
    <w:rsid w:val="003421E2"/>
    <w:rsid w:val="00344A89"/>
    <w:rsid w:val="00350A9C"/>
    <w:rsid w:val="0035238F"/>
    <w:rsid w:val="00352635"/>
    <w:rsid w:val="00353980"/>
    <w:rsid w:val="00357AE4"/>
    <w:rsid w:val="003637C3"/>
    <w:rsid w:val="00373A16"/>
    <w:rsid w:val="00383AE4"/>
    <w:rsid w:val="003864D8"/>
    <w:rsid w:val="003870BE"/>
    <w:rsid w:val="00387776"/>
    <w:rsid w:val="00397D1C"/>
    <w:rsid w:val="003A01ED"/>
    <w:rsid w:val="003A0488"/>
    <w:rsid w:val="003A354F"/>
    <w:rsid w:val="003A437E"/>
    <w:rsid w:val="003A5A5E"/>
    <w:rsid w:val="003A740E"/>
    <w:rsid w:val="003B2F9B"/>
    <w:rsid w:val="003B3457"/>
    <w:rsid w:val="003B3FD3"/>
    <w:rsid w:val="003B7594"/>
    <w:rsid w:val="003C2F01"/>
    <w:rsid w:val="003C47C6"/>
    <w:rsid w:val="003C5002"/>
    <w:rsid w:val="003D0519"/>
    <w:rsid w:val="003D09DC"/>
    <w:rsid w:val="003D1C6C"/>
    <w:rsid w:val="003D1E49"/>
    <w:rsid w:val="003D4B2E"/>
    <w:rsid w:val="003D50DF"/>
    <w:rsid w:val="003E4628"/>
    <w:rsid w:val="003F0DC6"/>
    <w:rsid w:val="003F1564"/>
    <w:rsid w:val="003F7F51"/>
    <w:rsid w:val="004044C6"/>
    <w:rsid w:val="00410A3C"/>
    <w:rsid w:val="00424BC9"/>
    <w:rsid w:val="00427DC6"/>
    <w:rsid w:val="00430C67"/>
    <w:rsid w:val="00442EF1"/>
    <w:rsid w:val="0044418C"/>
    <w:rsid w:val="00444FFA"/>
    <w:rsid w:val="00445115"/>
    <w:rsid w:val="00446290"/>
    <w:rsid w:val="00452BC3"/>
    <w:rsid w:val="00452DC7"/>
    <w:rsid w:val="00454CA4"/>
    <w:rsid w:val="00457464"/>
    <w:rsid w:val="00461FDD"/>
    <w:rsid w:val="0047036F"/>
    <w:rsid w:val="0047143E"/>
    <w:rsid w:val="00474E79"/>
    <w:rsid w:val="00477F0E"/>
    <w:rsid w:val="00481CC8"/>
    <w:rsid w:val="004843A3"/>
    <w:rsid w:val="00486FA2"/>
    <w:rsid w:val="00490460"/>
    <w:rsid w:val="00492DF1"/>
    <w:rsid w:val="0049346E"/>
    <w:rsid w:val="00493A89"/>
    <w:rsid w:val="004A1473"/>
    <w:rsid w:val="004A578F"/>
    <w:rsid w:val="004B1588"/>
    <w:rsid w:val="004B19B3"/>
    <w:rsid w:val="004B4A8A"/>
    <w:rsid w:val="004C3A84"/>
    <w:rsid w:val="004C3ADC"/>
    <w:rsid w:val="004C566B"/>
    <w:rsid w:val="004C5F72"/>
    <w:rsid w:val="004C6C8C"/>
    <w:rsid w:val="004D242C"/>
    <w:rsid w:val="004D5A6B"/>
    <w:rsid w:val="004D71CD"/>
    <w:rsid w:val="004D734C"/>
    <w:rsid w:val="004E1C2C"/>
    <w:rsid w:val="004E4867"/>
    <w:rsid w:val="004E48B0"/>
    <w:rsid w:val="004E6F2C"/>
    <w:rsid w:val="004F3E29"/>
    <w:rsid w:val="004F4930"/>
    <w:rsid w:val="00511E91"/>
    <w:rsid w:val="0051491F"/>
    <w:rsid w:val="00515637"/>
    <w:rsid w:val="0052290D"/>
    <w:rsid w:val="00524A02"/>
    <w:rsid w:val="00531DC0"/>
    <w:rsid w:val="00532F11"/>
    <w:rsid w:val="00535003"/>
    <w:rsid w:val="005369EC"/>
    <w:rsid w:val="00543C9B"/>
    <w:rsid w:val="00545768"/>
    <w:rsid w:val="00545C0A"/>
    <w:rsid w:val="00553E8C"/>
    <w:rsid w:val="005544E5"/>
    <w:rsid w:val="00565D7C"/>
    <w:rsid w:val="005662B9"/>
    <w:rsid w:val="0056656B"/>
    <w:rsid w:val="005713E8"/>
    <w:rsid w:val="00571EDB"/>
    <w:rsid w:val="00572A01"/>
    <w:rsid w:val="00586F6A"/>
    <w:rsid w:val="00596BF1"/>
    <w:rsid w:val="005B028C"/>
    <w:rsid w:val="005B3216"/>
    <w:rsid w:val="005B35C3"/>
    <w:rsid w:val="005B6815"/>
    <w:rsid w:val="005C2B21"/>
    <w:rsid w:val="005C3115"/>
    <w:rsid w:val="005C3972"/>
    <w:rsid w:val="005D4028"/>
    <w:rsid w:val="005D4CD7"/>
    <w:rsid w:val="005E1272"/>
    <w:rsid w:val="005E29F4"/>
    <w:rsid w:val="005F488B"/>
    <w:rsid w:val="00602121"/>
    <w:rsid w:val="006027AC"/>
    <w:rsid w:val="006030AF"/>
    <w:rsid w:val="00604C43"/>
    <w:rsid w:val="0061064A"/>
    <w:rsid w:val="00620C13"/>
    <w:rsid w:val="0063564E"/>
    <w:rsid w:val="00636F7A"/>
    <w:rsid w:val="00641A14"/>
    <w:rsid w:val="00643D36"/>
    <w:rsid w:val="006521B7"/>
    <w:rsid w:val="00652200"/>
    <w:rsid w:val="00656DA8"/>
    <w:rsid w:val="0066220B"/>
    <w:rsid w:val="0066254D"/>
    <w:rsid w:val="00664CB8"/>
    <w:rsid w:val="006661AE"/>
    <w:rsid w:val="0067351E"/>
    <w:rsid w:val="00674402"/>
    <w:rsid w:val="0068668D"/>
    <w:rsid w:val="00687C8F"/>
    <w:rsid w:val="0069245A"/>
    <w:rsid w:val="00696C91"/>
    <w:rsid w:val="00697CE7"/>
    <w:rsid w:val="006A00A3"/>
    <w:rsid w:val="006A2E71"/>
    <w:rsid w:val="006A553E"/>
    <w:rsid w:val="006B1EE4"/>
    <w:rsid w:val="006B68DD"/>
    <w:rsid w:val="006B7655"/>
    <w:rsid w:val="006B76A5"/>
    <w:rsid w:val="006C0D8D"/>
    <w:rsid w:val="006D29E8"/>
    <w:rsid w:val="006D56E5"/>
    <w:rsid w:val="006D73E9"/>
    <w:rsid w:val="006E1C49"/>
    <w:rsid w:val="006E1D6C"/>
    <w:rsid w:val="006E37D0"/>
    <w:rsid w:val="006F07C2"/>
    <w:rsid w:val="006F17D2"/>
    <w:rsid w:val="006F4C59"/>
    <w:rsid w:val="007026D2"/>
    <w:rsid w:val="00704767"/>
    <w:rsid w:val="007068CB"/>
    <w:rsid w:val="007100C7"/>
    <w:rsid w:val="00712F1A"/>
    <w:rsid w:val="0071509D"/>
    <w:rsid w:val="0071526E"/>
    <w:rsid w:val="0072451D"/>
    <w:rsid w:val="00724F07"/>
    <w:rsid w:val="00724F12"/>
    <w:rsid w:val="00731C46"/>
    <w:rsid w:val="00736A05"/>
    <w:rsid w:val="00741271"/>
    <w:rsid w:val="0074260C"/>
    <w:rsid w:val="007464EC"/>
    <w:rsid w:val="00757743"/>
    <w:rsid w:val="00764EC7"/>
    <w:rsid w:val="007668C4"/>
    <w:rsid w:val="00770EEA"/>
    <w:rsid w:val="0077413A"/>
    <w:rsid w:val="00775D67"/>
    <w:rsid w:val="00776A45"/>
    <w:rsid w:val="0078132E"/>
    <w:rsid w:val="007816A6"/>
    <w:rsid w:val="00786384"/>
    <w:rsid w:val="007945CA"/>
    <w:rsid w:val="00797BA3"/>
    <w:rsid w:val="007A3B34"/>
    <w:rsid w:val="007A4EA1"/>
    <w:rsid w:val="007A594A"/>
    <w:rsid w:val="007C1A9C"/>
    <w:rsid w:val="007C1C4A"/>
    <w:rsid w:val="007C3BB9"/>
    <w:rsid w:val="007C74C8"/>
    <w:rsid w:val="007E3472"/>
    <w:rsid w:val="007E4181"/>
    <w:rsid w:val="007E6AF4"/>
    <w:rsid w:val="007F4307"/>
    <w:rsid w:val="007F4B37"/>
    <w:rsid w:val="007F67B0"/>
    <w:rsid w:val="007F69F9"/>
    <w:rsid w:val="007F735B"/>
    <w:rsid w:val="00800132"/>
    <w:rsid w:val="0080118F"/>
    <w:rsid w:val="00802745"/>
    <w:rsid w:val="00802DAB"/>
    <w:rsid w:val="00806706"/>
    <w:rsid w:val="0080673C"/>
    <w:rsid w:val="00817194"/>
    <w:rsid w:val="00825EB0"/>
    <w:rsid w:val="00827EC1"/>
    <w:rsid w:val="0083537E"/>
    <w:rsid w:val="008458F8"/>
    <w:rsid w:val="00846081"/>
    <w:rsid w:val="008474EB"/>
    <w:rsid w:val="0085079E"/>
    <w:rsid w:val="0085120F"/>
    <w:rsid w:val="00863ADD"/>
    <w:rsid w:val="00874D72"/>
    <w:rsid w:val="00876CE6"/>
    <w:rsid w:val="00880346"/>
    <w:rsid w:val="0089081A"/>
    <w:rsid w:val="00891C17"/>
    <w:rsid w:val="008A0558"/>
    <w:rsid w:val="008A4E79"/>
    <w:rsid w:val="008A5D19"/>
    <w:rsid w:val="008A7140"/>
    <w:rsid w:val="008B3678"/>
    <w:rsid w:val="008B534D"/>
    <w:rsid w:val="008C1C19"/>
    <w:rsid w:val="008C711B"/>
    <w:rsid w:val="008D3BFD"/>
    <w:rsid w:val="008D53DB"/>
    <w:rsid w:val="008D6A71"/>
    <w:rsid w:val="00903927"/>
    <w:rsid w:val="00904609"/>
    <w:rsid w:val="00906080"/>
    <w:rsid w:val="00912BE5"/>
    <w:rsid w:val="00915B26"/>
    <w:rsid w:val="00921B50"/>
    <w:rsid w:val="00921E47"/>
    <w:rsid w:val="00923BE8"/>
    <w:rsid w:val="00930A97"/>
    <w:rsid w:val="009344ED"/>
    <w:rsid w:val="00934E8D"/>
    <w:rsid w:val="009522AB"/>
    <w:rsid w:val="0095743A"/>
    <w:rsid w:val="0096217F"/>
    <w:rsid w:val="00964AAB"/>
    <w:rsid w:val="00966DBE"/>
    <w:rsid w:val="00971DFA"/>
    <w:rsid w:val="009757CD"/>
    <w:rsid w:val="00976193"/>
    <w:rsid w:val="00981A07"/>
    <w:rsid w:val="00987022"/>
    <w:rsid w:val="009902ED"/>
    <w:rsid w:val="0099728D"/>
    <w:rsid w:val="009A7919"/>
    <w:rsid w:val="009C41AA"/>
    <w:rsid w:val="009C5276"/>
    <w:rsid w:val="009C5C1A"/>
    <w:rsid w:val="009D4314"/>
    <w:rsid w:val="009D556D"/>
    <w:rsid w:val="009F68F0"/>
    <w:rsid w:val="00A00CCA"/>
    <w:rsid w:val="00A0546C"/>
    <w:rsid w:val="00A11ACF"/>
    <w:rsid w:val="00A14428"/>
    <w:rsid w:val="00A14707"/>
    <w:rsid w:val="00A17EDE"/>
    <w:rsid w:val="00A278C8"/>
    <w:rsid w:val="00A316DE"/>
    <w:rsid w:val="00A412E9"/>
    <w:rsid w:val="00A5732B"/>
    <w:rsid w:val="00A61780"/>
    <w:rsid w:val="00A6436C"/>
    <w:rsid w:val="00A6678E"/>
    <w:rsid w:val="00A72AA0"/>
    <w:rsid w:val="00A73ED4"/>
    <w:rsid w:val="00A7740D"/>
    <w:rsid w:val="00AA1F90"/>
    <w:rsid w:val="00AA21B0"/>
    <w:rsid w:val="00AA64D2"/>
    <w:rsid w:val="00AC1B67"/>
    <w:rsid w:val="00AD0082"/>
    <w:rsid w:val="00AD0647"/>
    <w:rsid w:val="00AD157C"/>
    <w:rsid w:val="00AD3D9E"/>
    <w:rsid w:val="00AD4FEC"/>
    <w:rsid w:val="00AD7D6B"/>
    <w:rsid w:val="00AE2223"/>
    <w:rsid w:val="00AE3759"/>
    <w:rsid w:val="00AE389B"/>
    <w:rsid w:val="00AE5B0B"/>
    <w:rsid w:val="00AF68D4"/>
    <w:rsid w:val="00B00884"/>
    <w:rsid w:val="00B02826"/>
    <w:rsid w:val="00B05DD3"/>
    <w:rsid w:val="00B06813"/>
    <w:rsid w:val="00B10002"/>
    <w:rsid w:val="00B14B5B"/>
    <w:rsid w:val="00B2170E"/>
    <w:rsid w:val="00B304E2"/>
    <w:rsid w:val="00B310B0"/>
    <w:rsid w:val="00B33490"/>
    <w:rsid w:val="00B335FD"/>
    <w:rsid w:val="00B37953"/>
    <w:rsid w:val="00B41638"/>
    <w:rsid w:val="00B508DA"/>
    <w:rsid w:val="00B53A1F"/>
    <w:rsid w:val="00B55DFF"/>
    <w:rsid w:val="00B57C5A"/>
    <w:rsid w:val="00B61D6B"/>
    <w:rsid w:val="00B6339C"/>
    <w:rsid w:val="00B6465E"/>
    <w:rsid w:val="00B67FCF"/>
    <w:rsid w:val="00B747A9"/>
    <w:rsid w:val="00B84C45"/>
    <w:rsid w:val="00B86BD4"/>
    <w:rsid w:val="00B91F38"/>
    <w:rsid w:val="00B93DC0"/>
    <w:rsid w:val="00B96461"/>
    <w:rsid w:val="00BA491F"/>
    <w:rsid w:val="00BA6580"/>
    <w:rsid w:val="00BB4A3D"/>
    <w:rsid w:val="00BC1169"/>
    <w:rsid w:val="00BC4D46"/>
    <w:rsid w:val="00BC4E4A"/>
    <w:rsid w:val="00BD7190"/>
    <w:rsid w:val="00BD769C"/>
    <w:rsid w:val="00BE3905"/>
    <w:rsid w:val="00BF038D"/>
    <w:rsid w:val="00BF175D"/>
    <w:rsid w:val="00BF46BB"/>
    <w:rsid w:val="00BF7EBE"/>
    <w:rsid w:val="00C02CEA"/>
    <w:rsid w:val="00C03346"/>
    <w:rsid w:val="00C0527D"/>
    <w:rsid w:val="00C05501"/>
    <w:rsid w:val="00C067F5"/>
    <w:rsid w:val="00C12F52"/>
    <w:rsid w:val="00C162FC"/>
    <w:rsid w:val="00C213E9"/>
    <w:rsid w:val="00C2787A"/>
    <w:rsid w:val="00C438BD"/>
    <w:rsid w:val="00C46CC9"/>
    <w:rsid w:val="00C644D6"/>
    <w:rsid w:val="00C66ACE"/>
    <w:rsid w:val="00C84A62"/>
    <w:rsid w:val="00C853FD"/>
    <w:rsid w:val="00C85E99"/>
    <w:rsid w:val="00C87F51"/>
    <w:rsid w:val="00C921FC"/>
    <w:rsid w:val="00C92DF4"/>
    <w:rsid w:val="00C93BFD"/>
    <w:rsid w:val="00C97798"/>
    <w:rsid w:val="00CA05BC"/>
    <w:rsid w:val="00CA2957"/>
    <w:rsid w:val="00CB025F"/>
    <w:rsid w:val="00CB0F4A"/>
    <w:rsid w:val="00CB3155"/>
    <w:rsid w:val="00CB4222"/>
    <w:rsid w:val="00CC0527"/>
    <w:rsid w:val="00CC5A4E"/>
    <w:rsid w:val="00CC6D1A"/>
    <w:rsid w:val="00CD04A6"/>
    <w:rsid w:val="00CD6107"/>
    <w:rsid w:val="00CD693F"/>
    <w:rsid w:val="00CE15DD"/>
    <w:rsid w:val="00CF4B0B"/>
    <w:rsid w:val="00CF52B0"/>
    <w:rsid w:val="00CF58FB"/>
    <w:rsid w:val="00CF74B5"/>
    <w:rsid w:val="00D0191F"/>
    <w:rsid w:val="00D04831"/>
    <w:rsid w:val="00D056A3"/>
    <w:rsid w:val="00D05BD4"/>
    <w:rsid w:val="00D07B7E"/>
    <w:rsid w:val="00D15A8C"/>
    <w:rsid w:val="00D17F68"/>
    <w:rsid w:val="00D24655"/>
    <w:rsid w:val="00D24A2C"/>
    <w:rsid w:val="00D3016D"/>
    <w:rsid w:val="00D335E2"/>
    <w:rsid w:val="00D33720"/>
    <w:rsid w:val="00D36C5A"/>
    <w:rsid w:val="00D36EAA"/>
    <w:rsid w:val="00D405A8"/>
    <w:rsid w:val="00D4241E"/>
    <w:rsid w:val="00D52A39"/>
    <w:rsid w:val="00D53964"/>
    <w:rsid w:val="00D57D9A"/>
    <w:rsid w:val="00D626B6"/>
    <w:rsid w:val="00D70363"/>
    <w:rsid w:val="00D72609"/>
    <w:rsid w:val="00D74068"/>
    <w:rsid w:val="00D81089"/>
    <w:rsid w:val="00D860E6"/>
    <w:rsid w:val="00D91C03"/>
    <w:rsid w:val="00D92088"/>
    <w:rsid w:val="00D92726"/>
    <w:rsid w:val="00D92C70"/>
    <w:rsid w:val="00D94224"/>
    <w:rsid w:val="00DA77FB"/>
    <w:rsid w:val="00DB0CD5"/>
    <w:rsid w:val="00DB14F7"/>
    <w:rsid w:val="00DC3BEB"/>
    <w:rsid w:val="00DC5B96"/>
    <w:rsid w:val="00DC7261"/>
    <w:rsid w:val="00DD2DA3"/>
    <w:rsid w:val="00DD4BC4"/>
    <w:rsid w:val="00DD5239"/>
    <w:rsid w:val="00DE50ED"/>
    <w:rsid w:val="00DF10A3"/>
    <w:rsid w:val="00DF1470"/>
    <w:rsid w:val="00DF1AB8"/>
    <w:rsid w:val="00DF3CBA"/>
    <w:rsid w:val="00DF74FC"/>
    <w:rsid w:val="00E02C98"/>
    <w:rsid w:val="00E04C4E"/>
    <w:rsid w:val="00E114AB"/>
    <w:rsid w:val="00E12D7E"/>
    <w:rsid w:val="00E1488F"/>
    <w:rsid w:val="00E209AC"/>
    <w:rsid w:val="00E25E9F"/>
    <w:rsid w:val="00E30607"/>
    <w:rsid w:val="00E34B91"/>
    <w:rsid w:val="00E41356"/>
    <w:rsid w:val="00E4365A"/>
    <w:rsid w:val="00E44242"/>
    <w:rsid w:val="00E452D2"/>
    <w:rsid w:val="00E51A12"/>
    <w:rsid w:val="00E53687"/>
    <w:rsid w:val="00E54F2C"/>
    <w:rsid w:val="00E6162C"/>
    <w:rsid w:val="00E61F09"/>
    <w:rsid w:val="00E7535E"/>
    <w:rsid w:val="00E80306"/>
    <w:rsid w:val="00E857A8"/>
    <w:rsid w:val="00E90C27"/>
    <w:rsid w:val="00E91BAA"/>
    <w:rsid w:val="00E92FA3"/>
    <w:rsid w:val="00E97114"/>
    <w:rsid w:val="00EA1AD4"/>
    <w:rsid w:val="00EA3B0A"/>
    <w:rsid w:val="00EB33D9"/>
    <w:rsid w:val="00EB4C09"/>
    <w:rsid w:val="00EB5AC2"/>
    <w:rsid w:val="00EC0AC6"/>
    <w:rsid w:val="00EC10FB"/>
    <w:rsid w:val="00EC12BC"/>
    <w:rsid w:val="00EC279C"/>
    <w:rsid w:val="00EC32B5"/>
    <w:rsid w:val="00ED2B41"/>
    <w:rsid w:val="00EE05D0"/>
    <w:rsid w:val="00EE0BBC"/>
    <w:rsid w:val="00EF4D54"/>
    <w:rsid w:val="00F006D0"/>
    <w:rsid w:val="00F009FE"/>
    <w:rsid w:val="00F00A44"/>
    <w:rsid w:val="00F012E3"/>
    <w:rsid w:val="00F04826"/>
    <w:rsid w:val="00F07BF4"/>
    <w:rsid w:val="00F102E7"/>
    <w:rsid w:val="00F13B2A"/>
    <w:rsid w:val="00F147AF"/>
    <w:rsid w:val="00F159EE"/>
    <w:rsid w:val="00F24925"/>
    <w:rsid w:val="00F24DCB"/>
    <w:rsid w:val="00F265D7"/>
    <w:rsid w:val="00F317D4"/>
    <w:rsid w:val="00F32A4D"/>
    <w:rsid w:val="00F37D68"/>
    <w:rsid w:val="00F40C5A"/>
    <w:rsid w:val="00F53497"/>
    <w:rsid w:val="00F6532A"/>
    <w:rsid w:val="00F65D4A"/>
    <w:rsid w:val="00F65F1B"/>
    <w:rsid w:val="00F71422"/>
    <w:rsid w:val="00F75FF6"/>
    <w:rsid w:val="00F80685"/>
    <w:rsid w:val="00F816C1"/>
    <w:rsid w:val="00F82306"/>
    <w:rsid w:val="00F90064"/>
    <w:rsid w:val="00F9225C"/>
    <w:rsid w:val="00F97EED"/>
    <w:rsid w:val="00FB1795"/>
    <w:rsid w:val="00FB5032"/>
    <w:rsid w:val="00FB69FB"/>
    <w:rsid w:val="00FB6D2B"/>
    <w:rsid w:val="00FC1185"/>
    <w:rsid w:val="00FC2C3B"/>
    <w:rsid w:val="00FC3DC2"/>
    <w:rsid w:val="00FC6B5B"/>
    <w:rsid w:val="00FD1916"/>
    <w:rsid w:val="00FE0C6F"/>
    <w:rsid w:val="00FE4ABA"/>
    <w:rsid w:val="00FE58A2"/>
    <w:rsid w:val="00FF29AB"/>
    <w:rsid w:val="00FF3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39B8"/>
  <w15:docId w15:val="{EF143511-9811-45F7-BCF9-93791B2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FCF"/>
  </w:style>
  <w:style w:type="paragraph" w:styleId="Heading3">
    <w:name w:val="heading 3"/>
    <w:basedOn w:val="Normal"/>
    <w:next w:val="Normal"/>
    <w:link w:val="Heading3Char"/>
    <w:uiPriority w:val="9"/>
    <w:semiHidden/>
    <w:unhideWhenUsed/>
    <w:qFormat/>
    <w:rsid w:val="00586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7668C4"/>
    <w:pPr>
      <w:spacing w:before="100" w:beforeAutospacing="1" w:after="100" w:afterAutospacing="1" w:line="240" w:lineRule="auto"/>
      <w:outlineLvl w:val="4"/>
    </w:pPr>
    <w:rPr>
      <w:rFonts w:ascii="Times New Roman" w:eastAsia="Times New Roman" w:hAnsi="Times New Roman" w:cs="Times New Roman"/>
      <w:b/>
      <w:bCs/>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 w:type="character" w:customStyle="1" w:styleId="Heading5Char">
    <w:name w:val="Heading 5 Char"/>
    <w:basedOn w:val="DefaultParagraphFont"/>
    <w:link w:val="Heading5"/>
    <w:uiPriority w:val="9"/>
    <w:rsid w:val="007668C4"/>
    <w:rPr>
      <w:rFonts w:ascii="Times New Roman" w:eastAsia="Times New Roman" w:hAnsi="Times New Roman" w:cs="Times New Roman"/>
      <w:b/>
      <w:bCs/>
      <w:sz w:val="20"/>
      <w:szCs w:val="20"/>
      <w:lang w:val="en-SG" w:eastAsia="en-SG"/>
    </w:rPr>
  </w:style>
  <w:style w:type="paragraph" w:styleId="HTMLPreformatted">
    <w:name w:val="HTML Preformatted"/>
    <w:basedOn w:val="Normal"/>
    <w:link w:val="HTMLPreformattedChar"/>
    <w:uiPriority w:val="99"/>
    <w:semiHidden/>
    <w:unhideWhenUsed/>
    <w:rsid w:val="0076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7668C4"/>
    <w:rPr>
      <w:rFonts w:ascii="Courier New" w:eastAsia="Times New Roman" w:hAnsi="Courier New" w:cs="Courier New"/>
      <w:sz w:val="20"/>
      <w:szCs w:val="20"/>
      <w:lang w:val="en-SG" w:eastAsia="en-SG"/>
    </w:rPr>
  </w:style>
  <w:style w:type="character" w:customStyle="1" w:styleId="Heading3Char">
    <w:name w:val="Heading 3 Char"/>
    <w:basedOn w:val="DefaultParagraphFont"/>
    <w:link w:val="Heading3"/>
    <w:uiPriority w:val="9"/>
    <w:semiHidden/>
    <w:rsid w:val="00586F6A"/>
    <w:rPr>
      <w:rFonts w:asciiTheme="majorHAnsi" w:eastAsiaTheme="majorEastAsia" w:hAnsiTheme="majorHAnsi" w:cstheme="majorBidi"/>
      <w:color w:val="1F4D78" w:themeColor="accent1" w:themeShade="7F"/>
      <w:sz w:val="24"/>
      <w:szCs w:val="24"/>
    </w:rPr>
  </w:style>
  <w:style w:type="character" w:customStyle="1" w:styleId="grey">
    <w:name w:val="grey"/>
    <w:basedOn w:val="DefaultParagraphFont"/>
    <w:rsid w:val="00586F6A"/>
  </w:style>
  <w:style w:type="character" w:styleId="CommentReference">
    <w:name w:val="annotation reference"/>
    <w:basedOn w:val="DefaultParagraphFont"/>
    <w:uiPriority w:val="99"/>
    <w:semiHidden/>
    <w:unhideWhenUsed/>
    <w:rsid w:val="00E25E9F"/>
    <w:rPr>
      <w:sz w:val="16"/>
      <w:szCs w:val="16"/>
    </w:rPr>
  </w:style>
  <w:style w:type="paragraph" w:styleId="CommentText">
    <w:name w:val="annotation text"/>
    <w:basedOn w:val="Normal"/>
    <w:link w:val="CommentTextChar"/>
    <w:uiPriority w:val="99"/>
    <w:semiHidden/>
    <w:unhideWhenUsed/>
    <w:rsid w:val="00E25E9F"/>
    <w:pPr>
      <w:spacing w:line="240" w:lineRule="auto"/>
    </w:pPr>
    <w:rPr>
      <w:sz w:val="20"/>
      <w:szCs w:val="20"/>
    </w:rPr>
  </w:style>
  <w:style w:type="character" w:customStyle="1" w:styleId="CommentTextChar">
    <w:name w:val="Comment Text Char"/>
    <w:basedOn w:val="DefaultParagraphFont"/>
    <w:link w:val="CommentText"/>
    <w:uiPriority w:val="99"/>
    <w:semiHidden/>
    <w:rsid w:val="00E25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352">
      <w:bodyDiv w:val="1"/>
      <w:marLeft w:val="0"/>
      <w:marRight w:val="0"/>
      <w:marTop w:val="0"/>
      <w:marBottom w:val="0"/>
      <w:divBdr>
        <w:top w:val="none" w:sz="0" w:space="0" w:color="auto"/>
        <w:left w:val="none" w:sz="0" w:space="0" w:color="auto"/>
        <w:bottom w:val="none" w:sz="0" w:space="0" w:color="auto"/>
        <w:right w:val="none" w:sz="0" w:space="0" w:color="auto"/>
      </w:divBdr>
    </w:div>
    <w:div w:id="148206356">
      <w:bodyDiv w:val="1"/>
      <w:marLeft w:val="0"/>
      <w:marRight w:val="0"/>
      <w:marTop w:val="0"/>
      <w:marBottom w:val="0"/>
      <w:divBdr>
        <w:top w:val="none" w:sz="0" w:space="0" w:color="auto"/>
        <w:left w:val="none" w:sz="0" w:space="0" w:color="auto"/>
        <w:bottom w:val="none" w:sz="0" w:space="0" w:color="auto"/>
        <w:right w:val="none" w:sz="0" w:space="0" w:color="auto"/>
      </w:divBdr>
    </w:div>
    <w:div w:id="824932542">
      <w:bodyDiv w:val="1"/>
      <w:marLeft w:val="0"/>
      <w:marRight w:val="0"/>
      <w:marTop w:val="0"/>
      <w:marBottom w:val="0"/>
      <w:divBdr>
        <w:top w:val="none" w:sz="0" w:space="0" w:color="auto"/>
        <w:left w:val="none" w:sz="0" w:space="0" w:color="auto"/>
        <w:bottom w:val="none" w:sz="0" w:space="0" w:color="auto"/>
        <w:right w:val="none" w:sz="0" w:space="0" w:color="auto"/>
      </w:divBdr>
    </w:div>
    <w:div w:id="1016149277">
      <w:bodyDiv w:val="1"/>
      <w:marLeft w:val="0"/>
      <w:marRight w:val="0"/>
      <w:marTop w:val="0"/>
      <w:marBottom w:val="0"/>
      <w:divBdr>
        <w:top w:val="none" w:sz="0" w:space="0" w:color="auto"/>
        <w:left w:val="none" w:sz="0" w:space="0" w:color="auto"/>
        <w:bottom w:val="none" w:sz="0" w:space="0" w:color="auto"/>
        <w:right w:val="none" w:sz="0" w:space="0" w:color="auto"/>
      </w:divBdr>
    </w:div>
    <w:div w:id="1053189703">
      <w:bodyDiv w:val="1"/>
      <w:marLeft w:val="0"/>
      <w:marRight w:val="0"/>
      <w:marTop w:val="0"/>
      <w:marBottom w:val="0"/>
      <w:divBdr>
        <w:top w:val="none" w:sz="0" w:space="0" w:color="auto"/>
        <w:left w:val="none" w:sz="0" w:space="0" w:color="auto"/>
        <w:bottom w:val="none" w:sz="0" w:space="0" w:color="auto"/>
        <w:right w:val="none" w:sz="0" w:space="0" w:color="auto"/>
      </w:divBdr>
    </w:div>
    <w:div w:id="1774011626">
      <w:bodyDiv w:val="1"/>
      <w:marLeft w:val="0"/>
      <w:marRight w:val="0"/>
      <w:marTop w:val="0"/>
      <w:marBottom w:val="0"/>
      <w:divBdr>
        <w:top w:val="none" w:sz="0" w:space="0" w:color="auto"/>
        <w:left w:val="none" w:sz="0" w:space="0" w:color="auto"/>
        <w:bottom w:val="none" w:sz="0" w:space="0" w:color="auto"/>
        <w:right w:val="none" w:sz="0" w:space="0" w:color="auto"/>
      </w:divBdr>
    </w:div>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 w:id="19172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5EF5-F298-4F3E-A798-CC483229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181</cp:revision>
  <cp:lastPrinted>2017-01-31T17:17:00Z</cp:lastPrinted>
  <dcterms:created xsi:type="dcterms:W3CDTF">2016-04-22T09:10:00Z</dcterms:created>
  <dcterms:modified xsi:type="dcterms:W3CDTF">2017-07-12T21:10:00Z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