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B9E1" w14:textId="77777777" w:rsidR="00C276CB" w:rsidRDefault="00870879">
      <w:pPr>
        <w:spacing w:before="98" w:line="292" w:lineRule="auto"/>
        <w:ind w:left="100" w:right="553"/>
        <w:jc w:val="both"/>
        <w:outlineLvl w:val="0"/>
        <w:rPr>
          <w:b/>
          <w:spacing w:val="-1"/>
        </w:rPr>
      </w:pPr>
      <w:bookmarkStart w:id="0" w:name="_Toc310605657"/>
      <w:r>
        <w:rPr>
          <w:b/>
          <w:bCs/>
          <w:spacing w:val="-1"/>
        </w:rPr>
        <w:t xml:space="preserve">Updated </w:t>
      </w:r>
      <w:bookmarkStart w:id="1"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1"/>
      <w:r>
        <w:rPr>
          <w:rStyle w:val="FootnoteReference"/>
          <w:b/>
          <w:spacing w:val="-1"/>
        </w:rPr>
        <w:footnoteReference w:id="2"/>
      </w:r>
    </w:p>
    <w:p w14:paraId="5A2DB6D7" w14:textId="77777777" w:rsidR="00C276CB" w:rsidRDefault="00870879">
      <w:pPr>
        <w:spacing w:before="98" w:line="292" w:lineRule="auto"/>
        <w:ind w:left="100" w:right="553"/>
        <w:jc w:val="both"/>
        <w:outlineLvl w:val="0"/>
      </w:pPr>
      <w:r>
        <w:rPr>
          <w:b/>
          <w:bCs/>
          <w:spacing w:val="-1"/>
        </w:rPr>
        <w:t>Revised as of [Day, Month], 2016</w:t>
      </w:r>
    </w:p>
    <w:p w14:paraId="26CC4899" w14:textId="77777777" w:rsidR="00C276CB" w:rsidRDefault="00870879">
      <w:pPr>
        <w:spacing w:before="240" w:after="240"/>
        <w:ind w:left="101"/>
        <w:jc w:val="center"/>
        <w:outlineLvl w:val="0"/>
        <w:rPr>
          <w:b/>
          <w:spacing w:val="-1"/>
        </w:rPr>
      </w:pPr>
      <w:bookmarkStart w:id="2" w:name="_Toc227127490"/>
      <w:r>
        <w:rPr>
          <w:b/>
          <w:spacing w:val="-1"/>
        </w:rPr>
        <w:t>Table of Contents</w:t>
      </w:r>
      <w:bookmarkEnd w:id="2"/>
    </w:p>
    <w:p w14:paraId="0609DE0B" w14:textId="2D7D1010" w:rsidR="00C276CB" w:rsidRDefault="00870879">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sidR="005375E7">
        <w:rPr>
          <w:noProof/>
        </w:rPr>
        <w:t>1</w:t>
      </w:r>
      <w:r>
        <w:rPr>
          <w:noProof/>
        </w:rPr>
        <w:fldChar w:fldCharType="end"/>
      </w:r>
    </w:p>
    <w:p w14:paraId="4397F1E9" w14:textId="31DE08FC" w:rsidR="00C276CB" w:rsidRDefault="00870879">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r w:rsidR="005375E7">
        <w:rPr>
          <w:noProof/>
        </w:rPr>
        <w:t>4</w:t>
      </w:r>
      <w:r>
        <w:rPr>
          <w:noProof/>
        </w:rPr>
        <w:fldChar w:fldCharType="end"/>
      </w:r>
    </w:p>
    <w:p w14:paraId="37284E0A" w14:textId="2E0B76DA" w:rsidR="00C276CB" w:rsidRDefault="00870879">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Independent Review Panel</w:t>
      </w:r>
      <w:r>
        <w:rPr>
          <w:noProof/>
        </w:rPr>
        <w:tab/>
      </w:r>
      <w:r>
        <w:rPr>
          <w:noProof/>
        </w:rPr>
        <w:fldChar w:fldCharType="begin"/>
      </w:r>
      <w:r>
        <w:rPr>
          <w:noProof/>
        </w:rPr>
        <w:instrText xml:space="preserve"> PAGEREF _Toc329602760 \h </w:instrText>
      </w:r>
      <w:r>
        <w:rPr>
          <w:noProof/>
        </w:rPr>
      </w:r>
      <w:r>
        <w:rPr>
          <w:noProof/>
        </w:rPr>
        <w:fldChar w:fldCharType="separate"/>
      </w:r>
      <w:r w:rsidR="005375E7">
        <w:rPr>
          <w:noProof/>
        </w:rPr>
        <w:t>5</w:t>
      </w:r>
      <w:r>
        <w:rPr>
          <w:noProof/>
        </w:rPr>
        <w:fldChar w:fldCharType="end"/>
      </w:r>
    </w:p>
    <w:p w14:paraId="204699AC" w14:textId="08DB51BB" w:rsidR="00C276CB" w:rsidRDefault="00870879">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r w:rsidR="005375E7">
        <w:rPr>
          <w:noProof/>
        </w:rPr>
        <w:t>6</w:t>
      </w:r>
      <w:r>
        <w:rPr>
          <w:noProof/>
        </w:rPr>
        <w:fldChar w:fldCharType="end"/>
      </w:r>
    </w:p>
    <w:p w14:paraId="4F820C43" w14:textId="60DB1FD0" w:rsidR="00C276CB" w:rsidRDefault="00870879">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Review</w:t>
      </w:r>
      <w:r>
        <w:rPr>
          <w:noProof/>
        </w:rPr>
        <w:tab/>
      </w:r>
      <w:r>
        <w:rPr>
          <w:noProof/>
        </w:rPr>
        <w:fldChar w:fldCharType="begin"/>
      </w:r>
      <w:r>
        <w:rPr>
          <w:noProof/>
        </w:rPr>
        <w:instrText xml:space="preserve"> PAGEREF _Toc329602762 \h </w:instrText>
      </w:r>
      <w:r>
        <w:rPr>
          <w:noProof/>
        </w:rPr>
      </w:r>
      <w:r>
        <w:rPr>
          <w:noProof/>
        </w:rPr>
        <w:fldChar w:fldCharType="separate"/>
      </w:r>
      <w:r w:rsidR="005375E7">
        <w:rPr>
          <w:noProof/>
        </w:rPr>
        <w:t>6</w:t>
      </w:r>
      <w:r>
        <w:rPr>
          <w:noProof/>
        </w:rPr>
        <w:fldChar w:fldCharType="end"/>
      </w:r>
    </w:p>
    <w:p w14:paraId="4B1D49B2" w14:textId="51606732" w:rsidR="00C276CB" w:rsidRDefault="00870879">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r w:rsidR="005375E7">
        <w:rPr>
          <w:noProof/>
        </w:rPr>
        <w:t>8</w:t>
      </w:r>
      <w:r>
        <w:rPr>
          <w:noProof/>
        </w:rPr>
        <w:fldChar w:fldCharType="end"/>
      </w:r>
    </w:p>
    <w:p w14:paraId="3DA105F5" w14:textId="7A63D3EF" w:rsidR="00C276CB" w:rsidRDefault="00870879">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r w:rsidR="005375E7">
        <w:rPr>
          <w:noProof/>
        </w:rPr>
        <w:t>8</w:t>
      </w:r>
      <w:r>
        <w:rPr>
          <w:noProof/>
        </w:rPr>
        <w:fldChar w:fldCharType="end"/>
      </w:r>
    </w:p>
    <w:p w14:paraId="656E6F1A" w14:textId="62C671CE" w:rsidR="00C276CB" w:rsidRDefault="00870879">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r w:rsidR="005375E7">
        <w:rPr>
          <w:noProof/>
        </w:rPr>
        <w:t>9</w:t>
      </w:r>
      <w:r>
        <w:rPr>
          <w:noProof/>
        </w:rPr>
        <w:fldChar w:fldCharType="end"/>
      </w:r>
    </w:p>
    <w:p w14:paraId="58A93640" w14:textId="7208E0F2" w:rsidR="00C276CB" w:rsidRDefault="00870879">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sidR="005375E7">
        <w:rPr>
          <w:noProof/>
        </w:rPr>
        <w:t>10</w:t>
      </w:r>
      <w:r>
        <w:rPr>
          <w:noProof/>
        </w:rPr>
        <w:fldChar w:fldCharType="end"/>
      </w:r>
    </w:p>
    <w:p w14:paraId="6E930E1D" w14:textId="59AAA072" w:rsidR="00C276CB" w:rsidRDefault="00870879">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sidR="005375E7">
        <w:rPr>
          <w:noProof/>
        </w:rPr>
        <w:t>10</w:t>
      </w:r>
      <w:r>
        <w:rPr>
          <w:noProof/>
        </w:rPr>
        <w:fldChar w:fldCharType="end"/>
      </w:r>
    </w:p>
    <w:p w14:paraId="1A9158B6" w14:textId="01DA0B10" w:rsidR="00C276CB" w:rsidRDefault="00870879">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sidR="005375E7">
        <w:rPr>
          <w:noProof/>
        </w:rPr>
        <w:t>11</w:t>
      </w:r>
      <w:r>
        <w:rPr>
          <w:noProof/>
        </w:rPr>
        <w:fldChar w:fldCharType="end"/>
      </w:r>
    </w:p>
    <w:p w14:paraId="5505006E" w14:textId="24E70988" w:rsidR="00C276CB" w:rsidRDefault="00870879">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r w:rsidR="005375E7">
        <w:rPr>
          <w:noProof/>
        </w:rPr>
        <w:t>12</w:t>
      </w:r>
      <w:r>
        <w:rPr>
          <w:noProof/>
        </w:rPr>
        <w:fldChar w:fldCharType="end"/>
      </w:r>
    </w:p>
    <w:p w14:paraId="3BEE4C49" w14:textId="4E655A09" w:rsidR="00C276CB" w:rsidRDefault="00870879">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r w:rsidR="005375E7">
        <w:rPr>
          <w:noProof/>
        </w:rPr>
        <w:t>12</w:t>
      </w:r>
      <w:r>
        <w:rPr>
          <w:noProof/>
        </w:rPr>
        <w:fldChar w:fldCharType="end"/>
      </w:r>
    </w:p>
    <w:p w14:paraId="3FF15B92" w14:textId="213BDB85" w:rsidR="00C276CB" w:rsidRDefault="00870879">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r w:rsidR="005375E7">
        <w:rPr>
          <w:noProof/>
        </w:rPr>
        <w:t>13</w:t>
      </w:r>
      <w:r>
        <w:rPr>
          <w:noProof/>
        </w:rPr>
        <w:fldChar w:fldCharType="end"/>
      </w:r>
    </w:p>
    <w:p w14:paraId="2952BBB8" w14:textId="10614567" w:rsidR="00C276CB" w:rsidRDefault="00870879">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r>
      <w:r>
        <w:rPr>
          <w:noProof/>
        </w:rPr>
        <w:fldChar w:fldCharType="separate"/>
      </w:r>
      <w:r w:rsidR="005375E7">
        <w:rPr>
          <w:b w:val="0"/>
          <w:noProof/>
        </w:rPr>
        <w:t>Error! Bookmark not defined.</w:t>
      </w:r>
      <w:r>
        <w:rPr>
          <w:noProof/>
        </w:rPr>
        <w:fldChar w:fldCharType="end"/>
      </w:r>
    </w:p>
    <w:p w14:paraId="65F846DA" w14:textId="7EB029DA" w:rsidR="00C276CB" w:rsidRDefault="00870879">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r w:rsidR="005375E7">
        <w:rPr>
          <w:noProof/>
        </w:rPr>
        <w:t>13</w:t>
      </w:r>
      <w:r>
        <w:rPr>
          <w:noProof/>
        </w:rPr>
        <w:fldChar w:fldCharType="end"/>
      </w:r>
    </w:p>
    <w:p w14:paraId="00C2FE34" w14:textId="77777777" w:rsidR="00C276CB" w:rsidRDefault="00870879">
      <w:r>
        <w:rPr>
          <w:rFonts w:ascii="Cambria" w:hAnsi="Cambria"/>
        </w:rPr>
        <w:fldChar w:fldCharType="end"/>
      </w:r>
    </w:p>
    <w:p w14:paraId="539EBEAC" w14:textId="77777777" w:rsidR="00C276CB" w:rsidRDefault="00870879">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Bylaws.  These procedures apply to all independent review process proceedings filed after [insert effective date of the Bylaws].</w:t>
      </w:r>
    </w:p>
    <w:p w14:paraId="0C05A5A7" w14:textId="77777777" w:rsidR="00C276CB" w:rsidRDefault="00870879">
      <w:pPr>
        <w:pStyle w:val="Heading1"/>
      </w:pPr>
      <w:bookmarkStart w:id="3" w:name="_Toc453238554"/>
      <w:bookmarkStart w:id="4" w:name="_Toc329602758"/>
      <w:bookmarkStart w:id="5" w:name="_Toc227127491"/>
      <w:r>
        <w:lastRenderedPageBreak/>
        <w:t>Definitions</w:t>
      </w:r>
      <w:bookmarkEnd w:id="3"/>
      <w:bookmarkEnd w:id="4"/>
      <w:bookmarkEnd w:id="5"/>
    </w:p>
    <w:p w14:paraId="4FB0BC74" w14:textId="77777777" w:rsidR="00C276CB" w:rsidRDefault="00870879">
      <w:pPr>
        <w:pStyle w:val="BlockText"/>
      </w:pPr>
      <w:r>
        <w:t>In these Updated Supplementary Procedures:</w:t>
      </w:r>
    </w:p>
    <w:p w14:paraId="4A3A7E3D" w14:textId="77777777" w:rsidR="00C276CB" w:rsidRDefault="00870879">
      <w:pPr>
        <w:pStyle w:val="BlockText"/>
      </w:pPr>
      <w:r>
        <w:t>A CLAIMANT is any legal or natural person, group, or entity including, but not limited to the Empowered Community, a Supporting Organization, or an Advisory Committee, that has been materially affected by a Dispute.</w:t>
      </w:r>
      <w:r>
        <w:rPr>
          <w:rStyle w:val="FootnoteReference"/>
        </w:rPr>
        <w:footnoteReference w:id="4"/>
      </w:r>
      <w:r>
        <w:t xml:space="preserve">  To be materially affected by a Dispute, the Claimant must suffer an injury or harm that is directly and causally connected to the alleged violation.</w:t>
      </w:r>
    </w:p>
    <w:p w14:paraId="4109CAAB" w14:textId="77777777" w:rsidR="00C276CB" w:rsidRDefault="00870879">
      <w:pPr>
        <w:pStyle w:val="BlockText"/>
      </w:pPr>
      <w:r>
        <w:t>COVERED ACTIONS are any actions or failures to act by or within ICANN committed by the Board, individual Directors, Officers, or Staff members that give rise to a DISPUTE.</w:t>
      </w:r>
      <w:r>
        <w:rPr>
          <w:rStyle w:val="FootnoteReference"/>
        </w:rPr>
        <w:footnoteReference w:id="5"/>
      </w:r>
    </w:p>
    <w:p w14:paraId="2FB0DA2A" w14:textId="77777777" w:rsidR="00C276CB" w:rsidRDefault="00870879">
      <w:pPr>
        <w:pStyle w:val="BlockText"/>
      </w:pPr>
      <w:r>
        <w:t xml:space="preserve">DISPUTES are defined as: </w:t>
      </w:r>
    </w:p>
    <w:p w14:paraId="2EAE4125" w14:textId="77777777" w:rsidR="00C276CB" w:rsidRDefault="00870879">
      <w:pPr>
        <w:pStyle w:val="BlockText"/>
        <w:ind w:left="806"/>
      </w:pPr>
      <w:r>
        <w:t xml:space="preserve">(A) Claims that COVERED ACTIONS violated ICANN’s Articles of Incorporation or Bylaws, including, but not limited to, any action or inaction that: </w:t>
      </w:r>
    </w:p>
    <w:p w14:paraId="6E05F1A5" w14:textId="77777777" w:rsidR="00C276CB" w:rsidRDefault="00870879">
      <w:pPr>
        <w:pStyle w:val="BlockText"/>
        <w:ind w:left="1800" w:hanging="360"/>
      </w:pPr>
      <w:r>
        <w:t>1)</w:t>
      </w:r>
      <w:r>
        <w:tab/>
      </w:r>
      <w:proofErr w:type="gramStart"/>
      <w:r>
        <w:t>exceeded</w:t>
      </w:r>
      <w:proofErr w:type="gramEnd"/>
      <w:r>
        <w:t xml:space="preserve"> the scope of the Mission; </w:t>
      </w:r>
    </w:p>
    <w:p w14:paraId="75143289" w14:textId="77777777" w:rsidR="00C276CB" w:rsidRDefault="00870879">
      <w:pPr>
        <w:pStyle w:val="BlockText"/>
        <w:ind w:left="1800" w:hanging="360"/>
      </w:pPr>
      <w:r>
        <w:t>2)</w:t>
      </w:r>
      <w:r>
        <w:tab/>
      </w:r>
      <w:proofErr w:type="gramStart"/>
      <w:r>
        <w:t>resulted</w:t>
      </w:r>
      <w:proofErr w:type="gramEnd"/>
      <w:r>
        <w:t xml:space="preserve"> from action taken in response to advice or input from any Advisory Committee or Supporting Organization that are claimed to be inconsistent with the Articles of Incorporation or Bylaws; </w:t>
      </w:r>
    </w:p>
    <w:p w14:paraId="22E3ABAE" w14:textId="77777777" w:rsidR="00C276CB" w:rsidRDefault="00870879">
      <w:pPr>
        <w:pStyle w:val="BlockText"/>
        <w:ind w:left="1800" w:hanging="360"/>
      </w:pPr>
      <w:r>
        <w:t>3)</w:t>
      </w:r>
      <w:r>
        <w:tab/>
      </w:r>
      <w:proofErr w:type="gramStart"/>
      <w:r>
        <w:t>resulted</w:t>
      </w:r>
      <w:proofErr w:type="gramEnd"/>
      <w:r>
        <w:t xml:space="preserve"> from decisions of process-specific expert panels that are claimed to be inconsistent with the Articles of Incorporation or Bylaws; </w:t>
      </w:r>
    </w:p>
    <w:p w14:paraId="133DFA12" w14:textId="77777777" w:rsidR="00C276CB" w:rsidRDefault="00870879">
      <w:pPr>
        <w:pStyle w:val="BlockText"/>
        <w:ind w:left="1800" w:hanging="360"/>
      </w:pPr>
      <w:r>
        <w:t>4)</w:t>
      </w:r>
      <w:r>
        <w:tab/>
      </w:r>
      <w:proofErr w:type="gramStart"/>
      <w:r>
        <w:t>resulted</w:t>
      </w:r>
      <w:proofErr w:type="gramEnd"/>
      <w:r>
        <w:t xml:space="preserve"> from a response to a DIDP (as defined in Section 22.7(d)) request that is claimed to be inconsistent with the Articles of Incorporation or Bylaws; or </w:t>
      </w:r>
    </w:p>
    <w:p w14:paraId="4BAF3F6F" w14:textId="77777777" w:rsidR="00C276CB" w:rsidRDefault="00870879">
      <w:pPr>
        <w:pStyle w:val="BlockText"/>
        <w:ind w:left="1800" w:hanging="360"/>
      </w:pPr>
      <w:r>
        <w:t>5)</w:t>
      </w:r>
      <w:r>
        <w:tab/>
      </w:r>
      <w:proofErr w:type="gramStart"/>
      <w:r>
        <w:t>arose</w:t>
      </w:r>
      <w:proofErr w:type="gramEnd"/>
      <w:r>
        <w:t xml:space="preserve"> from claims involving rights of the EC as set forth in the Articles of Incorporation or Bylaws; </w:t>
      </w:r>
    </w:p>
    <w:p w14:paraId="1D215653" w14:textId="77777777" w:rsidR="00C276CB" w:rsidRDefault="00870879">
      <w:pPr>
        <w:pStyle w:val="BlockText"/>
        <w:ind w:left="806"/>
      </w:pPr>
      <w:r>
        <w:lastRenderedPageBreak/>
        <w:t>(B) Claims that ICANN, the Board, individual Directors, Officers or Staff members have not enforced ICANN’s contractual rights with respect to the IANA Naming Function Contract; and</w:t>
      </w:r>
    </w:p>
    <w:p w14:paraId="22F96F31" w14:textId="77777777" w:rsidR="00C276CB" w:rsidRDefault="00870879">
      <w:pPr>
        <w:pStyle w:val="BlockText"/>
        <w:ind w:left="806"/>
      </w:pPr>
      <w:r>
        <w:t>(C) Claims regarding the Post-Transition IANA entity service complaints by direct customers of the IANA naming functions that are not resolved through mediation.</w:t>
      </w:r>
      <w:r>
        <w:rPr>
          <w:rStyle w:val="FootnoteReference"/>
        </w:rPr>
        <w:footnoteReference w:id="6"/>
      </w:r>
    </w:p>
    <w:p w14:paraId="562B77C0" w14:textId="77777777" w:rsidR="00C276CB" w:rsidRDefault="00870879">
      <w:pPr>
        <w:pStyle w:val="BlockText"/>
      </w:pPr>
      <w:r>
        <w:rPr>
          <w:spacing w:val="-1"/>
        </w:rPr>
        <w:t>EMERGENCY PANELIST refers to a single member of the STANDING PANEL designated to adjudicate requests for interim relief</w:t>
      </w:r>
      <w:r>
        <w:rPr>
          <w:rStyle w:val="FootnoteReference"/>
          <w:spacing w:val="-1"/>
        </w:rPr>
        <w:footnoteReference w:id="7"/>
      </w:r>
      <w:r>
        <w:rPr>
          <w:spacing w:val="-1"/>
        </w:rPr>
        <w:t xml:space="preserve"> or, if a STANDING PANEL is not in place at the time the relevant IRP is initiated, it shall refer to the panelist appointed by the ICDR pursuant to ICDR RULES relating to appointment of panelists for interim relief.</w:t>
      </w:r>
    </w:p>
    <w:p w14:paraId="5C9DEF7E" w14:textId="77777777" w:rsidR="00C276CB" w:rsidRDefault="00870879">
      <w:pPr>
        <w:pStyle w:val="BlockText"/>
      </w:pPr>
      <w:r>
        <w:t xml:space="preserve">IANA refers to the Internet Assigned Numbers Authority. </w:t>
      </w:r>
    </w:p>
    <w:p w14:paraId="31F9A072" w14:textId="77777777" w:rsidR="00C276CB" w:rsidRDefault="00870879">
      <w:pPr>
        <w:pStyle w:val="BlockText"/>
      </w:pPr>
      <w:r>
        <w:t xml:space="preserve">ICDR refers to the International Centre for Dispute Resolution, which has been designated and approved by ICANN’s Board of Directors as the Independent Review Panel Provider (IRPP) under Article IV, Section 4.3 of ICANN’s Bylaws. </w:t>
      </w:r>
    </w:p>
    <w:p w14:paraId="508D0FED" w14:textId="77777777" w:rsidR="00C276CB" w:rsidRDefault="00870879">
      <w:pPr>
        <w:pStyle w:val="BlockText"/>
      </w:pPr>
      <w:r>
        <w:t>ICANN refers to the Internet Corporation for Assigned Names and Numbers.</w:t>
      </w:r>
    </w:p>
    <w:p w14:paraId="4EA8E11F" w14:textId="77777777" w:rsidR="00C276CB" w:rsidRDefault="00870879">
      <w:pPr>
        <w:pStyle w:val="BlockText"/>
      </w:pPr>
      <w:r>
        <w:t>INDEPENDENT REVIEW PROCESS or IRP refers to the procedure that takes place upon the Claimant’s filing of a written statement of a DISPUTE with the ICDR.</w:t>
      </w:r>
      <w:r>
        <w:rPr>
          <w:rStyle w:val="FootnoteReference"/>
        </w:rPr>
        <w:footnoteReference w:id="8"/>
      </w:r>
    </w:p>
    <w:p w14:paraId="3FD13CED" w14:textId="77777777" w:rsidR="00C276CB" w:rsidRDefault="00870879">
      <w:pPr>
        <w:pStyle w:val="BlockText"/>
      </w:pPr>
      <w:bookmarkStart w:id="6" w:name="_Toc227127492"/>
      <w:r>
        <w:t>IRP PANEL refers to the panel of three neutral members appointed to decide the relevant DISPUTE.</w:t>
      </w:r>
      <w:r>
        <w:rPr>
          <w:rStyle w:val="FootnoteReference"/>
        </w:rPr>
        <w:footnoteReference w:id="9"/>
      </w:r>
      <w:r>
        <w:t xml:space="preserve"> </w:t>
      </w:r>
    </w:p>
    <w:p w14:paraId="591B21B2" w14:textId="77777777" w:rsidR="00C276CB" w:rsidRDefault="00870879">
      <w:pPr>
        <w:pStyle w:val="BlockText"/>
      </w:pPr>
      <w:r>
        <w:t>IRP PANEL DECISION refers to the final written decision of the IRP PANEL that reflects the reasoned analysis of how the DISPUTE was resolved in compliance with ICANN’s Articles and Bylaws.</w:t>
      </w:r>
      <w:r>
        <w:rPr>
          <w:rStyle w:val="FootnoteReference"/>
        </w:rPr>
        <w:footnoteReference w:id="10"/>
      </w:r>
    </w:p>
    <w:p w14:paraId="00E87C17" w14:textId="48FFC0EB" w:rsidR="00C276CB" w:rsidRDefault="00870879">
      <w:pPr>
        <w:pStyle w:val="BlockText"/>
      </w:pPr>
      <w:r>
        <w:lastRenderedPageBreak/>
        <w:t>ICDR RULES refers to the ICDR’s rules in effect at the time the relevant request for independent review is submitted.</w:t>
      </w:r>
    </w:p>
    <w:p w14:paraId="71ED2A56" w14:textId="77777777" w:rsidR="00C276CB" w:rsidRDefault="00870879">
      <w:pPr>
        <w:pStyle w:val="BlockText"/>
      </w:pPr>
      <w:r>
        <w:t>PROCEDURES OFFICER refers to a single member of the STANDING PANEL designated to adjudicate requests for consolidation, intervention, and joinder, or, if a STANDING PANEL is not in place at the time the relevant IRP is initiated, it shall refer to the panelist appointed by the ICDR pursuant to its International Arbitration Rules relating to appointment of panelists for interim relief.</w:t>
      </w:r>
    </w:p>
    <w:p w14:paraId="327E16FC" w14:textId="77777777" w:rsidR="00C276CB" w:rsidRDefault="00870879">
      <w:pPr>
        <w:pStyle w:val="BlockText"/>
      </w:pPr>
      <w:r>
        <w:t xml:space="preserve">PURPOSES OF THE IRP are to hear and resolve Disputes for the reasons specified in the ICANN Bylaws, Article IV, </w:t>
      </w:r>
      <w:proofErr w:type="gramStart"/>
      <w:r>
        <w:t>Section</w:t>
      </w:r>
      <w:proofErr w:type="gramEnd"/>
      <w:r>
        <w:t xml:space="preserve"> 4.3(a).</w:t>
      </w:r>
    </w:p>
    <w:p w14:paraId="2A449C96" w14:textId="77777777" w:rsidR="00C276CB" w:rsidRDefault="00870879">
      <w:pPr>
        <w:pStyle w:val="BlockText"/>
      </w:pPr>
      <w:r>
        <w:t>STANDING PANEL refers to an omnibus standing panel of at least seven members from which three-member IRP PANELS are selected to hear and resolve DISPUTES consistent with the purposes of the IRP.</w:t>
      </w:r>
      <w:r>
        <w:rPr>
          <w:rStyle w:val="FootnoteReference"/>
        </w:rPr>
        <w:footnoteReference w:id="11"/>
      </w:r>
      <w:r>
        <w:t xml:space="preserve"> </w:t>
      </w:r>
    </w:p>
    <w:p w14:paraId="2537F492" w14:textId="77777777" w:rsidR="00C276CB" w:rsidRDefault="00870879">
      <w:pPr>
        <w:pStyle w:val="Heading1"/>
      </w:pPr>
      <w:bookmarkStart w:id="7" w:name="_Toc453238555"/>
      <w:bookmarkStart w:id="8" w:name="_Toc329602759"/>
      <w:r>
        <w:t>Scope</w:t>
      </w:r>
      <w:bookmarkEnd w:id="6"/>
      <w:bookmarkEnd w:id="7"/>
      <w:bookmarkEnd w:id="8"/>
    </w:p>
    <w:p w14:paraId="6EAE42DA" w14:textId="77777777" w:rsidR="00C276CB" w:rsidRPr="0052143B" w:rsidRDefault="00870879" w:rsidP="0052143B">
      <w:pPr>
        <w:pStyle w:val="BlockText"/>
      </w:pPr>
      <w:r>
        <w:rPr>
          <w:spacing w:val="-1"/>
        </w:rPr>
        <w:t>The ICDR</w:t>
      </w:r>
      <w:r>
        <w:rPr>
          <w:rStyle w:val="FootnoteReference"/>
          <w:spacing w:val="-1"/>
        </w:rPr>
        <w:footnoteReference w:id="12"/>
      </w:r>
      <w:r>
        <w:rPr>
          <w:spacing w:val="-1"/>
        </w:rPr>
        <w:t xml:space="preserve">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 4.3 of the ICANN</w:t>
      </w:r>
      <w:r>
        <w:rPr>
          <w:spacing w:val="27"/>
        </w:rPr>
        <w:t xml:space="preserve"> </w:t>
      </w:r>
      <w:r>
        <w:rPr>
          <w:spacing w:val="-1"/>
        </w:rPr>
        <w:t>Bylaws after the date these Updated Supplementary Procedures go into effect.  In the event there is any inconsistency between these Updated</w:t>
      </w:r>
      <w:r>
        <w:rPr>
          <w:spacing w:val="21"/>
        </w:rPr>
        <w:t xml:space="preserve"> </w:t>
      </w:r>
      <w:r>
        <w:rPr>
          <w:spacing w:val="-1"/>
        </w:rPr>
        <w:t>Supplementary Procedures and the ICDR RULES, these Updated Supplementary Procedures</w:t>
      </w:r>
      <w:r>
        <w:rPr>
          <w:spacing w:val="29"/>
        </w:rPr>
        <w:t xml:space="preserve"> </w:t>
      </w:r>
      <w:r>
        <w:rPr>
          <w:spacing w:val="-1"/>
        </w:rPr>
        <w:t>will govern.  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commenced.</w:t>
      </w:r>
      <w:r w:rsidR="00224A3A">
        <w:rPr>
          <w:spacing w:val="-1"/>
        </w:rPr>
        <w:t xml:space="preserve"> </w:t>
      </w:r>
    </w:p>
    <w:p w14:paraId="5BD30F48" w14:textId="61462E00" w:rsidR="008D54A7" w:rsidRDefault="008D54A7" w:rsidP="008D54A7">
      <w:pPr>
        <w:pStyle w:val="BlockText"/>
        <w:rPr>
          <w:spacing w:val="-1"/>
        </w:rPr>
      </w:pPr>
      <w:del w:id="9" w:author="Becky Burr" w:date="2016-10-31T13:26:00Z">
        <w:r w:rsidDel="006A5A0A">
          <w:rPr>
            <w:spacing w:val="-1"/>
          </w:rPr>
          <w:delText xml:space="preserve">ALT 1:  </w:delText>
        </w:r>
      </w:del>
      <w:proofErr w:type="gramStart"/>
      <w:r w:rsidR="00870879">
        <w:rPr>
          <w:spacing w:val="-1"/>
        </w:rPr>
        <w:t>IRPs commenced prior to the adoption of these Updated Supplementary Procedures shall be governed by the</w:t>
      </w:r>
      <w:proofErr w:type="gramEnd"/>
      <w:r w:rsidR="00870879">
        <w:rPr>
          <w:spacing w:val="-1"/>
        </w:rPr>
        <w:t xml:space="preserve"> Supplementary Procedures in effect at the time such IRPs were commenced</w:t>
      </w:r>
      <w:r>
        <w:rPr>
          <w:spacing w:val="-1"/>
        </w:rPr>
        <w:t>.</w:t>
      </w:r>
    </w:p>
    <w:p w14:paraId="1DD17AB0" w14:textId="1281EDA0" w:rsidR="008D54A7" w:rsidRDefault="008D54A7" w:rsidP="008D54A7">
      <w:pPr>
        <w:pStyle w:val="BlockText"/>
        <w:rPr>
          <w:spacing w:val="-1"/>
        </w:rPr>
      </w:pPr>
      <w:del w:id="10" w:author="Becky Burr" w:date="2016-10-31T13:26:00Z">
        <w:r w:rsidDel="006A5A0A">
          <w:rPr>
            <w:spacing w:val="-1"/>
          </w:rPr>
          <w:delText xml:space="preserve">ALT 2: IRPs commenced prior to the adoption of these Updated Supplementary Procedures shall be governed by the Supplementary Procedures in effect at the time such IRPs were commenced </w:delText>
        </w:r>
        <w:r w:rsidR="0052143B" w:rsidDel="006A5A0A">
          <w:rPr>
            <w:spacing w:val="-1"/>
          </w:rPr>
          <w:delText xml:space="preserve">unless </w:delText>
        </w:r>
        <w:r w:rsidR="0052143B" w:rsidDel="006A5A0A">
          <w:delText xml:space="preserve">the IRP Panel determines that </w:delText>
        </w:r>
        <w:r w:rsidDel="006A5A0A">
          <w:rPr>
            <w:color w:val="FF0000"/>
          </w:rPr>
          <w:delText>a</w:delText>
        </w:r>
        <w:r w:rsidR="0052143B" w:rsidDel="006A5A0A">
          <w:rPr>
            <w:color w:val="FF0000"/>
          </w:rPr>
          <w:delText xml:space="preserve"> requesting </w:delText>
        </w:r>
        <w:r w:rsidDel="006A5A0A">
          <w:rPr>
            <w:color w:val="FF0000"/>
          </w:rPr>
          <w:delText xml:space="preserve">party </w:delText>
        </w:r>
        <w:r w:rsidR="0052143B" w:rsidDel="006A5A0A">
          <w:rPr>
            <w:color w:val="FF0000"/>
          </w:rPr>
          <w:delText>has demon</w:delText>
        </w:r>
        <w:r w:rsidR="00AE5E31" w:rsidDel="006A5A0A">
          <w:rPr>
            <w:color w:val="FF0000"/>
          </w:rPr>
          <w:delText>s</w:delText>
        </w:r>
        <w:r w:rsidR="0052143B" w:rsidDel="006A5A0A">
          <w:rPr>
            <w:color w:val="FF0000"/>
          </w:rPr>
          <w:delText>trated</w:delText>
        </w:r>
        <w:r w:rsidR="0052143B" w:rsidRPr="00E97B0F" w:rsidDel="006A5A0A">
          <w:rPr>
            <w:color w:val="FF0000"/>
          </w:rPr>
          <w:delText xml:space="preserve"> </w:delText>
        </w:r>
        <w:r w:rsidR="0052143B" w:rsidDel="006A5A0A">
          <w:rPr>
            <w:spacing w:val="-1"/>
          </w:rPr>
          <w:delText xml:space="preserve">that application of the former Supplementary Procedures would </w:delText>
        </w:r>
        <w:r w:rsidR="0013538D" w:rsidRPr="006A5A0A" w:rsidDel="006A5A0A">
          <w:rPr>
            <w:rFonts w:eastAsia="SimSun"/>
            <w:bCs/>
            <w:color w:val="0000FF"/>
            <w:spacing w:val="-2"/>
            <w:kern w:val="1"/>
          </w:rPr>
          <w:delText xml:space="preserve">materially </w:delText>
        </w:r>
        <w:r w:rsidR="0013538D" w:rsidRPr="006A5A0A" w:rsidDel="006A5A0A">
          <w:rPr>
            <w:rFonts w:eastAsia="SimSun"/>
            <w:bCs/>
            <w:color w:val="0000FF"/>
            <w:spacing w:val="-2"/>
            <w:kern w:val="1"/>
          </w:rPr>
          <w:lastRenderedPageBreak/>
          <w:delText>and unjustly affect judgment on the case as presented by</w:delText>
        </w:r>
        <w:r w:rsidR="0013538D" w:rsidRPr="000F183B" w:rsidDel="006A5A0A">
          <w:rPr>
            <w:spacing w:val="-1"/>
          </w:rPr>
          <w:delText xml:space="preserve"> </w:delText>
        </w:r>
        <w:r w:rsidR="0052143B" w:rsidRPr="000F183B" w:rsidDel="006A5A0A">
          <w:delText>the requesting party</w:delText>
        </w:r>
        <w:r w:rsidR="0052143B" w:rsidDel="006A5A0A">
          <w:delText xml:space="preserve"> and would not materially disadvantage any other party’s substantive rights</w:delText>
        </w:r>
        <w:r w:rsidR="0052143B" w:rsidDel="006A5A0A">
          <w:rPr>
            <w:spacing w:val="-1"/>
          </w:rPr>
          <w:delText xml:space="preserve">.  </w:delText>
        </w:r>
      </w:del>
    </w:p>
    <w:p w14:paraId="2E479FC8" w14:textId="2F0B5845" w:rsidR="00C276CB" w:rsidRDefault="0052143B" w:rsidP="008D54A7">
      <w:pPr>
        <w:pStyle w:val="BlockText"/>
        <w:rPr>
          <w:spacing w:val="-1"/>
        </w:rPr>
      </w:pPr>
      <w:del w:id="11" w:author="Becky Burr" w:date="2016-10-31T13:34:00Z">
        <w:r w:rsidDel="006A5A0A">
          <w:rPr>
            <w:spacing w:val="-1"/>
          </w:rPr>
          <w:delText xml:space="preserve">Any party to a then-pending IRP may oppose the request for application of the Updated Supplementary Procedures.  </w:delText>
        </w:r>
        <w:r w:rsidDel="006A5A0A">
          <w:delText xml:space="preserve">Requests to apply the Updated Supplementary Procedures will </w:delText>
        </w:r>
        <w:r w:rsidDel="006A5A0A">
          <w:rPr>
            <w:spacing w:val="-1"/>
          </w:rPr>
          <w:delText>be resolved by the IRP PANEL in its discretion.]</w:delText>
        </w:r>
        <w:r w:rsidR="0013538D" w:rsidDel="006A5A0A">
          <w:rPr>
            <w:rStyle w:val="FootnoteReference"/>
            <w:spacing w:val="-1"/>
          </w:rPr>
          <w:footnoteReference w:id="13"/>
        </w:r>
      </w:del>
    </w:p>
    <w:p w14:paraId="0CC9756E" w14:textId="46EC3F76" w:rsidR="00C276CB" w:rsidRDefault="00870879">
      <w:pPr>
        <w:pStyle w:val="BlockText"/>
      </w:pPr>
      <w:r>
        <w:rPr>
          <w:spacing w:val="-1"/>
        </w:rPr>
        <w:t xml:space="preserve">In the event that any of these Updated Supplementary Procedures are subsequently amended, such amendments will not apply to any IRPs pending at the time such amendments </w:t>
      </w:r>
      <w:r>
        <w:t xml:space="preserve">come into force </w:t>
      </w:r>
      <w:r>
        <w:rPr>
          <w:spacing w:val="-1"/>
        </w:rPr>
        <w:t>unless a party successfully demonstrates that application of the former Supplementary Procedures</w:t>
      </w:r>
      <w:r w:rsidR="00912A68">
        <w:rPr>
          <w:spacing w:val="-1"/>
        </w:rPr>
        <w:t xml:space="preserve"> </w:t>
      </w:r>
      <w:r>
        <w:rPr>
          <w:spacing w:val="-1"/>
        </w:rPr>
        <w:t xml:space="preserve">would be unjust and </w:t>
      </w:r>
      <w:r>
        <w:t>impracticable to the requesting party and application of the amendments would not materially disadvantage any other party’s substantive rights</w:t>
      </w:r>
      <w:r>
        <w:rPr>
          <w:spacing w:val="-1"/>
        </w:rPr>
        <w:t xml:space="preserve">.  Any party to a then-pending IRP may oppose the request for application of the amended Supplementary Procedures.  </w:t>
      </w:r>
      <w:r>
        <w:t xml:space="preserve">Requests to apply updated amended supplementary procedures will </w:t>
      </w:r>
      <w:r>
        <w:rPr>
          <w:spacing w:val="-1"/>
        </w:rPr>
        <w:t>be resolved by the IRP PANEL in the exercise of its discretion.</w:t>
      </w:r>
    </w:p>
    <w:p w14:paraId="27AAB229" w14:textId="77777777" w:rsidR="00C276CB" w:rsidRDefault="00870879">
      <w:pPr>
        <w:pStyle w:val="Heading1"/>
      </w:pPr>
      <w:bookmarkStart w:id="15" w:name="_Toc227127493"/>
      <w:bookmarkStart w:id="16" w:name="_Toc329602760"/>
      <w:bookmarkStart w:id="17" w:name="_Toc453238557"/>
      <w:r>
        <w:t xml:space="preserve">Composition of Independent Review </w:t>
      </w:r>
      <w:bookmarkEnd w:id="15"/>
      <w:r>
        <w:t>Panel</w:t>
      </w:r>
      <w:bookmarkEnd w:id="16"/>
    </w:p>
    <w:p w14:paraId="5A81A762" w14:textId="77777777" w:rsidR="00C276CB" w:rsidRDefault="00870879">
      <w:pPr>
        <w:pStyle w:val="BlockText"/>
      </w:pPr>
      <w:bookmarkStart w:id="18" w:name="_Toc227127494"/>
      <w:r>
        <w:t>The IRP PANEL will comprise three panelists selected from the STANDING PANEL, unless a STANDING PANEL is not in place when the IRP is initiated.</w:t>
      </w:r>
      <w:r>
        <w:rPr>
          <w:rStyle w:val="FootnoteReference"/>
        </w:rPr>
        <w:footnoteReference w:id="14"/>
      </w:r>
      <w:r>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independent and impartial.  An IRP PANEL member's appointment will not take effect unless and until the IRP PANEL member signs a Notice of IRP PANEL Appointment affirming that the member is</w:t>
      </w:r>
      <w:r>
        <w:rPr>
          <w:u w:val="double" w:color="0000FF"/>
        </w:rPr>
        <w:t xml:space="preserve"> </w:t>
      </w:r>
      <w:r>
        <w:t xml:space="preserve">available to serve and is independent and impartial.  In the event that </w:t>
      </w:r>
      <w:r>
        <w:lastRenderedPageBreak/>
        <w:t>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r>
        <w:rPr>
          <w:rStyle w:val="FootnoteReference"/>
        </w:rPr>
        <w:footnoteReference w:id="15"/>
      </w:r>
      <w:r>
        <w:t xml:space="preserve">  In the event that a panelist resigns, is incapable of performing the duties of a panelist, or is removed and the position becomes vacant, a substitute arbitrator shall be appointed pursuant to the provisions of this Section [3] of these Updated Supplementary Procedures.</w:t>
      </w:r>
    </w:p>
    <w:p w14:paraId="3AFF484C" w14:textId="77777777" w:rsidR="00C276CB" w:rsidRDefault="00870879">
      <w:pPr>
        <w:pStyle w:val="Heading1"/>
      </w:pPr>
      <w:bookmarkStart w:id="19" w:name="_Toc329602761"/>
      <w:r>
        <w:t>Time for Filing</w:t>
      </w:r>
      <w:bookmarkEnd w:id="19"/>
    </w:p>
    <w:p w14:paraId="132C954A" w14:textId="60A00EE7" w:rsidR="0013538D" w:rsidRDefault="00870879">
      <w:pPr>
        <w:pStyle w:val="BlockText"/>
      </w:pPr>
      <w:r>
        <w:t>An INDEPENDENT REVIEW is commenced when CLAIMANT files a written statement of a DISPUTE.  A CLAIMANT shall file a written statement of a DISP</w:t>
      </w:r>
      <w:r w:rsidR="001F0122">
        <w:t xml:space="preserve">UTE with the ICDR no more than </w:t>
      </w:r>
      <w:r>
        <w:t>45 days after a CLAIMANT</w:t>
      </w:r>
      <w:r w:rsidR="000E7C01">
        <w:rPr>
          <w:rStyle w:val="FootnoteReference"/>
        </w:rPr>
        <w:footnoteReference w:id="16"/>
      </w:r>
      <w:r>
        <w:t xml:space="preserve"> </w:t>
      </w:r>
    </w:p>
    <w:p w14:paraId="491F297C" w14:textId="077B0F36" w:rsidR="0013538D" w:rsidDel="006A5A0A" w:rsidRDefault="0013538D">
      <w:pPr>
        <w:pStyle w:val="BlockText"/>
        <w:rPr>
          <w:del w:id="20" w:author="Becky Burr" w:date="2016-10-31T13:34:00Z"/>
        </w:rPr>
      </w:pPr>
      <w:del w:id="21" w:author="Becky Burr" w:date="2016-10-31T13:34:00Z">
        <w:r w:rsidRPr="0013538D" w:rsidDel="006A5A0A">
          <w:delText>ALT 1</w:delText>
        </w:r>
        <w:r w:rsidDel="006A5A0A">
          <w:delText xml:space="preserve">:  </w:delText>
        </w:r>
        <w:r w:rsidR="00870879" w:rsidDel="006A5A0A">
          <w:delText xml:space="preserve">becomes aware or reasonably should have been aware </w:delText>
        </w:r>
        <w:r w:rsidDel="006A5A0A">
          <w:delText xml:space="preserve">of </w:delText>
        </w:r>
        <w:r w:rsidR="00870879" w:rsidDel="006A5A0A">
          <w:delText xml:space="preserve">the action or inaction giving rise to the DISPUTE.  </w:delText>
        </w:r>
      </w:del>
    </w:p>
    <w:p w14:paraId="21A71D45" w14:textId="3D05001F" w:rsidR="0013538D" w:rsidDel="006A5A0A" w:rsidRDefault="0013538D">
      <w:pPr>
        <w:pStyle w:val="BlockText"/>
        <w:rPr>
          <w:del w:id="22" w:author="Becky Burr" w:date="2016-10-31T13:34:00Z"/>
        </w:rPr>
      </w:pPr>
      <w:del w:id="23" w:author="Becky Burr" w:date="2016-10-31T13:34:00Z">
        <w:r w:rsidRPr="0013538D" w:rsidDel="006A5A0A">
          <w:delText>ALT 2</w:delText>
        </w:r>
        <w:r w:rsidDel="006A5A0A">
          <w:delText xml:space="preserve">:  becomes aware, or reasonably should have been aware of the </w:delText>
        </w:r>
        <w:r w:rsidR="00412A32" w:rsidDel="006A5A0A">
          <w:delText xml:space="preserve">material affect </w:delText>
        </w:r>
        <w:r w:rsidDel="006A5A0A">
          <w:delText xml:space="preserve">of the action or inaction giving rise to the DISPUTE.  </w:delText>
        </w:r>
      </w:del>
    </w:p>
    <w:p w14:paraId="1AA76E58" w14:textId="2919CF90" w:rsidR="0013538D" w:rsidRDefault="0013538D" w:rsidP="0013538D">
      <w:pPr>
        <w:pStyle w:val="BlockText"/>
      </w:pPr>
      <w:del w:id="24" w:author="Becky Burr" w:date="2016-10-31T13:34:00Z">
        <w:r w:rsidRPr="008126A2" w:rsidDel="006A5A0A">
          <w:rPr>
            <w:b/>
          </w:rPr>
          <w:delText xml:space="preserve">ALT </w:delText>
        </w:r>
        <w:r w:rsidDel="006A5A0A">
          <w:rPr>
            <w:b/>
          </w:rPr>
          <w:delText>3</w:delText>
        </w:r>
        <w:r w:rsidDel="006A5A0A">
          <w:delText xml:space="preserve">:  </w:delText>
        </w:r>
      </w:del>
      <w:proofErr w:type="gramStart"/>
      <w:r>
        <w:t>becomes</w:t>
      </w:r>
      <w:proofErr w:type="gramEnd"/>
      <w:r>
        <w:t xml:space="preserve"> aware of the </w:t>
      </w:r>
      <w:r w:rsidR="00412A32">
        <w:t>material affect</w:t>
      </w:r>
      <w:r>
        <w:t xml:space="preserve"> of the action or inac</w:t>
      </w:r>
      <w:r w:rsidR="00412A32">
        <w:t>tion giving rise to the DISPUTE;</w:t>
      </w:r>
      <w:r>
        <w:t xml:space="preserve"> </w:t>
      </w:r>
      <w:r w:rsidR="00412A32">
        <w:t xml:space="preserve">provided, however, that a statement of a </w:t>
      </w:r>
      <w:r w:rsidR="00A6682C">
        <w:t>DISPUTE</w:t>
      </w:r>
      <w:r w:rsidR="00412A32">
        <w:t xml:space="preserve"> may not be filed</w:t>
      </w:r>
      <w:r>
        <w:t xml:space="preserve"> more than</w:t>
      </w:r>
      <w:ins w:id="25" w:author="Becky Burr" w:date="2016-10-31T13:34:00Z">
        <w:r w:rsidR="006A5A0A">
          <w:t xml:space="preserve"> twelve (12)</w:t>
        </w:r>
      </w:ins>
      <w:r>
        <w:t xml:space="preserve"> </w:t>
      </w:r>
      <w:del w:id="26" w:author="Becky Burr" w:date="2016-10-31T13:34:00Z">
        <w:r w:rsidDel="006A5A0A">
          <w:delText xml:space="preserve">twenty-four </w:delText>
        </w:r>
      </w:del>
      <w:r>
        <w:t xml:space="preserve">months from the date of such action or inaction.  </w:t>
      </w:r>
    </w:p>
    <w:p w14:paraId="6E856273" w14:textId="4B8753D0" w:rsidR="00C276CB" w:rsidRDefault="00870879">
      <w:pPr>
        <w:pStyle w:val="BlockText"/>
      </w:pPr>
      <w:r>
        <w:t>In order for an IRP to be deemed to have been timely filed, all fees must be paid to the ICDR within three business days (as measured by the ICDR) of the filing of the request with the ICDR.</w:t>
      </w:r>
      <w:r>
        <w:rPr>
          <w:rStyle w:val="FootnoteReference"/>
        </w:rPr>
        <w:footnoteReference w:id="17"/>
      </w:r>
      <w:r>
        <w:t xml:space="preserve"> </w:t>
      </w:r>
    </w:p>
    <w:p w14:paraId="0E1EC3A0" w14:textId="77777777" w:rsidR="00C276CB" w:rsidRDefault="00870879">
      <w:pPr>
        <w:pStyle w:val="Heading1"/>
      </w:pPr>
      <w:bookmarkStart w:id="27" w:name="_Toc329602762"/>
      <w:r>
        <w:t>Conduct of the Independent Review</w:t>
      </w:r>
      <w:bookmarkEnd w:id="17"/>
      <w:bookmarkEnd w:id="18"/>
      <w:bookmarkEnd w:id="27"/>
    </w:p>
    <w:p w14:paraId="4D438FB1" w14:textId="77777777" w:rsidR="00C276CB" w:rsidRDefault="00870879">
      <w:pPr>
        <w:pStyle w:val="BlockText"/>
      </w:pPr>
      <w:r>
        <w:t xml:space="preserve">It is in the best interests of ICANN and of the ICANN community for IRP matters to be resolved expeditiously and at a reasonably low cost while ensuring fundamental fairness and due process consistent with the PURPOSES OF THE IRP. The IRP PANEL shall </w:t>
      </w:r>
      <w:r>
        <w:lastRenderedPageBreak/>
        <w:t>consider accessibility, fairness, and efficiency (both as to time and cost) in its conduct of the IRP.</w:t>
      </w:r>
    </w:p>
    <w:p w14:paraId="33EC467A" w14:textId="629B62CE" w:rsidR="00C276CB" w:rsidRDefault="00870879">
      <w:pPr>
        <w:pStyle w:val="BlockText"/>
      </w:pPr>
      <w:r>
        <w:t xml:space="preserve">The IRP PANEL should conduct its proceedings by electronic means to the extent feasible. </w:t>
      </w:r>
      <w:del w:id="28" w:author="Becky Burr" w:date="2016-10-31T13:35:00Z">
        <w:r w:rsidR="00811245" w:rsidDel="006A5A0A">
          <w:delText>[</w:delText>
        </w:r>
      </w:del>
      <w:r>
        <w:t xml:space="preserve">Where </w:t>
      </w:r>
      <w:r w:rsidRPr="006A5A0A">
        <w:rPr>
          <w:rPrChange w:id="29" w:author="Becky Burr" w:date="2016-10-31T13:35:00Z">
            <w:rPr>
              <w:color w:val="FF0000"/>
            </w:rPr>
          </w:rPrChange>
        </w:rPr>
        <w:t>necessary</w:t>
      </w:r>
      <w:r>
        <w:t>,</w:t>
      </w:r>
      <w:del w:id="30" w:author="Becky Burr" w:date="2016-10-31T13:35:00Z">
        <w:r w:rsidR="00811245" w:rsidDel="006A5A0A">
          <w:delText>]</w:delText>
        </w:r>
      </w:del>
      <w:r w:rsidR="00811245">
        <w:rPr>
          <w:rStyle w:val="FootnoteReference"/>
        </w:rPr>
        <w:footnoteReference w:id="18"/>
      </w:r>
      <w:r>
        <w:t xml:space="preserve"> the IRP Panel may conduct live telephonic or </w:t>
      </w:r>
      <w:proofErr w:type="gramStart"/>
      <w:r>
        <w:t>video conferences</w:t>
      </w:r>
      <w:proofErr w:type="gramEnd"/>
      <w:r>
        <w:t>.</w:t>
      </w:r>
    </w:p>
    <w:p w14:paraId="0A58939C" w14:textId="11BEABF7" w:rsidR="00C276CB" w:rsidRDefault="00870879">
      <w:pPr>
        <w:pStyle w:val="BlockText"/>
      </w:pPr>
      <w:r>
        <w:t xml:space="preserve">The IRP PANEL should conduct its proceedings with the presumption that in-person hearings shall not be permitted.  The presumption against in-person hearings may be rebutted only under extraordinary circumstances, where, upon motion by a Party, the IRP PANEL determines that the party seeking an in-person hearing has demonstrated that: (1) an in-person hearing is necessary for a fair resolution of the claim; (2) an in-person hearing is necessary to further the PURPOSES OF THE IRP; </w:t>
      </w:r>
      <w:r>
        <w:rPr>
          <w:i/>
        </w:rPr>
        <w:t>and</w:t>
      </w:r>
      <w:r>
        <w:t xml:space="preserve"> (3) considerations of fairness and furtherance of the PURPOSES OF THE IRP outweigh the time and financial expense of an in-person hearing.</w:t>
      </w:r>
      <w:r>
        <w:rPr>
          <w:rStyle w:val="FootnoteReference"/>
        </w:rPr>
        <w:footnoteReference w:id="19"/>
      </w:r>
      <w:r>
        <w:t xml:space="preserve">  In no circumstances shall in-person hearings be permitted for the purpose of introducing new arguments or evidence that could have been previously presented, but were not previously presented, to the IRP PANEL.</w:t>
      </w:r>
      <w:r>
        <w:tab/>
      </w:r>
    </w:p>
    <w:p w14:paraId="3EB93D74" w14:textId="40934A02" w:rsidR="000E7C01" w:rsidDel="006A5A0A" w:rsidRDefault="000E7C01">
      <w:pPr>
        <w:pStyle w:val="BlockText"/>
        <w:rPr>
          <w:del w:id="35" w:author="Becky Burr" w:date="2016-10-31T13:35:00Z"/>
        </w:rPr>
      </w:pPr>
      <w:del w:id="36" w:author="Becky Burr" w:date="2016-10-31T13:35:00Z">
        <w:r w:rsidRPr="006A5A0A" w:rsidDel="006A5A0A">
          <w:rPr>
            <w:b/>
          </w:rPr>
          <w:delText>Alt 1:</w:delText>
        </w:r>
        <w:r w:rsidDel="006A5A0A">
          <w:delText xml:space="preserve">  </w:delText>
        </w:r>
        <w:r w:rsidR="00870879" w:rsidDel="006A5A0A">
          <w:delText>All hearings shall be limited to argument only</w:delText>
        </w:r>
        <w:r w:rsidDel="006A5A0A">
          <w:delText>.</w:delText>
        </w:r>
      </w:del>
    </w:p>
    <w:p w14:paraId="6B2BB6B3" w14:textId="50F8DD8D" w:rsidR="00811245" w:rsidRDefault="000E7C01">
      <w:pPr>
        <w:pStyle w:val="BlockText"/>
      </w:pPr>
      <w:del w:id="37" w:author="Becky Burr" w:date="2016-10-31T13:35:00Z">
        <w:r w:rsidRPr="006A5A0A" w:rsidDel="006A5A0A">
          <w:rPr>
            <w:b/>
            <w:color w:val="FF0000"/>
          </w:rPr>
          <w:delText>Alt 2</w:delText>
        </w:r>
        <w:r w:rsidRPr="006A5A0A" w:rsidDel="006A5A0A">
          <w:rPr>
            <w:color w:val="FF0000"/>
          </w:rPr>
          <w:delText>:</w:delText>
        </w:r>
        <w:r w:rsidDel="006A5A0A">
          <w:delText xml:space="preserve">  </w:delText>
        </w:r>
      </w:del>
      <w:r>
        <w:t>All hearings shall be limited to argument only</w:t>
      </w:r>
      <w:r w:rsidR="00A808F7">
        <w:t xml:space="preserve"> </w:t>
      </w:r>
      <w:r w:rsidR="00A808F7" w:rsidRPr="006A5A0A">
        <w:rPr>
          <w:color w:val="FF0000"/>
        </w:rPr>
        <w:t xml:space="preserve">unless the IRP Panel </w:t>
      </w:r>
      <w:r w:rsidR="00224A3A" w:rsidRPr="006A5A0A">
        <w:rPr>
          <w:color w:val="FF0000"/>
        </w:rPr>
        <w:t>determines that</w:t>
      </w:r>
      <w:r w:rsidR="00224A3A">
        <w:t xml:space="preserve"> </w:t>
      </w:r>
      <w:r w:rsidR="00800D4D" w:rsidRPr="0013538D">
        <w:rPr>
          <w:color w:val="FF0000"/>
        </w:rPr>
        <w:t xml:space="preserve">a the party seeking </w:t>
      </w:r>
      <w:del w:id="38" w:author="Becky Burr" w:date="2016-10-31T13:36:00Z">
        <w:r w:rsidR="00224A3A" w:rsidRPr="0013538D" w:rsidDel="006A5A0A">
          <w:rPr>
            <w:color w:val="FF0000"/>
          </w:rPr>
          <w:delText>cross examination of</w:delText>
        </w:r>
      </w:del>
      <w:ins w:id="39" w:author="Becky Burr" w:date="2016-10-31T13:36:00Z">
        <w:r w:rsidR="006A5A0A">
          <w:rPr>
            <w:color w:val="FF0000"/>
          </w:rPr>
          <w:t>to present witness testimony</w:t>
        </w:r>
      </w:ins>
      <w:r w:rsidR="00224A3A" w:rsidRPr="0013538D">
        <w:rPr>
          <w:color w:val="FF0000"/>
        </w:rPr>
        <w:t xml:space="preserve"> </w:t>
      </w:r>
      <w:r w:rsidR="00224A3A" w:rsidRPr="006A5A0A">
        <w:rPr>
          <w:strike/>
          <w:color w:val="FF0000"/>
          <w:rPrChange w:id="40" w:author="Becky Burr" w:date="2016-10-31T13:36:00Z">
            <w:rPr>
              <w:color w:val="FF0000"/>
            </w:rPr>
          </w:rPrChange>
        </w:rPr>
        <w:t xml:space="preserve">[a] </w:t>
      </w:r>
      <w:proofErr w:type="gramStart"/>
      <w:r w:rsidR="00224A3A" w:rsidRPr="006A5A0A">
        <w:rPr>
          <w:strike/>
          <w:color w:val="FF0000"/>
          <w:rPrChange w:id="41" w:author="Becky Burr" w:date="2016-10-31T13:36:00Z">
            <w:rPr>
              <w:color w:val="FF0000"/>
            </w:rPr>
          </w:rPrChange>
        </w:rPr>
        <w:t>witness[</w:t>
      </w:r>
      <w:proofErr w:type="spellStart"/>
      <w:proofErr w:type="gramEnd"/>
      <w:r w:rsidR="00224A3A" w:rsidRPr="006A5A0A">
        <w:rPr>
          <w:strike/>
          <w:color w:val="FF0000"/>
          <w:rPrChange w:id="42" w:author="Becky Burr" w:date="2016-10-31T13:36:00Z">
            <w:rPr>
              <w:color w:val="FF0000"/>
            </w:rPr>
          </w:rPrChange>
        </w:rPr>
        <w:t>es</w:t>
      </w:r>
      <w:proofErr w:type="spellEnd"/>
      <w:r w:rsidR="00224A3A" w:rsidRPr="006A5A0A">
        <w:rPr>
          <w:strike/>
          <w:color w:val="FF0000"/>
          <w:rPrChange w:id="43" w:author="Becky Burr" w:date="2016-10-31T13:36:00Z">
            <w:rPr>
              <w:color w:val="FF0000"/>
            </w:rPr>
          </w:rPrChange>
        </w:rPr>
        <w:t xml:space="preserve">] </w:t>
      </w:r>
      <w:r w:rsidR="00800D4D" w:rsidRPr="006A5A0A">
        <w:rPr>
          <w:strike/>
          <w:color w:val="FF0000"/>
          <w:rPrChange w:id="44" w:author="Becky Burr" w:date="2016-10-31T13:36:00Z">
            <w:rPr>
              <w:color w:val="FF0000"/>
            </w:rPr>
          </w:rPrChange>
        </w:rPr>
        <w:t xml:space="preserve">has </w:t>
      </w:r>
      <w:r w:rsidR="00800D4D" w:rsidRPr="0013538D">
        <w:rPr>
          <w:color w:val="FF0000"/>
        </w:rPr>
        <w:t>demonstrated that such</w:t>
      </w:r>
      <w:ins w:id="45" w:author="Becky Burr" w:date="2016-10-31T13:36:00Z">
        <w:r w:rsidR="006A5A0A">
          <w:rPr>
            <w:color w:val="FF0000"/>
          </w:rPr>
          <w:t xml:space="preserve"> testimony</w:t>
        </w:r>
      </w:ins>
      <w:r w:rsidR="00800D4D" w:rsidRPr="0013538D">
        <w:rPr>
          <w:color w:val="FF0000"/>
        </w:rPr>
        <w:t xml:space="preserve"> </w:t>
      </w:r>
      <w:bookmarkStart w:id="46" w:name="_GoBack"/>
      <w:bookmarkEnd w:id="46"/>
      <w:del w:id="47" w:author="Becky Burr" w:date="2016-10-31T17:08:00Z">
        <w:r w:rsidR="00800D4D" w:rsidRPr="006A5A0A" w:rsidDel="00E95F04">
          <w:rPr>
            <w:strike/>
            <w:color w:val="FF0000"/>
            <w:rPrChange w:id="48" w:author="Becky Burr" w:date="2016-10-31T13:36:00Z">
              <w:rPr>
                <w:color w:val="FF0000"/>
              </w:rPr>
            </w:rPrChange>
          </w:rPr>
          <w:delText>cross examination</w:delText>
        </w:r>
        <w:r w:rsidR="00800D4D" w:rsidRPr="0013538D" w:rsidDel="00E95F04">
          <w:rPr>
            <w:color w:val="FF0000"/>
          </w:rPr>
          <w:delText xml:space="preserve"> </w:delText>
        </w:r>
      </w:del>
      <w:r w:rsidR="00800D4D" w:rsidRPr="0013538D">
        <w:rPr>
          <w:color w:val="FF0000"/>
        </w:rPr>
        <w:t>is:</w:t>
      </w:r>
      <w:r w:rsidR="00224A3A" w:rsidRPr="0013538D">
        <w:rPr>
          <w:color w:val="FF0000"/>
        </w:rPr>
        <w:t xml:space="preserve"> (1) necessary for a fair resolution of the claim</w:t>
      </w:r>
      <w:r w:rsidR="00800D4D" w:rsidRPr="0013538D">
        <w:rPr>
          <w:color w:val="FF0000"/>
        </w:rPr>
        <w:t xml:space="preserve">; (2) necessary to </w:t>
      </w:r>
      <w:r w:rsidR="00224A3A" w:rsidRPr="0013538D">
        <w:rPr>
          <w:color w:val="FF0000"/>
        </w:rPr>
        <w:t>further the PURPOSES OF THE IRP</w:t>
      </w:r>
      <w:r w:rsidR="00800D4D" w:rsidRPr="0013538D">
        <w:rPr>
          <w:color w:val="FF0000"/>
        </w:rPr>
        <w:t>;</w:t>
      </w:r>
      <w:r w:rsidR="00224A3A" w:rsidRPr="0013538D">
        <w:rPr>
          <w:color w:val="FF0000"/>
        </w:rPr>
        <w:t xml:space="preserve"> </w:t>
      </w:r>
      <w:r w:rsidR="00224A3A" w:rsidRPr="0013538D">
        <w:rPr>
          <w:i/>
          <w:color w:val="FF0000"/>
        </w:rPr>
        <w:t>and</w:t>
      </w:r>
      <w:r w:rsidR="00224A3A" w:rsidRPr="0013538D">
        <w:rPr>
          <w:color w:val="FF0000"/>
        </w:rPr>
        <w:t xml:space="preserve"> (</w:t>
      </w:r>
      <w:r w:rsidR="00800D4D" w:rsidRPr="0013538D">
        <w:rPr>
          <w:color w:val="FF0000"/>
        </w:rPr>
        <w:t>3</w:t>
      </w:r>
      <w:r w:rsidR="00224A3A" w:rsidRPr="0013538D">
        <w:rPr>
          <w:color w:val="FF0000"/>
        </w:rPr>
        <w:t>) considerations of fairness and furtherance of the PURPOSES OF THE IRP outweigh the time and financial expense of witness</w:t>
      </w:r>
      <w:ins w:id="49" w:author="Becky Burr" w:date="2016-10-31T13:47:00Z">
        <w:r w:rsidR="00912A68">
          <w:rPr>
            <w:color w:val="FF0000"/>
          </w:rPr>
          <w:t xml:space="preserve"> testimony and cross examination.</w:t>
        </w:r>
      </w:ins>
      <w:r w:rsidR="00224A3A" w:rsidRPr="0013538D">
        <w:rPr>
          <w:color w:val="FF0000"/>
        </w:rPr>
        <w:t xml:space="preserve"> </w:t>
      </w:r>
      <w:proofErr w:type="gramStart"/>
      <w:r w:rsidR="00224A3A" w:rsidRPr="00912A68">
        <w:rPr>
          <w:strike/>
          <w:color w:val="FF0000"/>
          <w:rPrChange w:id="50" w:author="Becky Burr" w:date="2016-10-31T13:47:00Z">
            <w:rPr>
              <w:color w:val="FF0000"/>
            </w:rPr>
          </w:rPrChange>
        </w:rPr>
        <w:t>cross</w:t>
      </w:r>
      <w:proofErr w:type="gramEnd"/>
      <w:r w:rsidR="00224A3A" w:rsidRPr="00912A68">
        <w:rPr>
          <w:strike/>
          <w:color w:val="FF0000"/>
          <w:rPrChange w:id="51" w:author="Becky Burr" w:date="2016-10-31T13:47:00Z">
            <w:rPr>
              <w:color w:val="FF0000"/>
            </w:rPr>
          </w:rPrChange>
        </w:rPr>
        <w:t xml:space="preserve"> examination</w:t>
      </w:r>
      <w:r w:rsidR="00224A3A">
        <w:t>.</w:t>
      </w:r>
      <w:del w:id="52" w:author="Becky Burr" w:date="2016-10-31T13:36:00Z">
        <w:r w:rsidR="00224A3A" w:rsidDel="006A5A0A">
          <w:delText>]</w:delText>
        </w:r>
      </w:del>
      <w:del w:id="53" w:author="Becky Burr" w:date="2016-10-31T13:48:00Z">
        <w:r w:rsidR="00811245" w:rsidDel="00912A68">
          <w:rPr>
            <w:rStyle w:val="FootnoteReference"/>
          </w:rPr>
          <w:footnoteReference w:id="20"/>
        </w:r>
        <w:r w:rsidR="00224A3A" w:rsidDel="00912A68">
          <w:delText xml:space="preserve">  </w:delText>
        </w:r>
      </w:del>
    </w:p>
    <w:p w14:paraId="67D23722" w14:textId="19026059" w:rsidR="005375E7" w:rsidRDefault="005375E7">
      <w:pPr>
        <w:pStyle w:val="BlockText"/>
      </w:pPr>
      <w:del w:id="56" w:author="Becky Burr" w:date="2016-10-31T13:37:00Z">
        <w:r w:rsidDel="006A5A0A">
          <w:rPr>
            <w:b/>
            <w:color w:val="FF0000"/>
          </w:rPr>
          <w:delText>Alt 3:</w:delText>
        </w:r>
        <w:r w:rsidDel="006A5A0A">
          <w:delText xml:space="preserve">  [The IRP Panel shall determine, in its discretion, whether or not to permit cross examination of witnesses at any hearing.]</w:delText>
        </w:r>
      </w:del>
    </w:p>
    <w:p w14:paraId="0323809F" w14:textId="602600F7" w:rsidR="00C276CB" w:rsidRDefault="00224A3A">
      <w:pPr>
        <w:pStyle w:val="BlockText"/>
      </w:pPr>
      <w:r>
        <w:lastRenderedPageBreak/>
        <w:t>A</w:t>
      </w:r>
      <w:r w:rsidR="00870879">
        <w:t>ll evidence, including witness statements, must be submitted in writing [X] days in advance of any hearing.</w:t>
      </w:r>
    </w:p>
    <w:p w14:paraId="040A090A" w14:textId="77777777" w:rsidR="00C276CB" w:rsidRDefault="00870879">
      <w:pPr>
        <w:pStyle w:val="BlockText"/>
      </w:pPr>
      <w:r>
        <w:t>With due regard to Bylaw Section 4.3(s), the IRP PANEL retains responsibility for determining the timetable for</w:t>
      </w:r>
      <w:r>
        <w:rPr>
          <w:spacing w:val="21"/>
        </w:rPr>
        <w:t xml:space="preserve"> </w:t>
      </w:r>
      <w:r>
        <w:t>the IRP proceeding.</w:t>
      </w:r>
      <w:r>
        <w:rPr>
          <w:rStyle w:val="FootnoteReference"/>
          <w:spacing w:val="-1"/>
        </w:rPr>
        <w:footnoteReference w:id="21"/>
      </w:r>
      <w:r>
        <w:t xml:space="preserve"> Any violation of the IRP PANEL’s timetable may</w:t>
      </w:r>
      <w:r>
        <w:rPr>
          <w:spacing w:val="25"/>
        </w:rPr>
        <w:t xml:space="preserve"> </w:t>
      </w:r>
      <w:r>
        <w:t>result in the assessment of costs pursuant to Section 10 of these Updated Supplementary Procedures.</w:t>
      </w:r>
      <w:r>
        <w:rPr>
          <w:rStyle w:val="FootnoteReference"/>
          <w:spacing w:val="-1"/>
        </w:rPr>
        <w:footnoteReference w:id="22"/>
      </w:r>
    </w:p>
    <w:p w14:paraId="10097DBC" w14:textId="77777777" w:rsidR="00C276CB" w:rsidRDefault="00870879">
      <w:pPr>
        <w:pStyle w:val="Heading1"/>
      </w:pPr>
      <w:bookmarkStart w:id="57" w:name="_Toc453238558"/>
      <w:bookmarkStart w:id="58" w:name="_Toc329602763"/>
      <w:bookmarkStart w:id="59" w:name="_Toc227127495"/>
      <w:r>
        <w:t>Written Statements</w:t>
      </w:r>
      <w:bookmarkEnd w:id="57"/>
      <w:bookmarkEnd w:id="58"/>
      <w:bookmarkEnd w:id="59"/>
    </w:p>
    <w:p w14:paraId="57294923" w14:textId="77777777" w:rsidR="00C276CB" w:rsidRDefault="00870879">
      <w:pPr>
        <w:pStyle w:val="BlockText"/>
        <w:rPr>
          <w:spacing w:val="-1"/>
        </w:rPr>
      </w:pPr>
      <w:r>
        <w:rPr>
          <w:spacing w:val="-1"/>
        </w:rPr>
        <w:t>The initial written submissions of the parties shall not exceed 25 pages each in argument, double-spaced and in 12-point font.</w:t>
      </w:r>
      <w:r>
        <w:rPr>
          <w:rStyle w:val="FootnoteReference"/>
          <w:bCs/>
          <w:spacing w:val="-1"/>
        </w:rPr>
        <w:footnoteReference w:id="23"/>
      </w:r>
      <w:r>
        <w:rPr>
          <w:spacing w:val="-1"/>
        </w:rPr>
        <w:t xml:space="preserve">  All necessary and available evidence in support of the </w:t>
      </w:r>
      <w:r>
        <w:rPr>
          <w:bCs/>
          <w:spacing w:val="-1"/>
        </w:rPr>
        <w:t>Claimant’s Claim(s)</w:t>
      </w:r>
      <w:r>
        <w:rPr>
          <w:spacing w:val="-1"/>
        </w:rPr>
        <w:t xml:space="preserve"> should be part of the initial written submission.</w:t>
      </w:r>
      <w:r>
        <w:rPr>
          <w:rStyle w:val="FootnoteReference"/>
          <w:bCs/>
          <w:spacing w:val="-1"/>
        </w:rPr>
        <w:footnoteReference w:id="24"/>
      </w:r>
      <w:r>
        <w:rPr>
          <w:spacing w:val="-1"/>
        </w:rPr>
        <w:t xml:space="preserve">  Evidence will not be included when calculating the page limit.  The parties may submit expert evidence in writing, and there shall be one right of reply to that expert evidence.</w:t>
      </w:r>
      <w:r>
        <w:rPr>
          <w:rStyle w:val="FootnoteReference"/>
          <w:bCs/>
          <w:spacing w:val="-1"/>
        </w:rPr>
        <w:footnoteReference w:id="25"/>
      </w:r>
      <w:r>
        <w:rPr>
          <w:spacing w:val="-1"/>
        </w:rPr>
        <w:t xml:space="preserve">  The IRP PANEL may request additional written submissions from the party seeking review, the Board, the Supporting Organizations, or from other parties.</w:t>
      </w:r>
      <w:r>
        <w:rPr>
          <w:rStyle w:val="FootnoteReference"/>
          <w:bCs/>
          <w:spacing w:val="-1"/>
        </w:rPr>
        <w:footnoteReference w:id="26"/>
      </w:r>
      <w:r>
        <w:rPr>
          <w:spacing w:val="-1"/>
        </w:rPr>
        <w:t xml:space="preserve"> </w:t>
      </w:r>
    </w:p>
    <w:p w14:paraId="65E7A8FA" w14:textId="77777777" w:rsidR="00C276CB" w:rsidRDefault="00870879">
      <w:pPr>
        <w:pStyle w:val="Heading1"/>
      </w:pPr>
      <w:bookmarkStart w:id="60" w:name="_Toc329602764"/>
      <w:bookmarkStart w:id="61" w:name="_Toc453238559"/>
      <w:bookmarkStart w:id="62" w:name="_Toc227127496"/>
      <w:r>
        <w:t>Consolidation, Intervention, and Joinder</w:t>
      </w:r>
      <w:bookmarkEnd w:id="60"/>
      <w:r>
        <w:rPr>
          <w:rStyle w:val="FootnoteReference"/>
        </w:rPr>
        <w:footnoteReference w:id="27"/>
      </w:r>
    </w:p>
    <w:p w14:paraId="034A7E81" w14:textId="77777777" w:rsidR="00C276CB" w:rsidRDefault="00870879">
      <w:pPr>
        <w:pStyle w:val="BlockText"/>
      </w:pPr>
      <w:r>
        <w:t xml:space="preserve">At the request of a party, a PROCEDURES OFFICER may be appointed from the STANDING PANEL to consider requests for consolidation, intervention, and joinder.  Requests for consolidation, intervention, and joinder are committed to the reasonable discretion of </w:t>
      </w:r>
      <w:bookmarkStart w:id="63" w:name="_cp_text_1_11"/>
      <w:r>
        <w:t xml:space="preserve">the PROCEDURES OFFICER.  In the event that no </w:t>
      </w:r>
      <w:bookmarkEnd w:id="63"/>
      <w:r>
        <w:t xml:space="preserve">STANDING PANEL </w:t>
      </w:r>
      <w:bookmarkStart w:id="64" w:name="_cp_text_2_10"/>
      <w:bookmarkEnd w:id="64"/>
      <w:r>
        <w:t xml:space="preserve">is in place when a PROCEDURES OFFICER must be selected, a panelist may be </w:t>
      </w:r>
      <w:r>
        <w:lastRenderedPageBreak/>
        <w:t>appointed by the ICDR pursuant to its INTERNATIONAL ARBITRATION RULES relating to appointment of panelists for interim relief.</w:t>
      </w:r>
    </w:p>
    <w:p w14:paraId="5BE3BBC1" w14:textId="77777777" w:rsidR="00C276CB" w:rsidRDefault="00870879">
      <w:pPr>
        <w:pStyle w:val="BlockText"/>
      </w:pPr>
      <w:r>
        <w:t xml:space="preserve">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w:t>
      </w:r>
      <w:proofErr w:type="gramStart"/>
      <w:r>
        <w:t>may</w:t>
      </w:r>
      <w:proofErr w:type="gramEnd"/>
      <w:r>
        <w:t xml:space="preserve"> intervene in an IRP with the permission of the PROCEDURES OFFICER.  CLAIMANT’S written statement of a DISPUTE shall include all claims that give rise to a particular DISPUTE, but such claims may be asserted as independent or alternative claims.</w:t>
      </w:r>
      <w:r>
        <w:rPr>
          <w:rStyle w:val="FootnoteReference"/>
        </w:rPr>
        <w:footnoteReference w:id="28"/>
      </w:r>
      <w:r>
        <w:t xml:space="preserve"> </w:t>
      </w:r>
    </w:p>
    <w:p w14:paraId="4AA6D15A" w14:textId="77777777" w:rsidR="00C276CB" w:rsidRDefault="00870879">
      <w:pPr>
        <w:pStyle w:val="BlockText"/>
      </w:pPr>
      <w: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p>
    <w:p w14:paraId="7CBA4C4C" w14:textId="77777777" w:rsidR="00C276CB" w:rsidRDefault="00870879">
      <w:pPr>
        <w:pStyle w:val="Heading1"/>
      </w:pPr>
      <w:bookmarkStart w:id="65" w:name="_Toc329602765"/>
      <w:r>
        <w:t>Discovery Methods</w:t>
      </w:r>
      <w:bookmarkEnd w:id="65"/>
      <w:r>
        <w:rPr>
          <w:rStyle w:val="FootnoteReference"/>
        </w:rPr>
        <w:footnoteReference w:id="29"/>
      </w:r>
    </w:p>
    <w:p w14:paraId="120E0150" w14:textId="77777777" w:rsidR="00C276CB" w:rsidRDefault="00870879">
      <w:pPr>
        <w:pStyle w:val="BlockText"/>
      </w:pPr>
      <w:r>
        <w:t xml:space="preserve">The IRP PANEL shall be guided by considerations of accessibility, fairness, and efficiency (both as to time and cost) in its consideration of discovery requests. </w:t>
      </w:r>
    </w:p>
    <w:p w14:paraId="3E551DB9" w14:textId="7A1ECBFA" w:rsidR="00C276CB" w:rsidRDefault="00870879">
      <w:pPr>
        <w:pStyle w:val="BlockText"/>
      </w:pPr>
      <w:r>
        <w:t>O</w:t>
      </w:r>
      <w:r>
        <w:rPr>
          <w:spacing w:val="-1"/>
        </w:rPr>
        <w:t>n the motion of either Party and upon finding by the IRP PANEL that such discovery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r>
        <w:rPr>
          <w:rStyle w:val="FootnoteReference"/>
          <w:spacing w:val="-1"/>
        </w:rPr>
        <w:footnoteReference w:id="30"/>
      </w:r>
      <w:r>
        <w:rPr>
          <w:spacing w:val="-1"/>
        </w:rPr>
        <w:t xml:space="preserve"> to the resolution of the CLAIMS and/or defenses in the DISPUTE and are not subject to the attorney-client privilege, the work product doctrine or otherwise protected from disclosure by applicable law</w:t>
      </w:r>
      <w:r w:rsidRPr="005375E7">
        <w:rPr>
          <w:spacing w:val="-1"/>
        </w:rPr>
        <w:t xml:space="preserve">. </w:t>
      </w:r>
      <w:r w:rsidR="004D1871" w:rsidRPr="005375E7">
        <w:t>W</w:t>
      </w:r>
      <w:r w:rsidRPr="006A5A0A">
        <w:t>here such discovery method(s) are allowed,</w:t>
      </w:r>
      <w:r w:rsidRPr="006A5A0A">
        <w:rPr>
          <w:rStyle w:val="FootnoteReference"/>
        </w:rPr>
        <w:footnoteReference w:id="31"/>
      </w:r>
      <w:r w:rsidRPr="004D1871">
        <w:t xml:space="preserve"> all</w:t>
      </w:r>
      <w:r>
        <w:t xml:space="preserve"> Parties shall be granted the equivalent discovery rights.</w:t>
      </w:r>
    </w:p>
    <w:p w14:paraId="62621CDE" w14:textId="77777777" w:rsidR="00C276CB" w:rsidRDefault="00870879">
      <w:pPr>
        <w:pStyle w:val="BlockText"/>
      </w:pPr>
      <w:r>
        <w:lastRenderedPageBreak/>
        <w:t xml:space="preserve">A motion for document discovery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t>
      </w:r>
    </w:p>
    <w:p w14:paraId="68FA689B" w14:textId="5614000B" w:rsidR="00C276CB" w:rsidRDefault="00870879">
      <w:pPr>
        <w:pStyle w:val="BlockText"/>
      </w:pPr>
      <w:r>
        <w:t>Depositions, interrogatories, and requests for admission will not be permitted.</w:t>
      </w:r>
    </w:p>
    <w:p w14:paraId="698BFB17" w14:textId="11F619FD" w:rsidR="00C276CB" w:rsidRDefault="00870879">
      <w:pPr>
        <w:pStyle w:val="BlockText"/>
      </w:pPr>
      <w:r>
        <w:t>In the event that a Party submits what the IRP PANEL deems to be an expert opinion, such opinion must be provided in writing and the other Party must have a right of reply to such an opinion with an expert opinion of its own.</w:t>
      </w:r>
      <w:r>
        <w:rPr>
          <w:rStyle w:val="FootnoteReference"/>
        </w:rPr>
        <w:footnoteReference w:id="32"/>
      </w:r>
    </w:p>
    <w:p w14:paraId="3A2C9A11" w14:textId="77777777" w:rsidR="00C276CB" w:rsidRDefault="00870879">
      <w:pPr>
        <w:pStyle w:val="Heading1"/>
      </w:pPr>
      <w:bookmarkStart w:id="66" w:name="_Toc329602766"/>
      <w:r>
        <w:t>Summary Dismissal</w:t>
      </w:r>
      <w:bookmarkEnd w:id="61"/>
      <w:bookmarkEnd w:id="62"/>
      <w:bookmarkEnd w:id="66"/>
    </w:p>
    <w:p w14:paraId="5C1F498D" w14:textId="77777777" w:rsidR="00C276CB" w:rsidRDefault="00870879">
      <w:pPr>
        <w:pStyle w:val="BlockText"/>
      </w:pPr>
      <w:r>
        <w:rPr>
          <w:spacing w:val="-1"/>
        </w:rPr>
        <w:t>An IRP PANEL may summarily dismiss any request for INDEPENDENT REVIEW</w:t>
      </w:r>
      <w:r>
        <w:rPr>
          <w:spacing w:val="23"/>
        </w:rPr>
        <w:t xml:space="preserve"> </w:t>
      </w:r>
      <w:r>
        <w:rPr>
          <w:spacing w:val="-1"/>
        </w:rPr>
        <w:t>where the Claimant</w:t>
      </w:r>
      <w:r>
        <w:rPr>
          <w:rStyle w:val="FootnoteReference"/>
          <w:spacing w:val="-1"/>
        </w:rPr>
        <w:footnoteReference w:id="33"/>
      </w:r>
      <w:r>
        <w:rPr>
          <w:spacing w:val="-1"/>
        </w:rPr>
        <w:t xml:space="preserve"> has not demonstrated that it has been materially affected by a DISPUTE.  To be materially affected by a DISPUTE, a Claimant must suffer an injury or harm that is directly and causally connected to the alleged violation.</w:t>
      </w:r>
      <w:r>
        <w:rPr>
          <w:rStyle w:val="FootnoteReference"/>
          <w:spacing w:val="-1"/>
        </w:rPr>
        <w:footnoteReference w:id="34"/>
      </w:r>
    </w:p>
    <w:p w14:paraId="37559C16" w14:textId="77777777" w:rsidR="00C276CB" w:rsidRDefault="00870879">
      <w:pPr>
        <w:pStyle w:val="BlockText"/>
      </w:pPr>
      <w:r>
        <w:rPr>
          <w:spacing w:val="-1"/>
        </w:rPr>
        <w:t xml:space="preserve">An IRP PANEL may also summarily dismiss </w:t>
      </w:r>
      <w:r>
        <w:t>a</w:t>
      </w:r>
      <w:r>
        <w:rPr>
          <w:spacing w:val="-1"/>
        </w:rPr>
        <w:t xml:space="preserve"> request for INDEPENDENT REVIEW that lacks substance or is frivolous or vexatious.</w:t>
      </w:r>
      <w:r>
        <w:rPr>
          <w:rStyle w:val="FootnoteReference"/>
          <w:spacing w:val="-1"/>
        </w:rPr>
        <w:footnoteReference w:id="35"/>
      </w:r>
    </w:p>
    <w:p w14:paraId="6A51C71D" w14:textId="77777777" w:rsidR="00C276CB" w:rsidRDefault="00870879">
      <w:pPr>
        <w:pStyle w:val="Heading1"/>
      </w:pPr>
      <w:bookmarkStart w:id="67" w:name="_Toc453238560"/>
      <w:bookmarkStart w:id="68" w:name="_Toc329602767"/>
      <w:bookmarkStart w:id="69" w:name="_Toc227127497"/>
      <w:r>
        <w:t>Interim Measures of Protection</w:t>
      </w:r>
      <w:bookmarkEnd w:id="67"/>
      <w:bookmarkEnd w:id="68"/>
      <w:bookmarkEnd w:id="69"/>
    </w:p>
    <w:p w14:paraId="5E509C8B" w14:textId="77777777" w:rsidR="00C276CB" w:rsidRDefault="00870879">
      <w:pPr>
        <w:pStyle w:val="BlockText"/>
        <w:rPr>
          <w:spacing w:val="-1"/>
        </w:rPr>
      </w:pPr>
      <w:r>
        <w:rPr>
          <w:spacing w:val="-1"/>
        </w:rPr>
        <w:t>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IV, Section 4.3(o)(iv).</w:t>
      </w:r>
      <w:r>
        <w:rPr>
          <w:rStyle w:val="FootnoteReference"/>
          <w:spacing w:val="-1"/>
        </w:rPr>
        <w:footnoteReference w:id="36"/>
      </w:r>
      <w:r>
        <w:rPr>
          <w:spacing w:val="-1"/>
        </w:rPr>
        <w:t xml:space="preserve"> </w:t>
      </w:r>
    </w:p>
    <w:p w14:paraId="559267BF" w14:textId="77777777" w:rsidR="00C276CB" w:rsidRDefault="00870879">
      <w:pPr>
        <w:pStyle w:val="BlockText"/>
        <w:rPr>
          <w:spacing w:val="-1"/>
        </w:rPr>
      </w:pPr>
      <w:r>
        <w:rPr>
          <w:spacing w:val="-1"/>
        </w:rPr>
        <w:lastRenderedPageBreak/>
        <w:t>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relief.  Interim relief may only be provided if the EMERGENCY PANELIST determines that the Claimant has established all of the following factors:</w:t>
      </w:r>
    </w:p>
    <w:p w14:paraId="6CA2EFC3" w14:textId="77777777" w:rsidR="00C276CB" w:rsidRDefault="00870879">
      <w:pPr>
        <w:pStyle w:val="BlockText"/>
        <w:ind w:left="720"/>
        <w:rPr>
          <w:spacing w:val="-1"/>
        </w:rPr>
      </w:pPr>
      <w:proofErr w:type="gramStart"/>
      <w:r>
        <w:rPr>
          <w:spacing w:val="-1"/>
        </w:rPr>
        <w:t>(</w:t>
      </w:r>
      <w:proofErr w:type="spellStart"/>
      <w:r>
        <w:rPr>
          <w:spacing w:val="-1"/>
        </w:rPr>
        <w:t>i</w:t>
      </w:r>
      <w:proofErr w:type="spellEnd"/>
      <w:r>
        <w:rPr>
          <w:spacing w:val="-1"/>
        </w:rPr>
        <w:t>) A harm</w:t>
      </w:r>
      <w:proofErr w:type="gramEnd"/>
      <w:r>
        <w:rPr>
          <w:spacing w:val="-1"/>
        </w:rPr>
        <w:t xml:space="preserve"> for which there will be no adequate remedy in the absence of such relief; </w:t>
      </w:r>
    </w:p>
    <w:p w14:paraId="41D502D4" w14:textId="77777777" w:rsidR="00C276CB" w:rsidRDefault="00870879">
      <w:pPr>
        <w:pStyle w:val="BlockText"/>
        <w:ind w:left="720"/>
        <w:rPr>
          <w:spacing w:val="-1"/>
        </w:rPr>
      </w:pPr>
      <w:r>
        <w:rPr>
          <w:spacing w:val="-1"/>
        </w:rPr>
        <w:t xml:space="preserve">(ii) Either: (A) likelihood of success on the merits; or (B) sufficiently serious questions related to the merits; and </w:t>
      </w:r>
    </w:p>
    <w:p w14:paraId="23DA4394" w14:textId="77777777" w:rsidR="00C276CB" w:rsidRDefault="00870879">
      <w:pPr>
        <w:pStyle w:val="BlockText"/>
        <w:ind w:left="720"/>
        <w:rPr>
          <w:spacing w:val="-1"/>
        </w:rPr>
      </w:pPr>
      <w:r>
        <w:rPr>
          <w:spacing w:val="-1"/>
        </w:rPr>
        <w:t>(iii) A balance of hardships tipping decidedly toward the party seeking relief.</w:t>
      </w:r>
      <w:r>
        <w:rPr>
          <w:rStyle w:val="FootnoteReference"/>
          <w:spacing w:val="-1"/>
        </w:rPr>
        <w:footnoteReference w:id="37"/>
      </w:r>
    </w:p>
    <w:p w14:paraId="075F3FF6" w14:textId="77777777" w:rsidR="00C276CB" w:rsidRDefault="00870879">
      <w:pPr>
        <w:pStyle w:val="BlockText"/>
      </w:pPr>
      <w:r>
        <w:rPr>
          <w:spacing w:val="-1"/>
        </w:rPr>
        <w: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  </w:t>
      </w:r>
      <w:bookmarkStart w:id="70" w:name="_Toc453238561"/>
      <w:bookmarkStart w:id="71" w:name="_Toc329602768"/>
    </w:p>
    <w:p w14:paraId="6C2586DF" w14:textId="73EF5CD9" w:rsidR="00C276CB" w:rsidRDefault="00870879">
      <w:pPr>
        <w:pStyle w:val="Heading1"/>
      </w:pPr>
      <w:r>
        <w:t>Standard of Review</w:t>
      </w:r>
      <w:bookmarkEnd w:id="70"/>
      <w:bookmarkEnd w:id="71"/>
      <w:ins w:id="72" w:author="Becky Burr" w:date="2016-10-31T13:49:00Z">
        <w:r w:rsidR="00912A68">
          <w:rPr>
            <w:rStyle w:val="FootnoteReference"/>
          </w:rPr>
          <w:footnoteReference w:id="38"/>
        </w:r>
      </w:ins>
    </w:p>
    <w:p w14:paraId="76B4164A" w14:textId="0B37077C" w:rsidR="00C276CB" w:rsidRDefault="00870879">
      <w:pPr>
        <w:pStyle w:val="ARABICLEL3"/>
        <w:numPr>
          <w:ilvl w:val="0"/>
          <w:numId w:val="0"/>
        </w:numPr>
      </w:pPr>
      <w:bookmarkStart w:id="75" w:name="_Toc329351329"/>
      <w:bookmarkStart w:id="76" w:name="_Toc329602769"/>
      <w:r>
        <w:t>Each IRP PANEL shall conduct an objective, de novo examination of the DISPUTE.</w:t>
      </w:r>
      <w:bookmarkEnd w:id="75"/>
      <w:bookmarkEnd w:id="76"/>
      <w:del w:id="77" w:author="Becky Burr" w:date="2016-10-31T13:38:00Z">
        <w:r w:rsidR="000E7C01" w:rsidDel="006A5A0A">
          <w:rPr>
            <w:rStyle w:val="FootnoteReference"/>
          </w:rPr>
          <w:footnoteReference w:id="39"/>
        </w:r>
      </w:del>
    </w:p>
    <w:p w14:paraId="75C809B1" w14:textId="77777777" w:rsidR="00C276CB" w:rsidRDefault="00870879">
      <w:pPr>
        <w:pStyle w:val="ARABICLEL4"/>
      </w:pPr>
      <w:r>
        <w:lastRenderedPageBreak/>
        <w:t>With respect to COVERED ACTIONS, the IRP PANEL shall make findings of fact to determine whether the COVERED ACTION constituted an action or inaction that violated ICANN’S Articles or Bylaws.</w:t>
      </w:r>
    </w:p>
    <w:p w14:paraId="1628D266" w14:textId="77777777" w:rsidR="00C276CB" w:rsidRDefault="00870879">
      <w:pPr>
        <w:pStyle w:val="ARABICLEL4"/>
      </w:pPr>
      <w:r>
        <w:t>All DISPUTES shall be decided in compliance with ICANN’s Articles and Bylaws, as understood in the context of the norms of applicable law and prior relevant IRP decisions.</w:t>
      </w:r>
    </w:p>
    <w:p w14:paraId="371C59B7" w14:textId="77777777" w:rsidR="00C276CB" w:rsidRDefault="00870879">
      <w:pPr>
        <w:pStyle w:val="ARABICLEL4"/>
      </w:pPr>
      <w:r>
        <w:t>For Claims arising out of the Board’s exercise of its fiduciary duties, the IRP PANEL shall not replace the Board’s reasonable judgment with its own so long as the Board’s action or inaction is within the realm of reasonable business judgment.</w:t>
      </w:r>
    </w:p>
    <w:p w14:paraId="55AA7FF8" w14:textId="77777777" w:rsidR="00C276CB" w:rsidRDefault="00870879">
      <w:pPr>
        <w:pStyle w:val="ARABICLEL4"/>
      </w:pPr>
      <w:bookmarkStart w:id="87" w:name="_Toc227127498"/>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08FC39AB" w14:textId="77777777" w:rsidR="00C276CB" w:rsidRDefault="00870879">
      <w:pPr>
        <w:pStyle w:val="ARABICLEL4"/>
      </w:pPr>
      <w:r>
        <w:t>IRPs initiated through the mechanism contemplated at Article IV, Section 4.3(a)(</w:t>
      </w:r>
      <w:proofErr w:type="gramStart"/>
      <w:r>
        <w:t>iv</w:t>
      </w:r>
      <w:proofErr w:type="gramEnd"/>
      <w:r>
        <w:t>) of ICANN’s Bylaws shall be subject to a separate standard of review as defined in the IANA Naming Function Contract.</w:t>
      </w:r>
      <w:r>
        <w:rPr>
          <w:rStyle w:val="FootnoteReference"/>
        </w:rPr>
        <w:footnoteReference w:id="40"/>
      </w:r>
    </w:p>
    <w:p w14:paraId="4F3D102A" w14:textId="77777777" w:rsidR="00C276CB" w:rsidRDefault="00870879">
      <w:pPr>
        <w:pStyle w:val="Heading1"/>
      </w:pPr>
      <w:bookmarkStart w:id="88" w:name="_Toc453238562"/>
      <w:bookmarkStart w:id="89" w:name="_Toc329602770"/>
      <w:bookmarkEnd w:id="87"/>
      <w:r>
        <w:t>IRP PANEL Decisions</w:t>
      </w:r>
      <w:bookmarkEnd w:id="88"/>
      <w:r>
        <w:rPr>
          <w:rStyle w:val="FootnoteReference"/>
        </w:rPr>
        <w:footnoteReference w:id="41"/>
      </w:r>
      <w:bookmarkEnd w:id="89"/>
    </w:p>
    <w:p w14:paraId="74A1FA30" w14:textId="77777777" w:rsidR="00C276CB" w:rsidRDefault="00870879">
      <w:pPr>
        <w:pStyle w:val="BlockText"/>
      </w:pPr>
      <w:r>
        <w:rPr>
          <w:spacing w:val="-1"/>
        </w:rPr>
        <w:t xml:space="preserve">IRP PANEL DECISIONS shall be made by </w:t>
      </w:r>
      <w:r>
        <w:t>a simple</w:t>
      </w:r>
      <w:r>
        <w:rPr>
          <w:spacing w:val="-1"/>
        </w:rPr>
        <w:t xml:space="preserve"> majority of the IRP PANEL</w:t>
      </w:r>
      <w:r>
        <w:rPr>
          <w:rStyle w:val="FootnoteReference"/>
          <w:spacing w:val="-1"/>
        </w:rPr>
        <w:footnoteReference w:id="42"/>
      </w:r>
      <w:r>
        <w:rPr>
          <w:spacing w:val="-1"/>
        </w:rPr>
        <w:t>. If any IRP 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43"/>
      </w:r>
    </w:p>
    <w:p w14:paraId="050808F7" w14:textId="77777777" w:rsidR="00C276CB" w:rsidRDefault="00870879">
      <w:pPr>
        <w:pStyle w:val="Heading1"/>
      </w:pPr>
      <w:bookmarkStart w:id="90" w:name="_Toc453238563"/>
      <w:bookmarkStart w:id="91" w:name="_Toc227127500"/>
      <w:bookmarkStart w:id="92" w:name="_Toc329602771"/>
      <w:r>
        <w:lastRenderedPageBreak/>
        <w:t xml:space="preserve">Form and Effect of an </w:t>
      </w:r>
      <w:bookmarkEnd w:id="90"/>
      <w:bookmarkEnd w:id="91"/>
      <w:r>
        <w:t>IRP PANEL DECISION</w:t>
      </w:r>
      <w:bookmarkEnd w:id="92"/>
      <w:r>
        <w:t xml:space="preserve"> </w:t>
      </w:r>
    </w:p>
    <w:p w14:paraId="204C9338" w14:textId="77777777" w:rsidR="00C276CB" w:rsidRDefault="00870879">
      <w:pPr>
        <w:pStyle w:val="ARABICLEL4"/>
        <w:numPr>
          <w:ilvl w:val="3"/>
          <w:numId w:val="42"/>
        </w:numPr>
        <w:tabs>
          <w:tab w:val="clear" w:pos="1440"/>
          <w:tab w:val="num" w:pos="1260"/>
        </w:tabs>
        <w:ind w:left="1260" w:hanging="540"/>
      </w:pPr>
      <w:r>
        <w:t>IRP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r>
        <w:rPr>
          <w:rStyle w:val="FootnoteReference"/>
        </w:rPr>
        <w:footnoteReference w:id="44"/>
      </w:r>
    </w:p>
    <w:p w14:paraId="34B89A9E" w14:textId="77777777" w:rsidR="00C276CB" w:rsidRDefault="00870879">
      <w:pPr>
        <w:pStyle w:val="ARABICLEL4"/>
      </w:pPr>
      <w:r>
        <w:t>The IRP PANEL DECISION shall specifically designate the prevailing party as to each Claim.</w:t>
      </w:r>
      <w:r>
        <w:rPr>
          <w:rStyle w:val="FootnoteReference"/>
        </w:rPr>
        <w:footnoteReference w:id="45"/>
      </w:r>
    </w:p>
    <w:p w14:paraId="29107FFC" w14:textId="77777777" w:rsidR="00C276CB" w:rsidRDefault="00870879">
      <w:pPr>
        <w:pStyle w:val="ARABICLEL4"/>
      </w:pPr>
      <w:bookmarkStart w:id="93" w:name="_Toc227127501"/>
      <w:r>
        <w:t>Subject to Article IV,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14:paraId="790A9F31" w14:textId="77777777" w:rsidR="00C276CB" w:rsidRDefault="00870879">
      <w:pPr>
        <w:pStyle w:val="Heading1"/>
      </w:pPr>
      <w:bookmarkStart w:id="94" w:name="_Toc329602772"/>
      <w:bookmarkStart w:id="95" w:name="_Toc453238564"/>
      <w:r>
        <w:t>Appeal of IRP PANEL Decisions</w:t>
      </w:r>
      <w:bookmarkEnd w:id="94"/>
      <w:r>
        <w:rPr>
          <w:rStyle w:val="FootnoteReference"/>
        </w:rPr>
        <w:footnoteReference w:id="46"/>
      </w:r>
    </w:p>
    <w:p w14:paraId="278A00EE" w14:textId="77777777" w:rsidR="00C276CB" w:rsidRDefault="00870879">
      <w:pPr>
        <w:pStyle w:val="BlockText"/>
      </w:pPr>
      <w:r>
        <w:t>An IRP PANEL DECISION may be appealed to the full STANDING PANEL sitting en banc within 60 days of the issuance of such decision.</w:t>
      </w:r>
      <w:r>
        <w:rPr>
          <w:rStyle w:val="FootnoteReference"/>
        </w:rPr>
        <w:footnoteReference w:id="47"/>
      </w:r>
      <w:r>
        <w:t xml:space="preserve">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 or joinder.</w:t>
      </w:r>
    </w:p>
    <w:p w14:paraId="7452741D" w14:textId="77777777" w:rsidR="00C276CB" w:rsidRDefault="00870879">
      <w:pPr>
        <w:pStyle w:val="Heading1"/>
        <w:spacing w:before="240"/>
      </w:pPr>
      <w:bookmarkStart w:id="96" w:name="_Toc329602774"/>
      <w:r>
        <w:t>Costs</w:t>
      </w:r>
      <w:bookmarkEnd w:id="93"/>
      <w:bookmarkEnd w:id="95"/>
      <w:bookmarkEnd w:id="96"/>
    </w:p>
    <w:p w14:paraId="1A3D6B95" w14:textId="77777777" w:rsidR="00C276CB" w:rsidRDefault="00870879">
      <w:pPr>
        <w:pStyle w:val="BlockText"/>
        <w:rPr>
          <w:spacing w:val="-1"/>
        </w:rPr>
      </w:pPr>
      <w:r>
        <w:rPr>
          <w:spacing w:val="-1"/>
        </w:rPr>
        <w:t>The IRP PANEL shall fix costs in its IRP PANEL DECISION.</w:t>
      </w:r>
      <w:r>
        <w:rPr>
          <w:rStyle w:val="FootnoteReference"/>
          <w:spacing w:val="-1"/>
        </w:rPr>
        <w:footnoteReference w:id="48"/>
      </w:r>
      <w:r>
        <w:rPr>
          <w:spacing w:val="-1"/>
        </w:rPr>
        <w:t xml:space="preserve">  Except as otherwise provided in Article IV, Section 4.3(e)(ii) of ICANN’s Bylaws, each party to an IRP </w:t>
      </w:r>
      <w:r>
        <w:rPr>
          <w:spacing w:val="-1"/>
        </w:rPr>
        <w:lastRenderedPageBreak/>
        <w:t xml:space="preserve">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14:paraId="4154EE19" w14:textId="77777777" w:rsidR="00C276CB" w:rsidRDefault="00870879">
      <w:r>
        <w:rPr>
          <w:spacing w:val="-1"/>
        </w:rPr>
        <w:t>Except with respect to a Community IRP, the IRP PANEL may shift and provide for the losing party to pay administrative costs and/or fees of the prevailing party in the event it identifies the losing party’s Claim or defense as frivolous or abusive.</w:t>
      </w:r>
      <w:r>
        <w:rPr>
          <w:rStyle w:val="FootnoteReference"/>
          <w:spacing w:val="-1"/>
        </w:rPr>
        <w:footnoteReference w:id="49"/>
      </w:r>
    </w:p>
    <w:sectPr w:rsidR="00C276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CBA9" w14:textId="77777777" w:rsidR="00E95F04" w:rsidRDefault="00E95F04">
      <w:r>
        <w:separator/>
      </w:r>
    </w:p>
  </w:endnote>
  <w:endnote w:type="continuationSeparator" w:id="0">
    <w:p w14:paraId="14155ED0" w14:textId="77777777" w:rsidR="00E95F04" w:rsidRDefault="00E95F04">
      <w:r>
        <w:continuationSeparator/>
      </w:r>
    </w:p>
  </w:endnote>
  <w:endnote w:type="continuationNotice" w:id="1">
    <w:p w14:paraId="2DEB5846" w14:textId="77777777" w:rsidR="00E95F04" w:rsidRDefault="00E9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3562" w14:textId="77777777" w:rsidR="00E95F04" w:rsidRDefault="00E95F04">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24D9" w14:textId="77777777" w:rsidR="00E95F04" w:rsidRDefault="00E95F04">
    <w:pPr>
      <w:pStyle w:val="Footer"/>
      <w:spacing w:line="200" w:lineRule="exac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E105D">
      <w:rPr>
        <w:rFonts w:ascii="Times New Roman" w:hAnsi="Times New Roman"/>
        <w:noProof/>
        <w:sz w:val="24"/>
        <w:szCs w:val="24"/>
      </w:rPr>
      <w:t>7</w:t>
    </w:r>
    <w:r>
      <w:rPr>
        <w:rFonts w:ascii="Times New Roman" w:hAnsi="Times New Roman"/>
        <w:sz w:val="24"/>
        <w:szCs w:val="24"/>
      </w:rPr>
      <w:fldChar w:fldCharType="end"/>
    </w:r>
  </w:p>
  <w:p w14:paraId="08417958" w14:textId="277D0B8F" w:rsidR="00E95F04" w:rsidRDefault="00E95F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00F6" w14:textId="77777777" w:rsidR="00E95F04" w:rsidRDefault="00E95F04">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2E9BC" w14:textId="77777777" w:rsidR="00E95F04" w:rsidRDefault="00E95F04">
      <w:r>
        <w:separator/>
      </w:r>
    </w:p>
  </w:footnote>
  <w:footnote w:type="continuationSeparator" w:id="0">
    <w:p w14:paraId="7D221FB2" w14:textId="77777777" w:rsidR="00E95F04" w:rsidRDefault="00E95F04">
      <w:r>
        <w:continuationSeparator/>
      </w:r>
    </w:p>
  </w:footnote>
  <w:footnote w:type="continuationNotice" w:id="1">
    <w:p w14:paraId="6C0F5D5D" w14:textId="77777777" w:rsidR="00E95F04" w:rsidRDefault="00E95F04"/>
  </w:footnote>
  <w:footnote w:id="2">
    <w:p w14:paraId="3424C7AC" w14:textId="77777777" w:rsidR="00E95F04" w:rsidRDefault="00E95F04">
      <w:pPr>
        <w:pStyle w:val="FootnoteText"/>
        <w:ind w:firstLine="0"/>
      </w:pPr>
      <w:r>
        <w:rPr>
          <w:rStyle w:val="FootnoteReference"/>
        </w:rPr>
        <w:footnoteRef/>
      </w:r>
      <w:r>
        <w:t xml:space="preserve"> CONTEXTUAL NOTE: These Supplemental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3">
    <w:p w14:paraId="020CE69B" w14:textId="77777777" w:rsidR="00E95F04" w:rsidRDefault="00E95F04">
      <w:pPr>
        <w:pStyle w:val="FootnoteText"/>
        <w:ind w:firstLine="0"/>
      </w:pPr>
      <w:r>
        <w:rPr>
          <w:rStyle w:val="FootnoteReference"/>
        </w:rPr>
        <w:footnoteRef/>
      </w:r>
      <w:r>
        <w:t xml:space="preserve"> Formatting has been updated to conform </w:t>
      </w:r>
      <w:proofErr w:type="gramStart"/>
      <w:r>
        <w:t>with</w:t>
      </w:r>
      <w:proofErr w:type="gramEnd"/>
      <w:r>
        <w:t xml:space="preserve"> the Bylaws approved by the ICANN Board of Directors on 27 May 2016 (hereafter the May 2016 ICANN Bylaws). </w:t>
      </w:r>
    </w:p>
  </w:footnote>
  <w:footnote w:id="4">
    <w:p w14:paraId="43F788F9" w14:textId="77777777" w:rsidR="00E95F04" w:rsidRDefault="00E95F04">
      <w:pPr>
        <w:pStyle w:val="FootnoteText"/>
        <w:ind w:firstLine="0"/>
      </w:pPr>
      <w:r>
        <w:rPr>
          <w:rStyle w:val="FootnoteReference"/>
        </w:rPr>
        <w:footnoteRef/>
      </w:r>
      <w:r>
        <w:t xml:space="preserve"> May 2016 ICANN Bylaws Article IV, Section 4.3(b)(</w:t>
      </w:r>
      <w:proofErr w:type="spellStart"/>
      <w:r>
        <w:t>i</w:t>
      </w:r>
      <w:proofErr w:type="spellEnd"/>
      <w:r>
        <w:t>).</w:t>
      </w:r>
    </w:p>
  </w:footnote>
  <w:footnote w:id="5">
    <w:p w14:paraId="0A4E88F0" w14:textId="77777777" w:rsidR="00E95F04" w:rsidRDefault="00E95F04">
      <w:pPr>
        <w:pStyle w:val="FootnoteText"/>
        <w:ind w:firstLine="0"/>
      </w:pPr>
      <w:r>
        <w:rPr>
          <w:rStyle w:val="FootnoteReference"/>
        </w:rPr>
        <w:footnoteRef/>
      </w:r>
      <w:r>
        <w:t xml:space="preserve"> May 2016 ICANN Bylaws Article IV, Section 4.3 (b)(ii).   </w:t>
      </w:r>
    </w:p>
  </w:footnote>
  <w:footnote w:id="6">
    <w:p w14:paraId="01E80674"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(b)(iii).</w:t>
      </w:r>
    </w:p>
  </w:footnote>
  <w:footnote w:id="7">
    <w:p w14:paraId="3D4C4A83" w14:textId="77777777" w:rsidR="00E95F04" w:rsidRDefault="00E95F04">
      <w:pPr>
        <w:pStyle w:val="FootnoteText"/>
        <w:ind w:firstLine="0"/>
      </w:pPr>
      <w:r>
        <w:rPr>
          <w:rStyle w:val="FootnoteReference"/>
        </w:rPr>
        <w:footnoteRef/>
      </w:r>
      <w:r>
        <w:t xml:space="preserve"> May 2016 ICANN Bylaws, Article IV, Section 4.3 (p).</w:t>
      </w:r>
    </w:p>
  </w:footnote>
  <w:footnote w:id="8">
    <w:p w14:paraId="32D34A2D" w14:textId="77777777" w:rsidR="00E95F04" w:rsidRDefault="00E95F04">
      <w:pPr>
        <w:pStyle w:val="FootnoteText"/>
        <w:ind w:firstLine="0"/>
      </w:pPr>
      <w:r>
        <w:rPr>
          <w:rStyle w:val="FootnoteReference"/>
        </w:rPr>
        <w:footnoteRef/>
      </w:r>
      <w:r>
        <w:t xml:space="preserve"> May 2016 ICANN Bylaws, Article IV, Section 4.3 (d).  </w:t>
      </w:r>
    </w:p>
  </w:footnote>
  <w:footnote w:id="9">
    <w:p w14:paraId="6ED16EDF" w14:textId="77777777" w:rsidR="00E95F04" w:rsidRDefault="00E95F04">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0">
    <w:p w14:paraId="739748A2" w14:textId="77777777" w:rsidR="00E95F04" w:rsidRDefault="00E95F04">
      <w:pPr>
        <w:pStyle w:val="FootnoteText"/>
        <w:ind w:firstLine="0"/>
      </w:pPr>
      <w:r>
        <w:rPr>
          <w:rStyle w:val="FootnoteReference"/>
        </w:rPr>
        <w:footnoteRef/>
      </w:r>
      <w:r>
        <w:t xml:space="preserve"> Change recommended for consistency with May 2016 ICANN Bylaws, which refer to an “IRP PANEL decision” rather than a “declaration” (although the same Bylaws state that an IRP PANEL will “declare” certain findings).  </w:t>
      </w:r>
      <w:r>
        <w:rPr>
          <w:i/>
          <w:iCs/>
        </w:rPr>
        <w:t xml:space="preserve">See </w:t>
      </w:r>
      <w:r>
        <w:rPr>
          <w:iCs/>
        </w:rPr>
        <w:t xml:space="preserve">May </w:t>
      </w:r>
      <w:r>
        <w:t>2016 ICANN Bylaws, Article IV, Section 4.3 (k)(v) &amp; Section 4.3(o)(iii).</w:t>
      </w:r>
    </w:p>
  </w:footnote>
  <w:footnote w:id="11">
    <w:p w14:paraId="2B49AFDE" w14:textId="77777777" w:rsidR="00E95F04" w:rsidRDefault="00E95F04">
      <w:pPr>
        <w:pStyle w:val="FootnoteText"/>
        <w:ind w:firstLine="0"/>
      </w:pPr>
      <w:r>
        <w:rPr>
          <w:rStyle w:val="FootnoteReference"/>
        </w:rPr>
        <w:footnoteRef/>
      </w:r>
      <w:r>
        <w:t xml:space="preserve"> May 2016 ICANN Bylaws, Article IV, Section 4.3 (j)(</w:t>
      </w:r>
      <w:proofErr w:type="spellStart"/>
      <w:r>
        <w:t>i</w:t>
      </w:r>
      <w:proofErr w:type="spellEnd"/>
      <w:r>
        <w:t>).</w:t>
      </w:r>
    </w:p>
  </w:footnote>
  <w:footnote w:id="12">
    <w:p w14:paraId="44ECA0EE" w14:textId="77777777" w:rsidR="00E95F04" w:rsidRDefault="00E95F04">
      <w:pPr>
        <w:pStyle w:val="FootnoteText"/>
        <w:ind w:firstLine="0"/>
      </w:pPr>
      <w:r>
        <w:rPr>
          <w:rStyle w:val="FootnoteReference"/>
        </w:rPr>
        <w:footnoteRef/>
      </w:r>
      <w:r>
        <w:t xml:space="preserve"> May 2016 ICANN Bylaws, Article IV, Section 4.3 (m).</w:t>
      </w:r>
    </w:p>
  </w:footnote>
  <w:footnote w:id="13">
    <w:p w14:paraId="2CDD302A" w14:textId="49792EA8" w:rsidR="00E95F04" w:rsidDel="006A5A0A" w:rsidRDefault="00E95F04" w:rsidP="000E7C01">
      <w:pPr>
        <w:pStyle w:val="CommentText"/>
        <w:rPr>
          <w:del w:id="12" w:author="Becky Burr" w:date="2016-10-31T13:34:00Z"/>
        </w:rPr>
      </w:pPr>
      <w:del w:id="13" w:author="Becky Burr" w:date="2016-10-31T13:34:00Z">
        <w:r w:rsidRPr="0013538D" w:rsidDel="006A5A0A">
          <w:rPr>
            <w:rStyle w:val="FootnoteReference"/>
          </w:rPr>
          <w:footnoteRef/>
        </w:r>
        <w:r w:rsidRPr="0013538D" w:rsidDel="006A5A0A">
          <w:delText xml:space="preserve"> </w:delText>
        </w:r>
        <w:r w:rsidRPr="0013538D" w:rsidDel="006A5A0A">
          <w:rPr>
            <w:rStyle w:val="CommentReference"/>
            <w:sz w:val="20"/>
            <w:szCs w:val="20"/>
          </w:rPr>
          <w:delText xml:space="preserve">The issue requires further discussion.  Most importantly, we need to understand and address the impact that this change would have on IRPs that are ongoing as of October 1 2016.  Would a claimant be entitled to essentially re-start the process to take advantage of a changed page limitation or the updated standard of review, even if a hearing has taken place and the only remaining step is for the Panel to issue a declaration?  Could this be limited in some way?  </w:delText>
        </w:r>
        <w:r w:rsidDel="006A5A0A">
          <w:rPr>
            <w:rStyle w:val="CommentReference"/>
            <w:sz w:val="20"/>
            <w:szCs w:val="20"/>
          </w:rPr>
          <w:delText xml:space="preserve"> </w:delText>
        </w:r>
        <w:r w:rsidRPr="0013538D" w:rsidDel="006A5A0A">
          <w:rPr>
            <w:rStyle w:val="CommentReference"/>
            <w:sz w:val="20"/>
            <w:szCs w:val="20"/>
          </w:rPr>
          <w:delText xml:space="preserve">ICANN thinks that </w:delText>
        </w:r>
        <w:r w:rsidRPr="0013538D" w:rsidDel="006A5A0A">
          <w:delText>needs to be a bright line between IRPs filed under the old Bylaws/old procedures, and the IRPs filed under the new Bylaws/new procedures. If there is not, the impact raised above could be heavy.  What would it mean to those who didn’t have a standard to request a hearing, and had substantial motion practice.  What about those who are close to the end who want to make a demonstration now for a hearing?</w:delText>
        </w:r>
        <w:r w:rsidDel="006A5A0A">
          <w:delText xml:space="preserve">  ICANN also argues that this is not within the IOT’s scope of authority. (See Footnote 37)</w:delText>
        </w:r>
      </w:del>
    </w:p>
    <w:p w14:paraId="254B012F" w14:textId="77777777" w:rsidR="00E95F04" w:rsidDel="006A5A0A" w:rsidRDefault="00E95F04" w:rsidP="000E7C01">
      <w:pPr>
        <w:pStyle w:val="CommentText"/>
        <w:rPr>
          <w:del w:id="14" w:author="Becky Burr" w:date="2016-10-31T13:34:00Z"/>
        </w:rPr>
      </w:pPr>
    </w:p>
  </w:footnote>
  <w:footnote w:id="14">
    <w:p w14:paraId="44E696AA" w14:textId="77777777" w:rsidR="00E95F04" w:rsidRDefault="00E95F04">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5">
    <w:p w14:paraId="5D2EC72E"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(k)(ii).</w:t>
      </w:r>
    </w:p>
  </w:footnote>
  <w:footnote w:id="16">
    <w:p w14:paraId="7768A7D4" w14:textId="44A056B1" w:rsidR="00E95F04" w:rsidRDefault="00E95F04" w:rsidP="000E7C01">
      <w:pPr>
        <w:pStyle w:val="FootnoteText"/>
        <w:ind w:firstLine="0"/>
      </w:pPr>
      <w:r>
        <w:rPr>
          <w:rStyle w:val="FootnoteReference"/>
        </w:rPr>
        <w:footnoteRef/>
      </w:r>
      <w:r>
        <w:t xml:space="preserve"> This issue remains under discussion within the IOT</w:t>
      </w:r>
    </w:p>
  </w:footnote>
  <w:footnote w:id="17">
    <w:p w14:paraId="669C1E3A" w14:textId="77777777" w:rsidR="00E95F04" w:rsidRPr="00224A3A" w:rsidRDefault="00E95F04">
      <w:pPr>
        <w:pStyle w:val="FootnoteText"/>
        <w:ind w:firstLine="0"/>
        <w:rPr>
          <w:color w:val="548DD4" w:themeColor="text2" w:themeTint="99"/>
        </w:rPr>
      </w:pPr>
      <w:r>
        <w:rPr>
          <w:rStyle w:val="FootnoteReference"/>
        </w:rPr>
        <w:footnoteRef/>
      </w:r>
      <w:r>
        <w:t xml:space="preserve"> Currently there are no rules on the timely payment of fees.  Inclusion of this language is designed to provide firmer guidance and to ensure that a Claimant is committed to the process.</w:t>
      </w:r>
    </w:p>
  </w:footnote>
  <w:footnote w:id="18">
    <w:p w14:paraId="7E2A72E4" w14:textId="26DE46E7" w:rsidR="00E95F04" w:rsidRDefault="00E95F04" w:rsidP="00811245">
      <w:pPr>
        <w:pStyle w:val="FootnoteText"/>
        <w:ind w:firstLine="0"/>
      </w:pPr>
      <w:r>
        <w:rPr>
          <w:rStyle w:val="FootnoteReference"/>
        </w:rPr>
        <w:footnoteRef/>
      </w:r>
      <w:r>
        <w:t xml:space="preserve"> Some members of the IOT would prefer to remove the phrase, “where necessary.”</w:t>
      </w:r>
    </w:p>
  </w:footnote>
  <w:footnote w:id="19">
    <w:p w14:paraId="0E409434" w14:textId="77777777" w:rsidR="00E95F04" w:rsidRPr="00912A68" w:rsidRDefault="00E95F04">
      <w:pPr>
        <w:pStyle w:val="FootnoteText"/>
        <w:ind w:firstLine="0"/>
        <w:rPr>
          <w:rPrChange w:id="31" w:author="Becky Burr" w:date="2016-10-31T13:48:00Z">
            <w:rPr>
              <w:color w:val="548DD4" w:themeColor="text2" w:themeTint="99"/>
            </w:rPr>
          </w:rPrChange>
        </w:rPr>
      </w:pPr>
      <w:r w:rsidRPr="00912A68">
        <w:rPr>
          <w:rStyle w:val="FootnoteReference"/>
          <w:rPrChange w:id="32" w:author="Becky Burr" w:date="2016-10-31T13:48:00Z">
            <w:rPr>
              <w:rStyle w:val="FootnoteReference"/>
              <w:color w:val="548DD4" w:themeColor="text2" w:themeTint="99"/>
            </w:rPr>
          </w:rPrChange>
        </w:rPr>
        <w:footnoteRef/>
      </w:r>
      <w:r w:rsidRPr="00912A68">
        <w:rPr>
          <w:rPrChange w:id="33" w:author="Becky Burr" w:date="2016-10-31T13:48:00Z">
            <w:rPr>
              <w:color w:val="548DD4" w:themeColor="text2" w:themeTint="99"/>
            </w:rPr>
          </w:rPrChange>
        </w:rPr>
        <w:t xml:space="preserve"> ICANN continues to have serious concerns about the impact of in-person hearings on cost and time to resolution, and prefers to specify that the requisite demonstration must be made by clear and convincing evidence.</w:t>
      </w:r>
      <w:r w:rsidRPr="00912A68">
        <w:rPr>
          <w:b/>
          <w:rPrChange w:id="34" w:author="Becky Burr" w:date="2016-10-31T13:48:00Z">
            <w:rPr>
              <w:b/>
              <w:color w:val="548DD4" w:themeColor="text2" w:themeTint="99"/>
            </w:rPr>
          </w:rPrChange>
        </w:rPr>
        <w:t xml:space="preserve"> </w:t>
      </w:r>
    </w:p>
  </w:footnote>
  <w:footnote w:id="20">
    <w:p w14:paraId="76DAB9AC" w14:textId="6CD54042" w:rsidR="00E95F04" w:rsidDel="00912A68" w:rsidRDefault="00E95F04" w:rsidP="00811245">
      <w:pPr>
        <w:pStyle w:val="FootnoteText"/>
        <w:ind w:firstLine="0"/>
        <w:rPr>
          <w:del w:id="54" w:author="Becky Burr" w:date="2016-10-31T13:48:00Z"/>
        </w:rPr>
      </w:pPr>
      <w:del w:id="55" w:author="Becky Burr" w:date="2016-10-31T13:48:00Z">
        <w:r w:rsidDel="00912A68">
          <w:rPr>
            <w:rStyle w:val="FootnoteReference"/>
          </w:rPr>
          <w:footnoteRef/>
        </w:r>
        <w:r w:rsidDel="00912A68">
          <w:delText xml:space="preserve"> There appear to be a number of views among the IOT.  Several members think that cross-examination of witnesses should be permitted as a matter of course, assuming in the case of F2F hearings, that the extraordinary circumstances standard has been met.  Others think that cross-examination should be permitted on a case-by-case basis and only where the requesting party demonstrates that the requested cross-examination would meet the 3 part test for “extraordinary circumstances.”  ICANN continues to have serious concerns about the cost and delay associated with cross examination of witnesses.</w:delText>
        </w:r>
      </w:del>
    </w:p>
  </w:footnote>
  <w:footnote w:id="21">
    <w:p w14:paraId="482D0B51" w14:textId="77777777" w:rsidR="00E95F04" w:rsidRDefault="00E95F04">
      <w:pPr>
        <w:pStyle w:val="FootnoteText"/>
        <w:ind w:firstLine="0"/>
      </w:pPr>
      <w:r>
        <w:rPr>
          <w:rStyle w:val="FootnoteReference"/>
        </w:rPr>
        <w:footnoteRef/>
      </w:r>
      <w:r>
        <w:t xml:space="preserve"> May 2016 ICANN Bylaws, Section 4.3(o)(</w:t>
      </w:r>
      <w:proofErr w:type="gramStart"/>
      <w:r>
        <w:t>vi</w:t>
      </w:r>
      <w:proofErr w:type="gramEnd"/>
      <w:r>
        <w:t xml:space="preserve">). </w:t>
      </w:r>
    </w:p>
  </w:footnote>
  <w:footnote w:id="22">
    <w:p w14:paraId="031807A8"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an agreed recommendation to change.</w:t>
      </w:r>
    </w:p>
  </w:footnote>
  <w:footnote w:id="23">
    <w:p w14:paraId="4BEA7AB8"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4">
    <w:p w14:paraId="7D72B1A5" w14:textId="77777777" w:rsidR="00E95F04" w:rsidRDefault="00E95F04">
      <w:pPr>
        <w:pStyle w:val="FootnoteText"/>
        <w:ind w:firstLine="0"/>
      </w:pPr>
      <w:r>
        <w:rPr>
          <w:rStyle w:val="FootnoteReference"/>
        </w:rPr>
        <w:footnoteRef/>
      </w:r>
      <w:r>
        <w:t xml:space="preserve"> Language modified to reflect broadened scope of IRPs.  </w:t>
      </w:r>
      <w:r>
        <w:rPr>
          <w:i/>
          <w:iCs/>
        </w:rPr>
        <w:t>See</w:t>
      </w:r>
      <w:r>
        <w:t xml:space="preserve"> May 2016 ICANN Bylaws, Article IV, Section 4.3 (</w:t>
      </w:r>
      <w:proofErr w:type="spellStart"/>
      <w:r>
        <w:t>i</w:t>
      </w:r>
      <w:proofErr w:type="spellEnd"/>
      <w:r>
        <w:t>).</w:t>
      </w:r>
    </w:p>
  </w:footnote>
  <w:footnote w:id="25">
    <w:p w14:paraId="3415FEC1"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6">
    <w:p w14:paraId="4ADAF6AC" w14:textId="77777777" w:rsidR="00E95F04" w:rsidRDefault="00E95F04">
      <w:pPr>
        <w:pStyle w:val="FootnoteText"/>
        <w:ind w:firstLine="0"/>
      </w:pPr>
      <w:r>
        <w:rPr>
          <w:rStyle w:val="FootnoteReference"/>
        </w:rPr>
        <w:footnoteRef/>
      </w:r>
      <w:r>
        <w:t xml:space="preserve"> May 2016 ICANN Bylaws, Article IV, </w:t>
      </w:r>
      <w:proofErr w:type="gramStart"/>
      <w:r>
        <w:t>Section 4.3</w:t>
      </w:r>
      <w:proofErr w:type="gramEnd"/>
      <w:r>
        <w:t xml:space="preserve"> (o)(ii). </w:t>
      </w:r>
    </w:p>
  </w:footnote>
  <w:footnote w:id="27">
    <w:p w14:paraId="4D36060A" w14:textId="77777777" w:rsidR="00E95F04" w:rsidRDefault="00E95F04">
      <w:pPr>
        <w:pStyle w:val="FootnoteText"/>
        <w:ind w:firstLine="0"/>
      </w:pPr>
      <w:r>
        <w:rPr>
          <w:rStyle w:val="FootnoteReference"/>
        </w:rPr>
        <w:footnoteRef/>
      </w:r>
      <w:r>
        <w:t xml:space="preserve"> There is no existing Supplemental Rule.  The CCWG Final Proposal and May 2016 ICANN Bylaws recommend that these issue be considered by IOT.  </w:t>
      </w:r>
      <w:r>
        <w:rPr>
          <w:i/>
        </w:rPr>
        <w:t xml:space="preserve">See </w:t>
      </w:r>
      <w:r>
        <w:t>May 2016 ICANN Bylaws, Article IV, Section 4.3(n)(iv)(B); CCWG-Accountability Supplemental Final Proposal on Work Stream 1 Recommendations, 23 February 2016, Annex 07 – Recommendation #7, at § 20.</w:t>
      </w:r>
    </w:p>
  </w:footnote>
  <w:footnote w:id="28">
    <w:p w14:paraId="2C929A81" w14:textId="77777777" w:rsidR="00E95F04" w:rsidRDefault="00E95F04">
      <w:pPr>
        <w:pStyle w:val="FootnoteText"/>
        <w:ind w:firstLine="0"/>
        <w:rPr>
          <w:b/>
        </w:rPr>
      </w:pPr>
      <w:r>
        <w:rPr>
          <w:rStyle w:val="FootnoteReference"/>
        </w:rPr>
        <w:footnoteRef/>
      </w:r>
      <w:r>
        <w:t xml:space="preserve"> </w:t>
      </w:r>
      <w:r>
        <w:rPr>
          <w:i/>
        </w:rPr>
        <w:t>See</w:t>
      </w:r>
      <w:r>
        <w:t xml:space="preserve"> May 2016 ICANN Bylaws, Article IV, Section 4.3(n)(</w:t>
      </w:r>
      <w:proofErr w:type="gramStart"/>
      <w:r>
        <w:t>iv</w:t>
      </w:r>
      <w:proofErr w:type="gramEnd"/>
      <w:r>
        <w:t>)(B).</w:t>
      </w:r>
    </w:p>
  </w:footnote>
  <w:footnote w:id="29">
    <w:p w14:paraId="0F3E1DC9" w14:textId="77777777" w:rsidR="00E95F04" w:rsidRDefault="00E95F04">
      <w:pPr>
        <w:pStyle w:val="FootnoteText"/>
        <w:ind w:firstLine="0"/>
      </w:pPr>
      <w:r>
        <w:rPr>
          <w:rStyle w:val="FootnoteReference"/>
        </w:rPr>
        <w:footnoteRef/>
      </w:r>
      <w:r>
        <w:t xml:space="preserve"> There is no existing Supplemental Rule.  </w:t>
      </w:r>
      <w:proofErr w:type="gramStart"/>
      <w:r>
        <w:t>The [CCWG Final Proposal and] May 2016 ICANN Bylaws recommend that discovery methods be considered by IOT.</w:t>
      </w:r>
      <w:proofErr w:type="gramEnd"/>
      <w:r>
        <w:t xml:space="preserve"> </w:t>
      </w:r>
      <w:r>
        <w:rPr>
          <w:i/>
        </w:rPr>
        <w:t xml:space="preserve">See </w:t>
      </w:r>
      <w:r>
        <w:t>May 2016 ICANN Bylaws, Article IV, Section 4.3(n)(</w:t>
      </w:r>
      <w:proofErr w:type="gramStart"/>
      <w:r>
        <w:t>iv</w:t>
      </w:r>
      <w:proofErr w:type="gramEnd"/>
      <w:r>
        <w:t>)(D).</w:t>
      </w:r>
    </w:p>
  </w:footnote>
  <w:footnote w:id="30">
    <w:p w14:paraId="5D09501B" w14:textId="77777777" w:rsidR="00E95F04" w:rsidRDefault="00E95F04">
      <w:pPr>
        <w:pStyle w:val="FootnoteText"/>
        <w:ind w:firstLine="0"/>
      </w:pPr>
      <w:r>
        <w:rPr>
          <w:rStyle w:val="FootnoteReference"/>
        </w:rPr>
        <w:footnoteRef/>
      </w:r>
      <w:r>
        <w:t xml:space="preserve"> ICANN NOTE: Materiality requirement aligns with the ICDR Rules.</w:t>
      </w:r>
    </w:p>
  </w:footnote>
  <w:footnote w:id="31">
    <w:p w14:paraId="4952FC77" w14:textId="0CCC7627" w:rsidR="00E95F04" w:rsidRDefault="00E95F04">
      <w:pPr>
        <w:pStyle w:val="FootnoteText"/>
        <w:ind w:firstLine="0"/>
      </w:pPr>
      <w:r>
        <w:rPr>
          <w:rStyle w:val="FootnoteReference"/>
        </w:rPr>
        <w:footnoteRef/>
      </w:r>
      <w:r>
        <w:t xml:space="preserve"> ICANN prefers to retain “in the extraordinary circumstances.”</w:t>
      </w:r>
    </w:p>
  </w:footnote>
  <w:footnote w:id="32">
    <w:p w14:paraId="449E66A3" w14:textId="77777777" w:rsidR="00E95F04" w:rsidRDefault="00E95F04">
      <w:pPr>
        <w:pStyle w:val="FootnoteText"/>
        <w:ind w:firstLine="0"/>
      </w:pPr>
      <w:r>
        <w:rPr>
          <w:rStyle w:val="FootnoteReference"/>
        </w:rPr>
        <w:footnoteRef/>
      </w:r>
      <w:r>
        <w:t xml:space="preserve"> Pursuant to the May 2016 ICANN Bylaws, Article IV, Section 4.3(n) (Rules of Procedure), these Supplementary Rules will govern the format of proceedings.  This is an issue for future consideration within the IOT.  May 2016 ICANN Bylaws, Article IV, Section 4.3(n)(</w:t>
      </w:r>
      <w:proofErr w:type="gramStart"/>
      <w:r>
        <w:t>iv</w:t>
      </w:r>
      <w:proofErr w:type="gramEnd"/>
      <w:r>
        <w:t>)(D).</w:t>
      </w:r>
    </w:p>
  </w:footnote>
  <w:footnote w:id="33">
    <w:p w14:paraId="0BD45D26" w14:textId="77777777" w:rsidR="00E95F04" w:rsidRDefault="00E95F04">
      <w:pPr>
        <w:pStyle w:val="FootnoteText"/>
        <w:ind w:firstLine="0"/>
      </w:pPr>
      <w:r>
        <w:rPr>
          <w:rStyle w:val="FootnoteReference"/>
        </w:rPr>
        <w:footnoteRef/>
      </w:r>
      <w:r>
        <w:t xml:space="preserve"> May 2016 ICANN Bylaws, Article IV, Section 4.3(b)(</w:t>
      </w:r>
      <w:proofErr w:type="spellStart"/>
      <w:r>
        <w:t>i</w:t>
      </w:r>
      <w:proofErr w:type="spellEnd"/>
      <w:r>
        <w:t>).  Note that the term “requestor” has been replaced with “Claimant” for consistency with IRP terminology.</w:t>
      </w:r>
    </w:p>
  </w:footnote>
  <w:footnote w:id="34">
    <w:p w14:paraId="6D063DCA" w14:textId="77777777" w:rsidR="00E95F04" w:rsidRDefault="00E95F04">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5">
    <w:p w14:paraId="237D570F" w14:textId="77777777" w:rsidR="00E95F04" w:rsidRDefault="00E95F04">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6">
    <w:p w14:paraId="1A81AADA" w14:textId="77777777" w:rsidR="00E95F04" w:rsidRDefault="00E95F04">
      <w:pPr>
        <w:pStyle w:val="FootnoteText"/>
        <w:ind w:firstLine="0"/>
      </w:pPr>
      <w:r>
        <w:rPr>
          <w:rStyle w:val="FootnoteReference"/>
        </w:rPr>
        <w:footnoteRef/>
      </w:r>
      <w:r>
        <w:t xml:space="preserve"> May 2016 ICANN Bylaws, Article IV, Section 4.3(p).</w:t>
      </w:r>
    </w:p>
  </w:footnote>
  <w:footnote w:id="37">
    <w:p w14:paraId="7B841CD9" w14:textId="77777777" w:rsidR="00E95F04" w:rsidRDefault="00E95F04">
      <w:pPr>
        <w:pStyle w:val="FootnoteText"/>
        <w:ind w:firstLine="0"/>
      </w:pPr>
      <w:r>
        <w:rPr>
          <w:rStyle w:val="FootnoteReference"/>
        </w:rPr>
        <w:footnoteRef/>
      </w:r>
      <w:r>
        <w:t xml:space="preserve"> May 2016 ICANN Bylaws, Article IV, Section 4.3(p). </w:t>
      </w:r>
    </w:p>
  </w:footnote>
  <w:footnote w:id="38">
    <w:p w14:paraId="40C9E100" w14:textId="2F864E1A" w:rsidR="00E95F04" w:rsidRDefault="00E95F04" w:rsidP="00A44395">
      <w:pPr>
        <w:pStyle w:val="FootnoteText"/>
        <w:ind w:firstLine="0"/>
      </w:pPr>
      <w:ins w:id="73" w:author="Becky Burr" w:date="2016-10-31T13:49:00Z">
        <w:r>
          <w:rPr>
            <w:rStyle w:val="FootnoteReference"/>
          </w:rPr>
          <w:footnoteRef/>
        </w:r>
        <w:r>
          <w:t xml:space="preserve"> The standard of review is dictated by ICANN’s Bylaws and cannot be modified or updated without</w:t>
        </w:r>
      </w:ins>
      <w:ins w:id="74" w:author="Becky Burr" w:date="2016-10-31T13:50:00Z">
        <w:r>
          <w:t xml:space="preserve"> a corresponding Bylaws amendment.</w:t>
        </w:r>
      </w:ins>
    </w:p>
  </w:footnote>
  <w:footnote w:id="39">
    <w:p w14:paraId="23183385" w14:textId="77777777" w:rsidR="00E95F04" w:rsidRPr="006A5A0A" w:rsidDel="006A5A0A" w:rsidRDefault="00E95F04" w:rsidP="000E7C01">
      <w:pPr>
        <w:rPr>
          <w:del w:id="78" w:author="Becky Burr" w:date="2016-10-31T13:38:00Z"/>
          <w:sz w:val="20"/>
          <w:szCs w:val="20"/>
        </w:rPr>
      </w:pPr>
      <w:del w:id="79" w:author="Becky Burr" w:date="2016-10-31T13:38:00Z">
        <w:r w:rsidDel="006A5A0A">
          <w:rPr>
            <w:rStyle w:val="FootnoteReference"/>
          </w:rPr>
          <w:footnoteRef/>
        </w:r>
        <w:r w:rsidDel="006A5A0A">
          <w:delText xml:space="preserve"> </w:delText>
        </w:r>
        <w:r w:rsidRPr="006A5A0A" w:rsidDel="006A5A0A">
          <w:rPr>
            <w:sz w:val="20"/>
            <w:szCs w:val="20"/>
          </w:rPr>
          <w:delText>NOTE RELEVANT TO DISCUSSION REGARDING APPLICATION OF UPDATED SUPPLEMENTARY RULES TO IRPS PENDING ON 1 October 2016:  The Standard of Review in these Updated Supplementary Procedures is materially different from the standard in the existing Supplementary Procedures, which read as follows:</w:delText>
        </w:r>
      </w:del>
    </w:p>
    <w:p w14:paraId="727D3946" w14:textId="77777777" w:rsidR="00E95F04" w:rsidRPr="006A5A0A" w:rsidDel="006A5A0A" w:rsidRDefault="00E95F04" w:rsidP="000E7C01">
      <w:pPr>
        <w:rPr>
          <w:del w:id="80" w:author="Becky Burr" w:date="2016-10-31T13:38:00Z"/>
          <w:sz w:val="20"/>
          <w:szCs w:val="20"/>
        </w:rPr>
      </w:pPr>
    </w:p>
    <w:p w14:paraId="490B28F7" w14:textId="77777777" w:rsidR="00E95F04" w:rsidRPr="006A5A0A" w:rsidDel="006A5A0A" w:rsidRDefault="00E95F04" w:rsidP="000E7C01">
      <w:pPr>
        <w:rPr>
          <w:del w:id="81" w:author="Becky Burr" w:date="2016-10-31T13:38:00Z"/>
          <w:sz w:val="20"/>
          <w:szCs w:val="20"/>
        </w:rPr>
      </w:pPr>
      <w:del w:id="82" w:author="Becky Burr" w:date="2016-10-31T13:38:00Z">
        <w:r w:rsidRPr="006A5A0A" w:rsidDel="006A5A0A">
          <w:rPr>
            <w:i/>
            <w:sz w:val="20"/>
            <w:szCs w:val="20"/>
          </w:rPr>
          <w:delText>The IRP is subject to the following standard of review: (i) did the ICANN Board act without conflict of interest in taking its decision; (ii) did the ICANN Board exercise due diligence and care in having sufficient facts in front of them; (iii) did the ICANN Board members exercise independent judgment in taking the decision, believed to be in the best interests of the company</w:delText>
        </w:r>
        <w:r w:rsidRPr="006A5A0A" w:rsidDel="006A5A0A">
          <w:rPr>
            <w:sz w:val="20"/>
            <w:szCs w:val="20"/>
          </w:rPr>
          <w:delText xml:space="preserve">? </w:delText>
        </w:r>
      </w:del>
    </w:p>
    <w:p w14:paraId="4C2F735B" w14:textId="77777777" w:rsidR="00E95F04" w:rsidRPr="006A5A0A" w:rsidDel="006A5A0A" w:rsidRDefault="00E95F04" w:rsidP="000E7C01">
      <w:pPr>
        <w:rPr>
          <w:del w:id="83" w:author="Becky Burr" w:date="2016-10-31T13:38:00Z"/>
          <w:sz w:val="20"/>
          <w:szCs w:val="20"/>
        </w:rPr>
      </w:pPr>
    </w:p>
    <w:p w14:paraId="3DF7F653" w14:textId="170744C6" w:rsidR="00E95F04" w:rsidRPr="005375E7" w:rsidDel="006A5A0A" w:rsidRDefault="00E95F04" w:rsidP="006A5A0A">
      <w:pPr>
        <w:rPr>
          <w:del w:id="84" w:author="Becky Burr" w:date="2016-10-31T13:38:00Z"/>
        </w:rPr>
      </w:pPr>
      <w:del w:id="85" w:author="Becky Burr" w:date="2016-10-31T13:38:00Z">
        <w:r w:rsidRPr="005375E7" w:rsidDel="006A5A0A">
          <w:rPr>
            <w:sz w:val="20"/>
            <w:szCs w:val="20"/>
          </w:rPr>
          <w:delText xml:space="preserve">To the extent the IOT believes that a claimant should be permitted to avail itself of </w:delText>
        </w:r>
        <w:r w:rsidRPr="006A5A0A" w:rsidDel="006A5A0A">
          <w:rPr>
            <w:sz w:val="20"/>
            <w:szCs w:val="20"/>
            <w:rPrChange w:id="86" w:author="Becky Burr" w:date="2016-10-31T13:28:00Z">
              <w:rPr>
                <w:sz w:val="20"/>
                <w:szCs w:val="20"/>
              </w:rPr>
            </w:rPrChange>
          </w:rPr>
          <w:delText>the Updated Supplemental Procedures, it must consider how this would impact ongoing proceedings.  ICANN further notes that modifications to the existing standard in place for already-filed IRPs are not specified in the New ICANN Bylaws.  Any reach into the ongoing IRPs would require modifications of the supplementary procedures and Bylaws under which those were filed.  That is not within the implementation purview of the IOT.</w:delText>
        </w:r>
      </w:del>
    </w:p>
  </w:footnote>
  <w:footnote w:id="40">
    <w:p w14:paraId="16539EC1" w14:textId="77777777" w:rsidR="00E95F04" w:rsidRDefault="00E95F04">
      <w:pPr>
        <w:pStyle w:val="FootnoteText"/>
        <w:ind w:firstLine="0"/>
      </w:pPr>
      <w:r>
        <w:rPr>
          <w:rStyle w:val="FootnoteReference"/>
        </w:rPr>
        <w:footnoteRef/>
      </w:r>
      <w:r>
        <w:t xml:space="preserve"> May 2016 ICANN Bylaws, Article IV, Section 4.3 (</w:t>
      </w:r>
      <w:proofErr w:type="spellStart"/>
      <w:r>
        <w:t>i</w:t>
      </w:r>
      <w:proofErr w:type="spellEnd"/>
      <w:r>
        <w:t>).</w:t>
      </w:r>
    </w:p>
  </w:footnote>
  <w:footnote w:id="41">
    <w:p w14:paraId="20FE1793" w14:textId="77777777" w:rsidR="00E95F04" w:rsidRDefault="00E95F04">
      <w:pPr>
        <w:pStyle w:val="FootnoteText"/>
        <w:ind w:firstLine="0"/>
      </w:pPr>
      <w:r>
        <w:rPr>
          <w:rStyle w:val="FootnoteReference"/>
        </w:rPr>
        <w:footnoteRef/>
      </w:r>
      <w:r>
        <w:t xml:space="preserve"> The May 2016 ICANN Bylaws, Article IV, Section 4.3 (k)(v), refer to an “IRP PANEL decision” (although they also state that an IRP PANEL will “declare” certain findings in Article IV, Section 4.3(o)(iii)).</w:t>
      </w:r>
    </w:p>
  </w:footnote>
  <w:footnote w:id="42">
    <w:p w14:paraId="4EDB247D" w14:textId="77777777" w:rsidR="00E95F04" w:rsidRDefault="00E95F04">
      <w:pPr>
        <w:pStyle w:val="FootnoteText"/>
        <w:ind w:firstLine="0"/>
      </w:pPr>
      <w:r>
        <w:rPr>
          <w:rStyle w:val="FootnoteReference"/>
        </w:rPr>
        <w:footnoteRef/>
      </w:r>
      <w:r>
        <w:t xml:space="preserve"> May 2016 ICANN Bylaws, Article IV, Section 4.3(k)(v). </w:t>
      </w:r>
    </w:p>
  </w:footnote>
  <w:footnote w:id="43">
    <w:p w14:paraId="4813B131" w14:textId="77777777" w:rsidR="00E95F04" w:rsidRDefault="00E95F04">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44">
    <w:p w14:paraId="36818037" w14:textId="77777777" w:rsidR="00E95F04" w:rsidRDefault="00E95F04">
      <w:pPr>
        <w:pStyle w:val="FootnoteText"/>
        <w:ind w:firstLine="0"/>
      </w:pPr>
      <w:r>
        <w:rPr>
          <w:rStyle w:val="FootnoteReference"/>
        </w:rPr>
        <w:footnoteRef/>
      </w:r>
      <w:r>
        <w:t xml:space="preserve"> May 2016 ICANN Bylaws, Article IV, Sections (s), (t).  The May 2016 ICANN Bylaws require the IRP PANEL to “</w:t>
      </w:r>
      <w:proofErr w:type="spellStart"/>
      <w:proofErr w:type="gramStart"/>
      <w:r>
        <w:t>issu</w:t>
      </w:r>
      <w:proofErr w:type="spellEnd"/>
      <w:r>
        <w:t>[</w:t>
      </w:r>
      <w:proofErr w:type="gramEnd"/>
      <w:r>
        <w:t xml:space="preserve">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May 2016 ICANN Bylaws. </w:t>
      </w:r>
    </w:p>
  </w:footnote>
  <w:footnote w:id="45">
    <w:p w14:paraId="21208889" w14:textId="77777777" w:rsidR="00E95F04" w:rsidRDefault="00E95F04">
      <w:pPr>
        <w:pStyle w:val="FootnoteText"/>
        <w:ind w:firstLine="0"/>
      </w:pPr>
      <w:r>
        <w:rPr>
          <w:rStyle w:val="FootnoteReference"/>
        </w:rPr>
        <w:footnoteRef/>
      </w:r>
      <w:r>
        <w:t xml:space="preserve"> May 2016 ICANN Bylaws, Article IV, Section 4.3 (t).</w:t>
      </w:r>
    </w:p>
  </w:footnote>
  <w:footnote w:id="46">
    <w:p w14:paraId="7822BF57" w14:textId="77777777" w:rsidR="00E95F04" w:rsidRDefault="00E95F04">
      <w:pPr>
        <w:pStyle w:val="FootnoteText"/>
        <w:ind w:firstLine="0"/>
      </w:pPr>
      <w:r>
        <w:rPr>
          <w:rStyle w:val="FootnoteReference"/>
        </w:rPr>
        <w:footnoteRef/>
      </w:r>
      <w:r>
        <w:t xml:space="preserve"> There is no existing Supplemental Rule.  The proposed text is based upon the CCWG Final Proposal, Annex 7, ¶ 16</w:t>
      </w:r>
      <w:proofErr w:type="gramStart"/>
      <w:r>
        <w:t>,  which</w:t>
      </w:r>
      <w:proofErr w:type="gramEnd"/>
      <w:r>
        <w:t xml:space="preserve"> provides for en banc appeal “based on a clear error of judgment or the application of an incorrect legal standard.” </w:t>
      </w:r>
    </w:p>
  </w:footnote>
  <w:footnote w:id="47">
    <w:p w14:paraId="6813690F" w14:textId="77777777" w:rsidR="00E95F04" w:rsidRDefault="00E95F04">
      <w:pPr>
        <w:pStyle w:val="FootnoteText"/>
        <w:ind w:firstLine="0"/>
      </w:pPr>
      <w:r>
        <w:rPr>
          <w:rStyle w:val="FootnoteReference"/>
        </w:rPr>
        <w:footnoteRef/>
      </w:r>
      <w:r>
        <w:t xml:space="preserve"> </w:t>
      </w:r>
      <w:proofErr w:type="gramStart"/>
      <w:r>
        <w:rPr>
          <w:b/>
        </w:rPr>
        <w:t>To discuss with ICDR.</w:t>
      </w:r>
      <w:proofErr w:type="gramEnd"/>
    </w:p>
  </w:footnote>
  <w:footnote w:id="48">
    <w:p w14:paraId="4BB25969" w14:textId="77777777" w:rsidR="00E95F04" w:rsidRDefault="00E95F04">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 until there is a recommendation to change that is agreed upon.</w:t>
      </w:r>
    </w:p>
  </w:footnote>
  <w:footnote w:id="49">
    <w:p w14:paraId="141CFFBE" w14:textId="77777777" w:rsidR="00E95F04" w:rsidRDefault="00E95F04">
      <w:pPr>
        <w:pStyle w:val="FootnoteText"/>
        <w:ind w:firstLine="0"/>
      </w:pPr>
      <w:r>
        <w:rPr>
          <w:rStyle w:val="FootnoteReference"/>
        </w:rPr>
        <w:footnoteRef/>
      </w:r>
      <w:r>
        <w:t xml:space="preserve"> May 2016 Bylaws, Article IV, </w:t>
      </w:r>
      <w:proofErr w:type="gramStart"/>
      <w:r>
        <w:t>Section</w:t>
      </w:r>
      <w:proofErr w:type="gramEnd"/>
      <w:r>
        <w:t xml:space="preserve">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F6B1" w14:textId="77777777" w:rsidR="00E95F04" w:rsidRDefault="00E95F04">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E7DA" w14:textId="3FECC01B" w:rsidR="00E95F04" w:rsidRDefault="00E95F04">
    <w:pPr>
      <w:tabs>
        <w:tab w:val="right" w:pos="9360"/>
      </w:tabs>
      <w:rPr>
        <w:b/>
        <w:bCs/>
        <w:i/>
        <w:iCs/>
      </w:rPr>
    </w:pPr>
    <w:r>
      <w:rPr>
        <w:b/>
        <w:bCs/>
        <w:i/>
        <w:iCs/>
      </w:rPr>
      <w:t xml:space="preserve">BB DRAFT as of </w:t>
    </w:r>
    <w:del w:id="97" w:author="Becky Burr" w:date="2016-10-31T13:38:00Z">
      <w:r w:rsidDel="006A5A0A">
        <w:rPr>
          <w:b/>
          <w:bCs/>
          <w:i/>
          <w:iCs/>
        </w:rPr>
        <w:delText>29 August</w:delText>
      </w:r>
    </w:del>
    <w:ins w:id="98" w:author="Becky Burr" w:date="2016-10-31T13:38:00Z">
      <w:r>
        <w:rPr>
          <w:b/>
          <w:bCs/>
          <w:i/>
          <w:iCs/>
        </w:rPr>
        <w:t>31 October</w:t>
      </w:r>
    </w:ins>
    <w:r>
      <w:rPr>
        <w:b/>
        <w:bCs/>
        <w:i/>
        <w:iCs/>
      </w:rPr>
      <w:t xml:space="preserve"> 2016 – Updates to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6230" w14:textId="77777777" w:rsidR="00E95F04" w:rsidRDefault="00E95F04">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054460"/>
    <w:multiLevelType w:val="multilevel"/>
    <w:tmpl w:val="951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20">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1">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7B3E"/>
    <w:multiLevelType w:val="multilevel"/>
    <w:tmpl w:val="B5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12"/>
  </w:num>
  <w:num w:numId="34">
    <w:abstractNumId w:val="15"/>
  </w:num>
  <w:num w:numId="35">
    <w:abstractNumId w:val="18"/>
  </w:num>
  <w:num w:numId="36">
    <w:abstractNumId w:val="17"/>
  </w:num>
  <w:num w:numId="37">
    <w:abstractNumId w:val="16"/>
  </w:num>
  <w:num w:numId="38">
    <w:abstractNumId w:val="13"/>
  </w:num>
  <w:num w:numId="39">
    <w:abstractNumId w:val="19"/>
  </w:num>
  <w:num w:numId="40">
    <w:abstractNumId w:val="23"/>
  </w:num>
  <w:num w:numId="41">
    <w:abstractNumId w:val="2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H:\My Documents\ICANN Global Support\IRP Implementation Oversight Team\ICANN Draft IRP Updated Supplemental Procedures.2016.08.04 (JD Comments).docx"/>
    <w:docVar w:name="MPDocIDTemplate" w:val="%l-|%n|v%v"/>
    <w:docVar w:name="MPDocIDTemplateDefault" w:val="%l-|%n|v%v"/>
    <w:docVar w:name="NewDocStampType" w:val="7"/>
    <w:docVar w:name="TimeRemoved" w:val="True"/>
  </w:docVars>
  <w:rsids>
    <w:rsidRoot w:val="00C276CB"/>
    <w:rsid w:val="000342A0"/>
    <w:rsid w:val="000E7C01"/>
    <w:rsid w:val="000F183B"/>
    <w:rsid w:val="00123C06"/>
    <w:rsid w:val="0013538D"/>
    <w:rsid w:val="001F0122"/>
    <w:rsid w:val="00222121"/>
    <w:rsid w:val="00224A3A"/>
    <w:rsid w:val="003C7FD3"/>
    <w:rsid w:val="00412A32"/>
    <w:rsid w:val="004D1871"/>
    <w:rsid w:val="0052143B"/>
    <w:rsid w:val="005375E7"/>
    <w:rsid w:val="006A5A0A"/>
    <w:rsid w:val="006F1AD9"/>
    <w:rsid w:val="00800D4D"/>
    <w:rsid w:val="00811245"/>
    <w:rsid w:val="00870879"/>
    <w:rsid w:val="008D54A7"/>
    <w:rsid w:val="00912A68"/>
    <w:rsid w:val="009B475A"/>
    <w:rsid w:val="009D4C05"/>
    <w:rsid w:val="009F6A6A"/>
    <w:rsid w:val="009F731E"/>
    <w:rsid w:val="00A44395"/>
    <w:rsid w:val="00A57FA8"/>
    <w:rsid w:val="00A6682C"/>
    <w:rsid w:val="00A808F7"/>
    <w:rsid w:val="00AB442C"/>
    <w:rsid w:val="00AE105D"/>
    <w:rsid w:val="00AE5E31"/>
    <w:rsid w:val="00B12B27"/>
    <w:rsid w:val="00B301D2"/>
    <w:rsid w:val="00B771E1"/>
    <w:rsid w:val="00BC1107"/>
    <w:rsid w:val="00BD5FFE"/>
    <w:rsid w:val="00C0739C"/>
    <w:rsid w:val="00C276CB"/>
    <w:rsid w:val="00E95F04"/>
    <w:rsid w:val="00EA7522"/>
    <w:rsid w:val="00F410F4"/>
    <w:rsid w:val="00FC2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99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 w:id="9112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9905A-BF5D-9B46-8A1B-073FE4AFF482}">
  <ds:schemaRefs>
    <ds:schemaRef ds:uri="http://schemas.openxmlformats.org/officeDocument/2006/bibliography"/>
  </ds:schemaRefs>
</ds:datastoreItem>
</file>

<file path=customXml/itemProps2.xml><?xml version="1.0" encoding="utf-8"?>
<ds:datastoreItem xmlns:ds="http://schemas.openxmlformats.org/officeDocument/2006/customXml" ds:itemID="{0B731BE9-D3EF-BF48-A638-1A0A94677E45}">
  <ds:schemaRefs>
    <ds:schemaRef ds:uri="http://schemas.openxmlformats.org/officeDocument/2006/bibliography"/>
  </ds:schemaRefs>
</ds:datastoreItem>
</file>

<file path=customXml/itemProps3.xml><?xml version="1.0" encoding="utf-8"?>
<ds:datastoreItem xmlns:ds="http://schemas.openxmlformats.org/officeDocument/2006/customXml" ds:itemID="{93493CAF-226D-134F-BFEA-B81757C894CE}">
  <ds:schemaRefs>
    <ds:schemaRef ds:uri="http://schemas.openxmlformats.org/officeDocument/2006/bibliography"/>
  </ds:schemaRefs>
</ds:datastoreItem>
</file>

<file path=customXml/itemProps4.xml><?xml version="1.0" encoding="utf-8"?>
<ds:datastoreItem xmlns:ds="http://schemas.openxmlformats.org/officeDocument/2006/customXml" ds:itemID="{2B783B3E-B2A4-5148-9ED1-F7508A3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22</TotalTime>
  <Pages>14</Pages>
  <Words>3230</Words>
  <Characters>18417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Faircloth, Fran</dc:creator>
  <cp:lastModifiedBy>Becky Burr</cp:lastModifiedBy>
  <cp:revision>4</cp:revision>
  <cp:lastPrinted>2016-08-29T16:21:00Z</cp:lastPrinted>
  <dcterms:created xsi:type="dcterms:W3CDTF">2016-10-31T07:55:00Z</dcterms:created>
  <dcterms:modified xsi:type="dcterms:W3CDTF">2016-10-31T12:15:00Z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216409544v.20</vt:lpwstr>
  </property>
  <property fmtid="{D5CDD505-2E9C-101B-9397-08002B2CF9AE}" pid="3" name="_AdHocReviewCycleID">
    <vt:i4>-1658597486</vt:i4>
  </property>
  <property fmtid="{D5CDD505-2E9C-101B-9397-08002B2CF9AE}" pid="4" name="_NewReviewCycle">
    <vt:lpwstr/>
  </property>
  <property fmtid="{D5CDD505-2E9C-101B-9397-08002B2CF9AE}" pid="5" name="_EmailSubject">
    <vt:lpwstr>ICANN revised supplementary procedures</vt:lpwstr>
  </property>
  <property fmtid="{D5CDD505-2E9C-101B-9397-08002B2CF9AE}" pid="6" name="_AuthorEmail">
    <vt:lpwstr>ffaircloth@sidley.com</vt:lpwstr>
  </property>
  <property fmtid="{D5CDD505-2E9C-101B-9397-08002B2CF9AE}" pid="7" name="_AuthorEmailDisplayName">
    <vt:lpwstr>Faircloth, Fran</vt:lpwstr>
  </property>
</Properties>
</file>