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420" w:rsidRDefault="001B7899">
      <w:r>
        <w:t>Dear Supporting Organizations and Advisory Committees to ICANN:</w:t>
      </w:r>
    </w:p>
    <w:p w:rsidR="001B7899" w:rsidRDefault="007D453F">
      <w:r>
        <w:t>We</w:t>
      </w:r>
      <w:r w:rsidR="001B7899">
        <w:t xml:space="preserve"> writ</w:t>
      </w:r>
      <w:r>
        <w:t>e</w:t>
      </w:r>
      <w:r w:rsidR="001B7899">
        <w:t xml:space="preserve"> to you in our </w:t>
      </w:r>
      <w:r w:rsidR="001E43F6">
        <w:t>capacity as members of the CCWG-</w:t>
      </w:r>
      <w:r w:rsidR="001B7899">
        <w:t>Accountability Independent Review Process Implementation Oversight Team (</w:t>
      </w:r>
      <w:hyperlink r:id="rId6" w:history="1">
        <w:r w:rsidR="00347213" w:rsidRPr="00347213">
          <w:rPr>
            <w:rStyle w:val="Hyperlink"/>
          </w:rPr>
          <w:t>IRP IOT</w:t>
        </w:r>
      </w:hyperlink>
      <w:r w:rsidR="001B7899">
        <w:t xml:space="preserve">). </w:t>
      </w:r>
    </w:p>
    <w:p w:rsidR="001B7899" w:rsidRDefault="001E43F6">
      <w:r>
        <w:t>As you know,</w:t>
      </w:r>
      <w:r w:rsidR="00F934DE">
        <w:t xml:space="preserve"> as part of the IANA transition </w:t>
      </w:r>
      <w:r>
        <w:t xml:space="preserve">ICANN reconstituted the IRP in </w:t>
      </w:r>
      <w:r w:rsidR="00FF07AB">
        <w:t xml:space="preserve">the recently enacted </w:t>
      </w:r>
      <w:r w:rsidR="00C87503">
        <w:t xml:space="preserve">Bylaw </w:t>
      </w:r>
      <w:r>
        <w:t xml:space="preserve">Article 4, Section 4.3. As </w:t>
      </w:r>
      <w:r w:rsidR="000965DC">
        <w:t>the IRP IO</w:t>
      </w:r>
      <w:r w:rsidR="00F934DE">
        <w:t>T w</w:t>
      </w:r>
      <w:r>
        <w:t>ork</w:t>
      </w:r>
      <w:r w:rsidR="00F934DE">
        <w:t>s</w:t>
      </w:r>
      <w:r>
        <w:t xml:space="preserve"> to develop recommendations to the CCWG</w:t>
      </w:r>
      <w:r w:rsidR="00C87503">
        <w:t>-</w:t>
      </w:r>
      <w:r>
        <w:t xml:space="preserve">Accountability on implementing the newly constituted IRP, </w:t>
      </w:r>
      <w:r w:rsidRPr="00797139">
        <w:rPr>
          <w:u w:val="single"/>
        </w:rPr>
        <w:t xml:space="preserve">we note that there are a number of provisions within Section </w:t>
      </w:r>
      <w:r w:rsidR="009142EF" w:rsidRPr="00797139">
        <w:rPr>
          <w:u w:val="single"/>
        </w:rPr>
        <w:t>4.3 that anticipate input</w:t>
      </w:r>
      <w:r w:rsidR="007D453F" w:rsidRPr="00797139">
        <w:rPr>
          <w:u w:val="single"/>
        </w:rPr>
        <w:t>/activity</w:t>
      </w:r>
      <w:r w:rsidR="009142EF" w:rsidRPr="00797139">
        <w:rPr>
          <w:u w:val="single"/>
        </w:rPr>
        <w:t xml:space="preserve"> from SOs and ACs along the way</w:t>
      </w:r>
      <w:r w:rsidR="009142EF">
        <w:t xml:space="preserve">. </w:t>
      </w:r>
    </w:p>
    <w:p w:rsidR="00797139" w:rsidRDefault="009142EF">
      <w:r>
        <w:t xml:space="preserve">This correspondence is to bring these matters to your attention. </w:t>
      </w:r>
      <w:r w:rsidR="00184BEA">
        <w:t xml:space="preserve"> </w:t>
      </w:r>
    </w:p>
    <w:p w:rsidR="009142EF" w:rsidRPr="00797139" w:rsidRDefault="00184BEA">
      <w:pPr>
        <w:rPr>
          <w:u w:val="single"/>
        </w:rPr>
      </w:pPr>
      <w:r w:rsidRPr="00797139">
        <w:rPr>
          <w:u w:val="single"/>
        </w:rPr>
        <w:t>This</w:t>
      </w:r>
      <w:r w:rsidR="00797139" w:rsidRPr="00797139">
        <w:rPr>
          <w:u w:val="single"/>
        </w:rPr>
        <w:t xml:space="preserve"> correspondence </w:t>
      </w:r>
      <w:r w:rsidRPr="00797139">
        <w:rPr>
          <w:u w:val="single"/>
        </w:rPr>
        <w:t xml:space="preserve">is </w:t>
      </w:r>
      <w:r w:rsidR="00797139" w:rsidRPr="00797139">
        <w:rPr>
          <w:u w:val="single"/>
        </w:rPr>
        <w:t>not about</w:t>
      </w:r>
      <w:r w:rsidRPr="00797139">
        <w:rPr>
          <w:u w:val="single"/>
        </w:rPr>
        <w:t xml:space="preserve"> the public comment period regarding the Updated Supplementary Procedures for IRP</w:t>
      </w:r>
      <w:r w:rsidR="00797139" w:rsidRPr="00797139">
        <w:rPr>
          <w:u w:val="single"/>
        </w:rPr>
        <w:t>, which is being managed separately</w:t>
      </w:r>
      <w:r w:rsidRPr="00797139">
        <w:rPr>
          <w:u w:val="single"/>
        </w:rPr>
        <w:t xml:space="preserve">. </w:t>
      </w:r>
    </w:p>
    <w:p w:rsidR="009142EF" w:rsidRDefault="009142EF">
      <w:r>
        <w:t xml:space="preserve">To begin with, </w:t>
      </w:r>
      <w:r w:rsidRPr="009142EF">
        <w:rPr>
          <w:b/>
        </w:rPr>
        <w:t>Section 4.3(j</w:t>
      </w:r>
      <w:proofErr w:type="gramStart"/>
      <w:r w:rsidRPr="009142EF">
        <w:rPr>
          <w:b/>
        </w:rPr>
        <w:t>)</w:t>
      </w:r>
      <w:r w:rsidR="00F934DE">
        <w:rPr>
          <w:b/>
        </w:rPr>
        <w:t>(</w:t>
      </w:r>
      <w:proofErr w:type="gramEnd"/>
      <w:r w:rsidR="00F934DE">
        <w:rPr>
          <w:b/>
        </w:rPr>
        <w:t>ii)</w:t>
      </w:r>
      <w:r>
        <w:t xml:space="preserve"> requires that ICANN </w:t>
      </w:r>
      <w:r w:rsidRPr="00F934DE">
        <w:rPr>
          <w:u w:val="single"/>
        </w:rPr>
        <w:t>in consultation with</w:t>
      </w:r>
      <w:r>
        <w:t xml:space="preserve"> the SOs and ACs initiate a four-step process to establish a standing panel of not less than seven IRP panelists.  </w:t>
      </w:r>
      <w:r w:rsidR="00F934DE">
        <w:t>Section 4.3(j</w:t>
      </w:r>
      <w:proofErr w:type="gramStart"/>
      <w:r w:rsidR="00F934DE">
        <w:t>)(</w:t>
      </w:r>
      <w:proofErr w:type="gramEnd"/>
      <w:r w:rsidR="00F934DE">
        <w:t>ii) anticipates the</w:t>
      </w:r>
      <w:r w:rsidR="00ED33B0">
        <w:t xml:space="preserve"> following </w:t>
      </w:r>
      <w:r w:rsidR="00F934DE">
        <w:t>actions:</w:t>
      </w:r>
    </w:p>
    <w:p w:rsidR="00F934DE" w:rsidRDefault="00047D1E" w:rsidP="00F934DE">
      <w:pPr>
        <w:pStyle w:val="ListParagraph"/>
        <w:numPr>
          <w:ilvl w:val="0"/>
          <w:numId w:val="3"/>
        </w:numPr>
      </w:pPr>
      <w:r>
        <w:t xml:space="preserve">ICANN </w:t>
      </w:r>
      <w:r>
        <w:rPr>
          <w:u w:val="single"/>
        </w:rPr>
        <w:t xml:space="preserve">in consultation with </w:t>
      </w:r>
      <w:r>
        <w:t>the SOs and ACs shall initiate a tender process for an organization to provide admin support to the IRP, beginni</w:t>
      </w:r>
      <w:r w:rsidR="002931AD">
        <w:t>ng by consulting with the IRP IO</w:t>
      </w:r>
      <w:r>
        <w:t xml:space="preserve">T on a draft tender document. [The current admin support organization for ICANN IRP’s is </w:t>
      </w:r>
      <w:r w:rsidR="007A1D40">
        <w:t xml:space="preserve">the </w:t>
      </w:r>
      <w:hyperlink r:id="rId7" w:anchor="%40%3F_afrWindowId%3D157511b7oa_93%26_afrLoop%3D366877148548956%26_afrWindowMode%3D0%26_adf.ctrl-state%3D157511b7oa_125" w:history="1">
        <w:r w:rsidR="007E5734" w:rsidRPr="007E5734">
          <w:rPr>
            <w:rStyle w:val="Hyperlink"/>
          </w:rPr>
          <w:t>International Centre for Dispute Resolution</w:t>
        </w:r>
      </w:hyperlink>
      <w:r w:rsidR="007A1D40">
        <w:t xml:space="preserve">.] </w:t>
      </w:r>
    </w:p>
    <w:p w:rsidR="007A1D40" w:rsidRDefault="007A1D40" w:rsidP="00E52999">
      <w:pPr>
        <w:pStyle w:val="ListParagraph"/>
      </w:pPr>
    </w:p>
    <w:p w:rsidR="005D4656" w:rsidRDefault="005D4656" w:rsidP="00F934DE">
      <w:pPr>
        <w:pStyle w:val="ListParagraph"/>
        <w:numPr>
          <w:ilvl w:val="0"/>
          <w:numId w:val="3"/>
        </w:numPr>
      </w:pPr>
      <w:r>
        <w:t xml:space="preserve">ICANN shall issue a call for expressions of interest from potential panelists and </w:t>
      </w:r>
      <w:r>
        <w:rPr>
          <w:u w:val="single"/>
        </w:rPr>
        <w:t xml:space="preserve">work with the SOs and ACs and the Board </w:t>
      </w:r>
      <w:r>
        <w:t xml:space="preserve">to identify and solicit well-qualified </w:t>
      </w:r>
      <w:r w:rsidR="00174C93">
        <w:t>applications,</w:t>
      </w:r>
      <w:r>
        <w:t xml:space="preserve"> and to conduct an initial review/vetting of applications. </w:t>
      </w:r>
    </w:p>
    <w:p w:rsidR="005D4656" w:rsidRDefault="005D4656" w:rsidP="005D4656">
      <w:pPr>
        <w:pStyle w:val="ListParagraph"/>
      </w:pPr>
    </w:p>
    <w:p w:rsidR="00E52999" w:rsidRDefault="0084373B" w:rsidP="00F934DE">
      <w:pPr>
        <w:pStyle w:val="ListParagraph"/>
        <w:numPr>
          <w:ilvl w:val="0"/>
          <w:numId w:val="3"/>
        </w:numPr>
      </w:pPr>
      <w:r w:rsidRPr="00841F5A">
        <w:rPr>
          <w:u w:val="single"/>
        </w:rPr>
        <w:t>The SOs and ACs shall</w:t>
      </w:r>
      <w:r w:rsidRPr="0084373B">
        <w:rPr>
          <w:u w:val="single"/>
        </w:rPr>
        <w:t xml:space="preserve"> nominate</w:t>
      </w:r>
      <w:r>
        <w:t xml:space="preserve"> a slate of proposed panel members identified in such process. </w:t>
      </w:r>
    </w:p>
    <w:p w:rsidR="002005A3" w:rsidRDefault="002005A3" w:rsidP="002005A3">
      <w:pPr>
        <w:pStyle w:val="ListParagraph"/>
      </w:pPr>
    </w:p>
    <w:p w:rsidR="002005A3" w:rsidRDefault="002005A3" w:rsidP="00F934DE">
      <w:pPr>
        <w:pStyle w:val="ListParagraph"/>
        <w:numPr>
          <w:ilvl w:val="0"/>
          <w:numId w:val="3"/>
        </w:numPr>
      </w:pPr>
      <w:r>
        <w:t>Final selection is subject to Board confirmation.</w:t>
      </w:r>
    </w:p>
    <w:p w:rsidR="00841F5A" w:rsidRDefault="00E8006F" w:rsidP="002005A3">
      <w:r>
        <w:t xml:space="preserve">The qualifications for IRP panelists are set forth in </w:t>
      </w:r>
      <w:r w:rsidRPr="00FF07AB">
        <w:rPr>
          <w:b/>
        </w:rPr>
        <w:t>Section 4.3(j)</w:t>
      </w:r>
      <w:r>
        <w:t xml:space="preserve">. </w:t>
      </w:r>
    </w:p>
    <w:p w:rsidR="00E8006F" w:rsidRDefault="00E8006F" w:rsidP="002005A3">
      <w:r>
        <w:t xml:space="preserve">We expect that in the first </w:t>
      </w:r>
      <w:r w:rsidR="006A35B5">
        <w:t>part</w:t>
      </w:r>
      <w:r>
        <w:t xml:space="preserve"> of 2017 you will be called on by ICANN to participate in these endeavors. The sooner these steps are taken, the sooner the newly constituted IRP will be able to function in complete accordance with the new bylaws. We stand ready to help as </w:t>
      </w:r>
      <w:r w:rsidR="001A388C">
        <w:t>appropriate</w:t>
      </w:r>
      <w:r>
        <w:t xml:space="preserve">. </w:t>
      </w:r>
    </w:p>
    <w:p w:rsidR="00E8006F" w:rsidRDefault="00E8006F" w:rsidP="002005A3">
      <w:r>
        <w:t xml:space="preserve">Sincerely yours, </w:t>
      </w:r>
    </w:p>
    <w:p w:rsidR="00E8006F" w:rsidRDefault="00E8006F" w:rsidP="002005A3">
      <w:r>
        <w:t xml:space="preserve">The IRP </w:t>
      </w:r>
      <w:proofErr w:type="spellStart"/>
      <w:r>
        <w:t>IoT</w:t>
      </w:r>
      <w:proofErr w:type="spellEnd"/>
    </w:p>
    <w:p w:rsidR="00E8006F" w:rsidRDefault="00E8006F" w:rsidP="002005A3">
      <w:bookmarkStart w:id="0" w:name="_GoBack"/>
      <w:bookmarkEnd w:id="0"/>
    </w:p>
    <w:sectPr w:rsidR="00E800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B16E5"/>
    <w:multiLevelType w:val="hybridMultilevel"/>
    <w:tmpl w:val="EB4C64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5F9F22ED"/>
    <w:multiLevelType w:val="hybridMultilevel"/>
    <w:tmpl w:val="329E58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727"/>
    <w:rsid w:val="00047D1E"/>
    <w:rsid w:val="000965DC"/>
    <w:rsid w:val="00174C93"/>
    <w:rsid w:val="00184BEA"/>
    <w:rsid w:val="001A388C"/>
    <w:rsid w:val="001B7899"/>
    <w:rsid w:val="001E43F6"/>
    <w:rsid w:val="002005A3"/>
    <w:rsid w:val="002931AD"/>
    <w:rsid w:val="00347213"/>
    <w:rsid w:val="00497727"/>
    <w:rsid w:val="005D4656"/>
    <w:rsid w:val="006A35B5"/>
    <w:rsid w:val="00797139"/>
    <w:rsid w:val="007A1D40"/>
    <w:rsid w:val="007D453F"/>
    <w:rsid w:val="007E5734"/>
    <w:rsid w:val="00841F5A"/>
    <w:rsid w:val="0084373B"/>
    <w:rsid w:val="009142EF"/>
    <w:rsid w:val="00920653"/>
    <w:rsid w:val="009A55D4"/>
    <w:rsid w:val="00C87503"/>
    <w:rsid w:val="00C91AAB"/>
    <w:rsid w:val="00E52999"/>
    <w:rsid w:val="00E8006F"/>
    <w:rsid w:val="00ED33B0"/>
    <w:rsid w:val="00EE77E7"/>
    <w:rsid w:val="00F934DE"/>
    <w:rsid w:val="00FF0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9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97727"/>
    <w:rPr>
      <w:rFonts w:ascii="Courier New" w:eastAsia="Times New Roman" w:hAnsi="Courier New" w:cs="Courier New"/>
      <w:sz w:val="20"/>
      <w:szCs w:val="20"/>
    </w:rPr>
  </w:style>
  <w:style w:type="paragraph" w:styleId="ListParagraph">
    <w:name w:val="List Paragraph"/>
    <w:basedOn w:val="Normal"/>
    <w:uiPriority w:val="34"/>
    <w:qFormat/>
    <w:rsid w:val="00497727"/>
    <w:pPr>
      <w:ind w:left="720"/>
      <w:contextualSpacing/>
    </w:pPr>
    <w:rPr>
      <w:rFonts w:ascii="Calibri" w:hAnsi="Calibri" w:cs="Times New Roman"/>
    </w:rPr>
  </w:style>
  <w:style w:type="character" w:styleId="Strong">
    <w:name w:val="Strong"/>
    <w:basedOn w:val="DefaultParagraphFont"/>
    <w:uiPriority w:val="22"/>
    <w:qFormat/>
    <w:rsid w:val="00497727"/>
    <w:rPr>
      <w:b/>
      <w:bCs/>
    </w:rPr>
  </w:style>
  <w:style w:type="character" w:styleId="Hyperlink">
    <w:name w:val="Hyperlink"/>
    <w:basedOn w:val="DefaultParagraphFont"/>
    <w:uiPriority w:val="99"/>
    <w:unhideWhenUsed/>
    <w:rsid w:val="001B7899"/>
    <w:rPr>
      <w:color w:val="0000FF" w:themeColor="hyperlink"/>
      <w:u w:val="single"/>
    </w:rPr>
  </w:style>
  <w:style w:type="character" w:styleId="FollowedHyperlink">
    <w:name w:val="FollowedHyperlink"/>
    <w:basedOn w:val="DefaultParagraphFont"/>
    <w:uiPriority w:val="99"/>
    <w:semiHidden/>
    <w:unhideWhenUsed/>
    <w:rsid w:val="0034721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9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97727"/>
    <w:rPr>
      <w:rFonts w:ascii="Courier New" w:eastAsia="Times New Roman" w:hAnsi="Courier New" w:cs="Courier New"/>
      <w:sz w:val="20"/>
      <w:szCs w:val="20"/>
    </w:rPr>
  </w:style>
  <w:style w:type="paragraph" w:styleId="ListParagraph">
    <w:name w:val="List Paragraph"/>
    <w:basedOn w:val="Normal"/>
    <w:uiPriority w:val="34"/>
    <w:qFormat/>
    <w:rsid w:val="00497727"/>
    <w:pPr>
      <w:ind w:left="720"/>
      <w:contextualSpacing/>
    </w:pPr>
    <w:rPr>
      <w:rFonts w:ascii="Calibri" w:hAnsi="Calibri" w:cs="Times New Roman"/>
    </w:rPr>
  </w:style>
  <w:style w:type="character" w:styleId="Strong">
    <w:name w:val="Strong"/>
    <w:basedOn w:val="DefaultParagraphFont"/>
    <w:uiPriority w:val="22"/>
    <w:qFormat/>
    <w:rsid w:val="00497727"/>
    <w:rPr>
      <w:b/>
      <w:bCs/>
    </w:rPr>
  </w:style>
  <w:style w:type="character" w:styleId="Hyperlink">
    <w:name w:val="Hyperlink"/>
    <w:basedOn w:val="DefaultParagraphFont"/>
    <w:uiPriority w:val="99"/>
    <w:unhideWhenUsed/>
    <w:rsid w:val="001B7899"/>
    <w:rPr>
      <w:color w:val="0000FF" w:themeColor="hyperlink"/>
      <w:u w:val="single"/>
    </w:rPr>
  </w:style>
  <w:style w:type="character" w:styleId="FollowedHyperlink">
    <w:name w:val="FollowedHyperlink"/>
    <w:basedOn w:val="DefaultParagraphFont"/>
    <w:uiPriority w:val="99"/>
    <w:semiHidden/>
    <w:unhideWhenUsed/>
    <w:rsid w:val="0034721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2702">
      <w:bodyDiv w:val="1"/>
      <w:marLeft w:val="0"/>
      <w:marRight w:val="0"/>
      <w:marTop w:val="0"/>
      <w:marBottom w:val="0"/>
      <w:divBdr>
        <w:top w:val="none" w:sz="0" w:space="0" w:color="auto"/>
        <w:left w:val="none" w:sz="0" w:space="0" w:color="auto"/>
        <w:bottom w:val="none" w:sz="0" w:space="0" w:color="auto"/>
        <w:right w:val="none" w:sz="0" w:space="0" w:color="auto"/>
      </w:divBdr>
    </w:div>
    <w:div w:id="1179392735">
      <w:bodyDiv w:val="1"/>
      <w:marLeft w:val="0"/>
      <w:marRight w:val="0"/>
      <w:marTop w:val="0"/>
      <w:marBottom w:val="0"/>
      <w:divBdr>
        <w:top w:val="none" w:sz="0" w:space="0" w:color="auto"/>
        <w:left w:val="none" w:sz="0" w:space="0" w:color="auto"/>
        <w:bottom w:val="none" w:sz="0" w:space="0" w:color="auto"/>
        <w:right w:val="none" w:sz="0" w:space="0" w:color="auto"/>
      </w:divBdr>
    </w:div>
    <w:div w:id="1601183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icdr.org/icdr/faces/home?_afrLoop=366877148548956&amp;_afrWindowMode=0&amp;_afrWindowId=157511b7oa_9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mmunity.icann.org/pages/viewpage.action?pageId=59643726"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1</Pages>
  <Words>365</Words>
  <Characters>2082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Verisign Inc</Company>
  <LinksUpToDate>false</LinksUpToDate>
  <CharactersWithSpaces>2443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McAuley, David</dc:creator>
  <cp:lastModifiedBy>McAuley, David</cp:lastModifiedBy>
  <cp:revision>25</cp:revision>
  <dcterms:created xsi:type="dcterms:W3CDTF">2017-01-03T17:30:00Z</dcterms:created>
  <dcterms:modified xsi:type="dcterms:W3CDTF">2017-01-31T21:53:00Z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1413643212</vt:i4>
  </property>
  <property fmtid="{D5CDD505-2E9C-101B-9397-08002B2CF9AE}" pid="3" name="_NewReviewCycle">
    <vt:lpwstr/>
  </property>
  <property fmtid="{D5CDD505-2E9C-101B-9397-08002B2CF9AE}" pid="4" name="_EmailSubject">
    <vt:lpwstr>Release of informational letters to SOs/ACs and PTI customers</vt:lpwstr>
  </property>
  <property fmtid="{D5CDD505-2E9C-101B-9397-08002B2CF9AE}" pid="5" name="_AuthorEmail">
    <vt:lpwstr>dmcauley@Verisign.com</vt:lpwstr>
  </property>
  <property fmtid="{D5CDD505-2E9C-101B-9397-08002B2CF9AE}" pid="6" name="_AuthorEmailDisplayName">
    <vt:lpwstr>McAuley, David</vt:lpwstr>
  </property>
</Properties>
</file>