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B79A" w14:textId="77777777" w:rsidR="002031AD" w:rsidRPr="00872948" w:rsidRDefault="002031AD">
      <w:pPr>
        <w:rPr>
          <w:b/>
          <w:bCs/>
          <w:sz w:val="24"/>
          <w:szCs w:val="24"/>
        </w:rPr>
      </w:pPr>
      <w:r w:rsidRPr="00872948">
        <w:rPr>
          <w:b/>
          <w:bCs/>
          <w:sz w:val="24"/>
          <w:szCs w:val="24"/>
        </w:rPr>
        <w:t xml:space="preserve">7. </w:t>
      </w:r>
      <w:commentRangeStart w:id="0"/>
      <w:r w:rsidRPr="00872948">
        <w:rPr>
          <w:b/>
          <w:bCs/>
          <w:sz w:val="24"/>
          <w:szCs w:val="24"/>
        </w:rPr>
        <w:t xml:space="preserve">Consolidation, Intervention and Participation as an Amicus </w:t>
      </w:r>
      <w:commentRangeEnd w:id="0"/>
      <w:r w:rsidR="00B76A7A" w:rsidRPr="00872948">
        <w:rPr>
          <w:rStyle w:val="CommentReference"/>
          <w:sz w:val="24"/>
          <w:szCs w:val="24"/>
        </w:rPr>
        <w:commentReference w:id="0"/>
      </w:r>
    </w:p>
    <w:p w14:paraId="366F63BE" w14:textId="77777777" w:rsidR="002031AD" w:rsidRPr="00872948" w:rsidRDefault="002031AD">
      <w:pPr>
        <w:rPr>
          <w:sz w:val="24"/>
          <w:szCs w:val="24"/>
        </w:rPr>
      </w:pPr>
      <w:r w:rsidRPr="00872948">
        <w:rPr>
          <w:sz w:val="24"/>
          <w:szCs w:val="24"/>
        </w:rPr>
        <w:t xml:space="preserve">A PROCEDURES OFFICER shall be appointed from the STANDING PANEL to consider any request for consolidation, intervention, and/or participation as an amicus. Except as otherwise expressly stated herein, requests for consolidation, intervention, and/or participation as an amicus are committed to the reasonable discretion of the PROCEDURES OFFICER. In the event that no STANDING PANEL is in place when a PROCEDURES OFFICER must be selected, a </w:t>
      </w:r>
      <w:proofErr w:type="spellStart"/>
      <w:r w:rsidRPr="00872948">
        <w:rPr>
          <w:sz w:val="24"/>
          <w:szCs w:val="24"/>
        </w:rPr>
        <w:t>panelist</w:t>
      </w:r>
      <w:proofErr w:type="spellEnd"/>
      <w:r w:rsidRPr="00872948">
        <w:rPr>
          <w:sz w:val="24"/>
          <w:szCs w:val="24"/>
        </w:rPr>
        <w:t xml:space="preserve"> may be appointed by the ICDR pursuant to its INTERNATIONAL ARBITRATION RULES relating to appointment of </w:t>
      </w:r>
      <w:proofErr w:type="spellStart"/>
      <w:r w:rsidRPr="00872948">
        <w:rPr>
          <w:sz w:val="24"/>
          <w:szCs w:val="24"/>
        </w:rPr>
        <w:t>panelists</w:t>
      </w:r>
      <w:proofErr w:type="spellEnd"/>
      <w:r w:rsidRPr="00872948">
        <w:rPr>
          <w:sz w:val="24"/>
          <w:szCs w:val="24"/>
        </w:rPr>
        <w:t xml:space="preserve"> for consolidation. </w:t>
      </w:r>
    </w:p>
    <w:p w14:paraId="3571EA02" w14:textId="77777777" w:rsidR="002031AD" w:rsidRPr="00872948" w:rsidRDefault="002031AD">
      <w:pPr>
        <w:rPr>
          <w:sz w:val="24"/>
          <w:szCs w:val="24"/>
        </w:rPr>
      </w:pPr>
      <w:commentRangeStart w:id="1"/>
      <w:r w:rsidRPr="00872948">
        <w:rPr>
          <w:sz w:val="24"/>
          <w:szCs w:val="24"/>
        </w:rPr>
        <w:t>In the event that requests for consolidation or intervention are granted, the restrictions on Written Statements set forth in Section 6 shall apply to all CLAIMANTS collectively (for a total of 25 pages exclusive of evidence) and not individually unless otherwise modified by the IRP PANEL in its discretion consistent with the PURPOSES OF THE IRP</w:t>
      </w:r>
      <w:commentRangeEnd w:id="1"/>
      <w:r w:rsidR="00872948" w:rsidRPr="00872948">
        <w:rPr>
          <w:rStyle w:val="CommentReference"/>
          <w:sz w:val="24"/>
          <w:szCs w:val="24"/>
        </w:rPr>
        <w:commentReference w:id="1"/>
      </w:r>
      <w:r w:rsidRPr="00872948">
        <w:rPr>
          <w:sz w:val="24"/>
          <w:szCs w:val="24"/>
        </w:rPr>
        <w:t xml:space="preserve">.  </w:t>
      </w:r>
    </w:p>
    <w:p w14:paraId="0495A455" w14:textId="77777777" w:rsidR="002031AD" w:rsidRPr="00872948" w:rsidRDefault="002031AD">
      <w:pPr>
        <w:rPr>
          <w:b/>
          <w:bCs/>
          <w:sz w:val="24"/>
          <w:szCs w:val="24"/>
        </w:rPr>
      </w:pPr>
      <w:r w:rsidRPr="00872948">
        <w:rPr>
          <w:b/>
          <w:bCs/>
          <w:sz w:val="24"/>
          <w:szCs w:val="24"/>
        </w:rPr>
        <w:t xml:space="preserve">Consolidation </w:t>
      </w:r>
    </w:p>
    <w:p w14:paraId="28A3F314" w14:textId="77777777" w:rsidR="002031AD" w:rsidRPr="00872948" w:rsidRDefault="002031AD">
      <w:pPr>
        <w:rPr>
          <w:sz w:val="24"/>
          <w:szCs w:val="24"/>
        </w:rPr>
      </w:pPr>
      <w:r w:rsidRPr="00872948">
        <w:rPr>
          <w:sz w:val="24"/>
          <w:szCs w:val="24"/>
        </w:rPr>
        <w:t xml:space="preserve">Consolidation of DISPUTES may be appropriate when the </w:t>
      </w:r>
      <w:commentRangeStart w:id="2"/>
      <w:r w:rsidRPr="00872948">
        <w:rPr>
          <w:sz w:val="24"/>
          <w:szCs w:val="24"/>
        </w:rPr>
        <w:t xml:space="preserve">PROCEDURES OFFICER </w:t>
      </w:r>
      <w:commentRangeEnd w:id="2"/>
      <w:r w:rsidR="00B76A7A" w:rsidRPr="00872948">
        <w:rPr>
          <w:rStyle w:val="CommentReference"/>
          <w:sz w:val="24"/>
          <w:szCs w:val="24"/>
        </w:rPr>
        <w:commentReference w:id="2"/>
      </w:r>
      <w:r w:rsidRPr="00872948">
        <w:rPr>
          <w:sz w:val="24"/>
          <w:szCs w:val="24"/>
        </w:rPr>
        <w:t xml:space="preserve">concludes that there is a sufficient common nucleus of operative fact among multiple IRPs such that the joint resolution of the DISPUTES would foster a more just and efficient resolution of the DISPUTES than addressing each DISPUTE individually. If DISPUTES are consolidated, each existing DISPUTE shall no longer be subject to further separate consideration. The PROCEDURES OFFICER may in its discretion order briefing to consider the propriety of consolidation of DISPUTES. </w:t>
      </w:r>
    </w:p>
    <w:p w14:paraId="07C818E7" w14:textId="77777777" w:rsidR="002031AD" w:rsidRPr="00872948" w:rsidRDefault="002031AD">
      <w:pPr>
        <w:rPr>
          <w:b/>
          <w:bCs/>
          <w:sz w:val="24"/>
          <w:szCs w:val="24"/>
        </w:rPr>
      </w:pPr>
      <w:r w:rsidRPr="00872948">
        <w:rPr>
          <w:b/>
          <w:bCs/>
          <w:sz w:val="24"/>
          <w:szCs w:val="24"/>
        </w:rPr>
        <w:t xml:space="preserve">Intervention </w:t>
      </w:r>
    </w:p>
    <w:p w14:paraId="0CE4F100" w14:textId="77777777" w:rsidR="00877194" w:rsidRPr="00872948" w:rsidRDefault="002031AD">
      <w:pPr>
        <w:rPr>
          <w:sz w:val="24"/>
          <w:szCs w:val="24"/>
        </w:rPr>
      </w:pPr>
      <w:r w:rsidRPr="00872948">
        <w:rPr>
          <w:sz w:val="24"/>
          <w:szCs w:val="24"/>
        </w:rPr>
        <w:t xml:space="preserve">Any person or entity qualified to be a CLAIMANT pursuant to the standing requirement set forth in the Bylaws may intervene in an IRP with the permission of the PROCEDURES OFFICER, as provided below. This applies whether or not the person, group or entity participated in an underlying proceeding (a process-specific expert panel per ICANN Bylaws, Article 4, Section 4.3(b)(iii)(A)(3)). </w:t>
      </w:r>
    </w:p>
    <w:p w14:paraId="48552C9E" w14:textId="77777777" w:rsidR="00877194" w:rsidRPr="00872948" w:rsidRDefault="002031AD">
      <w:pPr>
        <w:rPr>
          <w:sz w:val="24"/>
          <w:szCs w:val="24"/>
        </w:rPr>
      </w:pPr>
      <w:r w:rsidRPr="00872948">
        <w:rPr>
          <w:sz w:val="24"/>
          <w:szCs w:val="24"/>
        </w:rPr>
        <w:t xml:space="preserve">Intervention is appropriate to be sought when the prospective participant does not already have a pending related DISPUTE, and the potential claims of the prospective participant stem from a common nucleus of operative facts based on such briefing as the PROCEDURES OFFICER may order in its discretion. </w:t>
      </w:r>
    </w:p>
    <w:p w14:paraId="65FF72F7" w14:textId="77777777" w:rsidR="00877194" w:rsidRPr="00872948" w:rsidRDefault="002031AD">
      <w:pPr>
        <w:rPr>
          <w:sz w:val="24"/>
          <w:szCs w:val="24"/>
        </w:rPr>
      </w:pPr>
      <w:commentRangeStart w:id="3"/>
      <w:r w:rsidRPr="00872948">
        <w:rPr>
          <w:sz w:val="24"/>
          <w:szCs w:val="24"/>
        </w:rPr>
        <w:t xml:space="preserve">In addition, the Supporting Organization(s) which developed a Consensus Policy involved when a DISPUTE challenges a material provision(s) of an existing Consensus Policy in whole or in part shall have a right to intervene as a CLAIMANT to the extent of such challenge. Supporting Organization rights in this respect shall be exercisable through the chair of the Supporting Organization. </w:t>
      </w:r>
      <w:commentRangeEnd w:id="3"/>
      <w:r w:rsidR="00872948" w:rsidRPr="00872948">
        <w:rPr>
          <w:rStyle w:val="CommentReference"/>
          <w:sz w:val="24"/>
          <w:szCs w:val="24"/>
        </w:rPr>
        <w:commentReference w:id="3"/>
      </w:r>
    </w:p>
    <w:p w14:paraId="20AE1C59" w14:textId="77777777" w:rsidR="00877194" w:rsidRPr="00872948" w:rsidRDefault="002031AD">
      <w:pPr>
        <w:rPr>
          <w:sz w:val="24"/>
          <w:szCs w:val="24"/>
        </w:rPr>
      </w:pPr>
      <w:r w:rsidRPr="00872948">
        <w:rPr>
          <w:sz w:val="24"/>
          <w:szCs w:val="24"/>
        </w:rPr>
        <w:lastRenderedPageBreak/>
        <w:t xml:space="preserve">Any person, group or entity who intervenes as a CLAIMANT pursuant to this section will become a CLAIMANT in the existing INDEPENDENT REVIEW PROCESS and have all of the rights and responsibilities of other CLAIMANTS in that matter and be bound by the outcome to the same extent as any other CLAIMANT. </w:t>
      </w:r>
      <w:commentRangeStart w:id="4"/>
      <w:r w:rsidRPr="00872948">
        <w:rPr>
          <w:sz w:val="24"/>
          <w:szCs w:val="24"/>
        </w:rPr>
        <w:t>All motions to intervene or for consolidation shall be directed to the IRP PANEL within 15 days of the initiation of the INDEPENDENT REVIEW PROCESS</w:t>
      </w:r>
      <w:commentRangeEnd w:id="4"/>
      <w:r w:rsidR="00872948" w:rsidRPr="00872948">
        <w:rPr>
          <w:rStyle w:val="CommentReference"/>
          <w:sz w:val="24"/>
          <w:szCs w:val="24"/>
        </w:rPr>
        <w:commentReference w:id="4"/>
      </w:r>
      <w:r w:rsidRPr="00872948">
        <w:rPr>
          <w:sz w:val="24"/>
          <w:szCs w:val="24"/>
        </w:rPr>
        <w:t xml:space="preserve">. All requests to intervene or for consolidation must contain the same information as a written statement of a DISPUTE and must be accompanied by the appropriate filing fee. The IRP PANEL may accept for review by the PROCEDURES OFFICER any motion to intervene or for 20 consolidation after 15 days in cases where it deems that the PURPOSES OF THE IRP are furthered by accepting such a motion. </w:t>
      </w:r>
    </w:p>
    <w:p w14:paraId="69E985C3" w14:textId="77777777" w:rsidR="00877194" w:rsidRPr="00872948" w:rsidRDefault="002031AD">
      <w:pPr>
        <w:rPr>
          <w:sz w:val="24"/>
          <w:szCs w:val="24"/>
        </w:rPr>
      </w:pPr>
      <w:r w:rsidRPr="00872948">
        <w:rPr>
          <w:sz w:val="24"/>
          <w:szCs w:val="24"/>
        </w:rPr>
        <w:t xml:space="preserve">Excluding materials exempted from production under Rule 8 (Exchange of Information) below, the IRP PANEL shall direct that all materials related to the DISPUTE be made available to entities that have intervened or had their claim consolidated 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 </w:t>
      </w:r>
    </w:p>
    <w:p w14:paraId="081ADD09" w14:textId="77777777" w:rsidR="00877194" w:rsidRPr="00872948" w:rsidRDefault="002031AD">
      <w:pPr>
        <w:rPr>
          <w:b/>
          <w:bCs/>
          <w:sz w:val="24"/>
          <w:szCs w:val="24"/>
        </w:rPr>
      </w:pPr>
      <w:r w:rsidRPr="00872948">
        <w:rPr>
          <w:b/>
          <w:bCs/>
          <w:sz w:val="24"/>
          <w:szCs w:val="24"/>
        </w:rPr>
        <w:t xml:space="preserve">Participation as an Amicus Curiae </w:t>
      </w:r>
    </w:p>
    <w:p w14:paraId="190A608C" w14:textId="77777777" w:rsidR="00877194" w:rsidRPr="00872948" w:rsidRDefault="002031AD">
      <w:pPr>
        <w:rPr>
          <w:sz w:val="24"/>
          <w:szCs w:val="24"/>
        </w:rPr>
      </w:pPr>
      <w:r w:rsidRPr="00872948">
        <w:rPr>
          <w:sz w:val="24"/>
          <w:szCs w:val="24"/>
        </w:rPr>
        <w:t xml:space="preserve">Any person, group, or entity that has a material interest relevant to the DISPUTE but does not satisfy the standing requirements for a CLAIMANT set forth in the Bylaws may participate as an amicus curiae before an IRP PANEL, subject to the limitations set forth below. Without limitation to the persons, groups, or entities that may have such a material interest, the following persons, groups, or entities shall be deemed to have a material interest relevant to the DISPUTE and, upon request of person, group, or entity seeking to so participate, shall be permitted to participate as an amicus before the IRP PANEL: </w:t>
      </w:r>
    </w:p>
    <w:p w14:paraId="684C099E" w14:textId="4819EF4E" w:rsidR="00877194" w:rsidRPr="00872948" w:rsidRDefault="002031AD" w:rsidP="00877194">
      <w:pPr>
        <w:pStyle w:val="ListParagraph"/>
        <w:numPr>
          <w:ilvl w:val="0"/>
          <w:numId w:val="1"/>
        </w:numPr>
        <w:rPr>
          <w:sz w:val="24"/>
          <w:szCs w:val="24"/>
        </w:rPr>
      </w:pPr>
      <w:commentRangeStart w:id="5"/>
      <w:r w:rsidRPr="00872948">
        <w:rPr>
          <w:sz w:val="24"/>
          <w:szCs w:val="24"/>
        </w:rPr>
        <w:t xml:space="preserve">A person, group or entity that participated in an underlying proceeding (a process-specific expert panel per ICANN Bylaws, Article 4, Section 4.3(b)(iii)(A)(3)); </w:t>
      </w:r>
    </w:p>
    <w:p w14:paraId="3939D41C" w14:textId="77777777" w:rsidR="00877194" w:rsidRPr="00872948" w:rsidRDefault="002031AD" w:rsidP="00877194">
      <w:pPr>
        <w:pStyle w:val="ListParagraph"/>
        <w:numPr>
          <w:ilvl w:val="0"/>
          <w:numId w:val="1"/>
        </w:numPr>
        <w:rPr>
          <w:sz w:val="24"/>
          <w:szCs w:val="24"/>
        </w:rPr>
      </w:pPr>
      <w:r w:rsidRPr="00872948">
        <w:rPr>
          <w:sz w:val="24"/>
          <w:szCs w:val="24"/>
        </w:rPr>
        <w:t xml:space="preserve">If the IRP relates to an application arising out of ICANN’s New gTLD Program, a person, group or entity that was part of a contention set for the string at issue in the IRP; and </w:t>
      </w:r>
    </w:p>
    <w:p w14:paraId="3F597AFF" w14:textId="77777777" w:rsidR="00877194" w:rsidRPr="00872948" w:rsidRDefault="002031AD" w:rsidP="00877194">
      <w:pPr>
        <w:pStyle w:val="ListParagraph"/>
        <w:numPr>
          <w:ilvl w:val="0"/>
          <w:numId w:val="1"/>
        </w:numPr>
        <w:rPr>
          <w:sz w:val="24"/>
          <w:szCs w:val="24"/>
        </w:rPr>
      </w:pPr>
      <w:r w:rsidRPr="00872948">
        <w:rPr>
          <w:sz w:val="24"/>
          <w:szCs w:val="24"/>
        </w:rPr>
        <w:t xml:space="preserve">If the briefings before the IRP PANEL significantly refer to actions taken by a person, group or entity that is external to the DISPUTE, such external person, group or entity. </w:t>
      </w:r>
      <w:commentRangeEnd w:id="5"/>
      <w:r w:rsidR="00F428E9">
        <w:rPr>
          <w:rStyle w:val="CommentReference"/>
        </w:rPr>
        <w:commentReference w:id="5"/>
      </w:r>
    </w:p>
    <w:p w14:paraId="60BB3262" w14:textId="77777777" w:rsidR="00877194" w:rsidRPr="00872948" w:rsidRDefault="00877194" w:rsidP="00877194">
      <w:pPr>
        <w:pStyle w:val="ListParagraph"/>
        <w:ind w:left="1080"/>
        <w:rPr>
          <w:sz w:val="24"/>
          <w:szCs w:val="24"/>
        </w:rPr>
      </w:pPr>
    </w:p>
    <w:p w14:paraId="067F8993" w14:textId="77777777" w:rsidR="00877194" w:rsidRPr="00872948" w:rsidRDefault="002031AD" w:rsidP="00877194">
      <w:pPr>
        <w:pStyle w:val="ListParagraph"/>
        <w:ind w:left="0"/>
        <w:rPr>
          <w:sz w:val="24"/>
          <w:szCs w:val="24"/>
        </w:rPr>
      </w:pPr>
      <w:r w:rsidRPr="00872948">
        <w:rPr>
          <w:sz w:val="24"/>
          <w:szCs w:val="24"/>
        </w:rPr>
        <w:lastRenderedPageBreak/>
        <w:t xml:space="preserve">All requests to participate as an amicus must contain the same information as the Written Statement (set out at Section 6), specify the interest of the amicus curiae, and must be accompanied by the appropriate filing fee. </w:t>
      </w:r>
    </w:p>
    <w:p w14:paraId="17620FE8" w14:textId="77777777" w:rsidR="00877194" w:rsidRPr="00872948" w:rsidRDefault="00877194" w:rsidP="00877194">
      <w:pPr>
        <w:pStyle w:val="ListParagraph"/>
        <w:ind w:left="0"/>
        <w:rPr>
          <w:sz w:val="24"/>
          <w:szCs w:val="24"/>
        </w:rPr>
      </w:pPr>
    </w:p>
    <w:p w14:paraId="787F0D84" w14:textId="70388050" w:rsidR="00877194" w:rsidRDefault="002031AD" w:rsidP="00877194">
      <w:pPr>
        <w:pStyle w:val="ListParagraph"/>
        <w:ind w:left="0"/>
        <w:rPr>
          <w:sz w:val="24"/>
          <w:szCs w:val="24"/>
        </w:rPr>
      </w:pPr>
      <w:r w:rsidRPr="00872948">
        <w:rPr>
          <w:sz w:val="24"/>
          <w:szCs w:val="24"/>
        </w:rPr>
        <w:t xml:space="preserve">If the PROCEDURES OFFICER determines, in his or her discretion, subject to the conditions set forth above, that the proposed amicus curiae has a material interest relevant to the DISPUTE, he or she shall allow participation by the amicus curiae. Any person participating as an amicus curiae may submit to the IRP Panel written briefing(s) on the DISPUTE or on such discrete questions as the IRP PANEL may request briefing, in the discretion of the IRP PANEL and subject to such deadlines, page limits, and other procedural rules as the IRP PANEL may specify in its discretion.4 </w:t>
      </w:r>
      <w:commentRangeStart w:id="6"/>
      <w:r w:rsidRPr="00872948">
        <w:rPr>
          <w:sz w:val="24"/>
          <w:szCs w:val="24"/>
        </w:rPr>
        <w:t xml:space="preserve">The IRP PANEL shall determine in its discretion what materials related to the DISPUTE to make available to a person participating as an amicus curiae. </w:t>
      </w:r>
      <w:commentRangeEnd w:id="6"/>
      <w:r w:rsidR="00872948" w:rsidRPr="00872948">
        <w:rPr>
          <w:rStyle w:val="CommentReference"/>
          <w:sz w:val="24"/>
          <w:szCs w:val="24"/>
        </w:rPr>
        <w:commentReference w:id="6"/>
      </w:r>
    </w:p>
    <w:p w14:paraId="429F5F85" w14:textId="77204A41" w:rsidR="00872948" w:rsidRDefault="00872948" w:rsidP="00877194">
      <w:pPr>
        <w:pStyle w:val="ListParagraph"/>
        <w:ind w:left="0"/>
        <w:rPr>
          <w:sz w:val="24"/>
          <w:szCs w:val="24"/>
        </w:rPr>
      </w:pPr>
    </w:p>
    <w:p w14:paraId="2CCD90C2" w14:textId="653720BD" w:rsidR="00872948" w:rsidRDefault="00872948" w:rsidP="00877194">
      <w:pPr>
        <w:pStyle w:val="ListParagraph"/>
        <w:ind w:left="0"/>
        <w:rPr>
          <w:sz w:val="24"/>
          <w:szCs w:val="24"/>
        </w:rPr>
      </w:pPr>
    </w:p>
    <w:p w14:paraId="0EEFF0B1" w14:textId="25F17DB6" w:rsidR="00872948" w:rsidRDefault="00872948" w:rsidP="00877194">
      <w:pPr>
        <w:pStyle w:val="ListParagraph"/>
        <w:ind w:left="0"/>
        <w:rPr>
          <w:sz w:val="24"/>
          <w:szCs w:val="24"/>
        </w:rPr>
      </w:pPr>
    </w:p>
    <w:p w14:paraId="3C706691" w14:textId="3F1B8C09" w:rsidR="00872948" w:rsidRDefault="00872948" w:rsidP="00877194">
      <w:pPr>
        <w:pStyle w:val="ListParagraph"/>
        <w:ind w:left="0"/>
        <w:rPr>
          <w:sz w:val="24"/>
          <w:szCs w:val="24"/>
        </w:rPr>
      </w:pPr>
    </w:p>
    <w:p w14:paraId="1ED81A6D" w14:textId="637A8350" w:rsidR="00872948" w:rsidRDefault="00872948" w:rsidP="00877194">
      <w:pPr>
        <w:pStyle w:val="ListParagraph"/>
        <w:ind w:left="0"/>
        <w:rPr>
          <w:sz w:val="24"/>
          <w:szCs w:val="24"/>
        </w:rPr>
      </w:pPr>
    </w:p>
    <w:p w14:paraId="6E0C8B59" w14:textId="77777777" w:rsidR="00872948" w:rsidRPr="00872948" w:rsidRDefault="00872948" w:rsidP="00877194">
      <w:pPr>
        <w:pStyle w:val="ListParagraph"/>
        <w:ind w:left="0"/>
        <w:rPr>
          <w:sz w:val="24"/>
          <w:szCs w:val="24"/>
        </w:rPr>
      </w:pPr>
    </w:p>
    <w:p w14:paraId="6FA985D4" w14:textId="0A4D529B" w:rsidR="00877194" w:rsidRPr="00872948" w:rsidRDefault="00877194" w:rsidP="00877194">
      <w:pPr>
        <w:pStyle w:val="ListParagraph"/>
        <w:ind w:left="0"/>
        <w:rPr>
          <w:sz w:val="24"/>
          <w:szCs w:val="24"/>
        </w:rPr>
      </w:pPr>
      <w:r w:rsidRPr="00872948">
        <w:rPr>
          <w:sz w:val="24"/>
          <w:szCs w:val="24"/>
        </w:rPr>
        <w:t>________________________________</w:t>
      </w:r>
    </w:p>
    <w:p w14:paraId="786CB10E" w14:textId="0289180F" w:rsidR="007C38DA" w:rsidRDefault="002031AD" w:rsidP="00877194">
      <w:pPr>
        <w:pStyle w:val="ListParagraph"/>
        <w:ind w:left="0"/>
        <w:rPr>
          <w:sz w:val="24"/>
          <w:szCs w:val="24"/>
        </w:rPr>
      </w:pPr>
      <w:r w:rsidRPr="00872948">
        <w:rPr>
          <w:sz w:val="24"/>
          <w:szCs w:val="24"/>
        </w:rPr>
        <w:t xml:space="preserve">4 During the pendency of these Interim Supplementary Rules, in exercising its discretion in allowing the participation of amicus curiae and in then considering the scope of participation from amicus curiae, the </w:t>
      </w:r>
      <w:commentRangeStart w:id="7"/>
      <w:r w:rsidRPr="00872948">
        <w:rPr>
          <w:sz w:val="24"/>
          <w:szCs w:val="24"/>
        </w:rPr>
        <w:t xml:space="preserve">IRP PANEL shall lean in </w:t>
      </w:r>
      <w:proofErr w:type="spellStart"/>
      <w:r w:rsidRPr="00872948">
        <w:rPr>
          <w:sz w:val="24"/>
          <w:szCs w:val="24"/>
        </w:rPr>
        <w:t>favor</w:t>
      </w:r>
      <w:proofErr w:type="spellEnd"/>
      <w:r w:rsidRPr="00872948">
        <w:rPr>
          <w:sz w:val="24"/>
          <w:szCs w:val="24"/>
        </w:rPr>
        <w:t xml:space="preserve"> of allowing broad participation of an amicus curiae </w:t>
      </w:r>
      <w:commentRangeEnd w:id="7"/>
      <w:r w:rsidR="00455024">
        <w:rPr>
          <w:rStyle w:val="CommentReference"/>
        </w:rPr>
        <w:commentReference w:id="7"/>
      </w:r>
      <w:r w:rsidRPr="00872948">
        <w:rPr>
          <w:sz w:val="24"/>
          <w:szCs w:val="24"/>
        </w:rPr>
        <w:t>as needed to further the purposes of the IRP set forth at Section 4.3 of the ICANN Bylaws.</w:t>
      </w:r>
    </w:p>
    <w:p w14:paraId="606C9B1D" w14:textId="4187930F" w:rsidR="00F428E9" w:rsidRDefault="00F428E9" w:rsidP="00877194">
      <w:pPr>
        <w:pStyle w:val="ListParagraph"/>
        <w:ind w:left="0"/>
        <w:rPr>
          <w:sz w:val="24"/>
          <w:szCs w:val="24"/>
        </w:rPr>
      </w:pPr>
    </w:p>
    <w:p w14:paraId="5BD7F608" w14:textId="77777777" w:rsidR="00482AE4" w:rsidRDefault="00482AE4">
      <w:pPr>
        <w:rPr>
          <w:b/>
          <w:bCs/>
          <w:sz w:val="24"/>
          <w:szCs w:val="24"/>
        </w:rPr>
      </w:pPr>
      <w:r>
        <w:rPr>
          <w:b/>
          <w:bCs/>
          <w:sz w:val="24"/>
          <w:szCs w:val="24"/>
        </w:rPr>
        <w:br w:type="page"/>
      </w:r>
    </w:p>
    <w:p w14:paraId="09218A08" w14:textId="30C5A781" w:rsidR="00F428E9" w:rsidRPr="00F428E9" w:rsidRDefault="00F428E9" w:rsidP="00877194">
      <w:pPr>
        <w:pStyle w:val="ListParagraph"/>
        <w:ind w:left="0"/>
        <w:rPr>
          <w:b/>
          <w:bCs/>
          <w:sz w:val="24"/>
          <w:szCs w:val="24"/>
        </w:rPr>
      </w:pPr>
      <w:r w:rsidRPr="00F428E9">
        <w:rPr>
          <w:b/>
          <w:bCs/>
          <w:sz w:val="24"/>
          <w:szCs w:val="24"/>
        </w:rPr>
        <w:lastRenderedPageBreak/>
        <w:t>Public comments</w:t>
      </w:r>
      <w:r w:rsidR="00383966">
        <w:rPr>
          <w:b/>
          <w:bCs/>
          <w:sz w:val="24"/>
          <w:szCs w:val="24"/>
        </w:rPr>
        <w:t xml:space="preserve"> </w:t>
      </w:r>
      <w:r w:rsidR="00482AE4">
        <w:rPr>
          <w:b/>
          <w:bCs/>
          <w:sz w:val="24"/>
          <w:szCs w:val="24"/>
        </w:rPr>
        <w:t>–</w:t>
      </w:r>
      <w:r w:rsidR="00383966">
        <w:rPr>
          <w:b/>
          <w:bCs/>
          <w:sz w:val="24"/>
          <w:szCs w:val="24"/>
        </w:rPr>
        <w:t xml:space="preserve"> </w:t>
      </w:r>
      <w:r w:rsidR="00482AE4">
        <w:rPr>
          <w:b/>
          <w:bCs/>
          <w:sz w:val="24"/>
          <w:szCs w:val="24"/>
        </w:rPr>
        <w:t xml:space="preserve">brief </w:t>
      </w:r>
      <w:r w:rsidR="00383966">
        <w:rPr>
          <w:b/>
          <w:bCs/>
          <w:sz w:val="24"/>
          <w:szCs w:val="24"/>
        </w:rPr>
        <w:t>summary</w:t>
      </w:r>
    </w:p>
    <w:p w14:paraId="3E371414" w14:textId="620A1C21" w:rsidR="00F428E9" w:rsidRDefault="00F428E9" w:rsidP="00877194">
      <w:pPr>
        <w:pStyle w:val="ListParagraph"/>
        <w:ind w:left="0"/>
        <w:rPr>
          <w:sz w:val="24"/>
          <w:szCs w:val="24"/>
        </w:rPr>
      </w:pPr>
    </w:p>
    <w:p w14:paraId="38E6082A" w14:textId="1CBEF53F" w:rsidR="00F428E9" w:rsidRDefault="00F428E9" w:rsidP="00877194">
      <w:pPr>
        <w:pStyle w:val="ListParagraph"/>
        <w:ind w:left="0"/>
        <w:rPr>
          <w:sz w:val="24"/>
          <w:szCs w:val="24"/>
        </w:rPr>
      </w:pPr>
      <w:r>
        <w:rPr>
          <w:sz w:val="24"/>
          <w:szCs w:val="24"/>
        </w:rPr>
        <w:t>Dot Music – Procedures Officer will lead to undue costs.  Matters should be determined by the IRP panel.</w:t>
      </w:r>
    </w:p>
    <w:p w14:paraId="64D336D2" w14:textId="424CE44F" w:rsidR="00F428E9" w:rsidRDefault="00F428E9" w:rsidP="00877194">
      <w:pPr>
        <w:pStyle w:val="ListParagraph"/>
        <w:ind w:left="0"/>
        <w:rPr>
          <w:sz w:val="24"/>
          <w:szCs w:val="24"/>
        </w:rPr>
      </w:pPr>
    </w:p>
    <w:p w14:paraId="1ADF9374" w14:textId="29638A52" w:rsidR="00F428E9" w:rsidRDefault="00F428E9" w:rsidP="00877194">
      <w:pPr>
        <w:pStyle w:val="ListParagraph"/>
        <w:ind w:left="0"/>
        <w:rPr>
          <w:sz w:val="24"/>
          <w:szCs w:val="24"/>
        </w:rPr>
      </w:pPr>
      <w:r>
        <w:rPr>
          <w:sz w:val="24"/>
          <w:szCs w:val="24"/>
        </w:rPr>
        <w:t>IPC – Any third party directly involved in the underlying action which is the subject of the IRP should be able to petition to join or intervene</w:t>
      </w:r>
      <w:r w:rsidR="00383966">
        <w:rPr>
          <w:sz w:val="24"/>
          <w:szCs w:val="24"/>
        </w:rPr>
        <w:t>, either as a Claimant or in opposition.  Multiple Claimants should not be limited collectively in the page limit (costs can be addressed by panel).  Requests to join should be determined by the IRP panel and not the PO.</w:t>
      </w:r>
    </w:p>
    <w:p w14:paraId="6ABE228F" w14:textId="1B40BFB0" w:rsidR="00383966" w:rsidRDefault="00383966" w:rsidP="00877194">
      <w:pPr>
        <w:pStyle w:val="ListParagraph"/>
        <w:ind w:left="0"/>
        <w:rPr>
          <w:sz w:val="24"/>
          <w:szCs w:val="24"/>
        </w:rPr>
      </w:pPr>
    </w:p>
    <w:p w14:paraId="3894B7B5" w14:textId="2C28D918" w:rsidR="00383966" w:rsidRDefault="00383966" w:rsidP="00383966">
      <w:pPr>
        <w:shd w:val="clear" w:color="auto" w:fill="FFFFFF"/>
        <w:rPr>
          <w:rFonts w:eastAsia="Times New Roman" w:cstheme="minorHAnsi"/>
          <w:sz w:val="24"/>
          <w:szCs w:val="24"/>
          <w:lang w:eastAsia="en-GB"/>
        </w:rPr>
      </w:pPr>
      <w:r w:rsidRPr="00383966">
        <w:rPr>
          <w:rFonts w:cstheme="minorHAnsi"/>
          <w:sz w:val="24"/>
          <w:szCs w:val="24"/>
        </w:rPr>
        <w:t>NCSG – All parties to the underlying proceedings should have the right to intervene, or file an amicus brief.</w:t>
      </w:r>
      <w:r w:rsidRPr="00383966">
        <w:rPr>
          <w:rFonts w:eastAsia="Times New Roman" w:cstheme="minorHAnsi"/>
          <w:sz w:val="24"/>
          <w:szCs w:val="24"/>
          <w:lang w:eastAsia="en-GB"/>
        </w:rPr>
        <w:t xml:space="preserve"> </w:t>
      </w:r>
      <w:bookmarkStart w:id="8" w:name="_Hlk42619290"/>
      <w:r w:rsidRPr="00383966">
        <w:rPr>
          <w:rFonts w:eastAsia="Times New Roman" w:cstheme="minorHAnsi"/>
          <w:sz w:val="24"/>
          <w:szCs w:val="24"/>
          <w:lang w:eastAsia="en-GB"/>
        </w:rPr>
        <w:t xml:space="preserve">For a </w:t>
      </w:r>
      <w:r w:rsidRPr="00383966">
        <w:rPr>
          <w:rFonts w:eastAsia="Times New Roman" w:cstheme="minorHAnsi"/>
          <w:sz w:val="24"/>
          <w:szCs w:val="24"/>
          <w:lang w:eastAsia="en-GB"/>
        </w:rPr>
        <w:t>challenge to a Consensus Policy, the Supporting Organization and its Stakeholder Group must be in a position to defend their work</w:t>
      </w:r>
      <w:r>
        <w:rPr>
          <w:rFonts w:eastAsia="Times New Roman" w:cstheme="minorHAnsi"/>
          <w:sz w:val="24"/>
          <w:szCs w:val="24"/>
          <w:lang w:eastAsia="en-GB"/>
        </w:rPr>
        <w:t>.</w:t>
      </w:r>
      <w:bookmarkEnd w:id="8"/>
    </w:p>
    <w:p w14:paraId="361D31D4" w14:textId="03172F29" w:rsidR="00383966" w:rsidRDefault="00383966" w:rsidP="00383966">
      <w:pPr>
        <w:shd w:val="clear" w:color="auto" w:fill="FFFFFF"/>
        <w:rPr>
          <w:rFonts w:eastAsia="Times New Roman" w:cstheme="minorHAnsi"/>
          <w:sz w:val="24"/>
          <w:szCs w:val="24"/>
          <w:lang w:eastAsia="en-GB"/>
        </w:rPr>
      </w:pPr>
      <w:r>
        <w:rPr>
          <w:rFonts w:eastAsia="Times New Roman" w:cstheme="minorHAnsi"/>
          <w:sz w:val="24"/>
          <w:szCs w:val="24"/>
          <w:lang w:eastAsia="en-GB"/>
        </w:rPr>
        <w:t xml:space="preserve">Fletcher law firm – Provide notice to all original parties to underlying proceedings.  Right of intervention to all such parties.  Panel should hear from such parties before any decision on interim relief.  </w:t>
      </w:r>
      <w:r w:rsidRPr="00383966">
        <w:rPr>
          <w:rFonts w:eastAsia="Times New Roman" w:cstheme="minorHAnsi"/>
          <w:sz w:val="24"/>
          <w:szCs w:val="24"/>
          <w:lang w:eastAsia="en-GB"/>
        </w:rPr>
        <w:t>For a challenge to a Consensus Policy, the Supporting Organization and its Stakeholder Group must be in a position to defend their work</w:t>
      </w:r>
      <w:r>
        <w:rPr>
          <w:rFonts w:eastAsia="Times New Roman" w:cstheme="minorHAnsi"/>
          <w:sz w:val="24"/>
          <w:szCs w:val="24"/>
          <w:lang w:eastAsia="en-GB"/>
        </w:rPr>
        <w:t>.</w:t>
      </w:r>
      <w:r>
        <w:rPr>
          <w:rFonts w:eastAsia="Times New Roman" w:cstheme="minorHAnsi"/>
          <w:sz w:val="24"/>
          <w:szCs w:val="24"/>
          <w:lang w:eastAsia="en-GB"/>
        </w:rPr>
        <w:t xml:space="preserve">  Provide notice to the SO, SG, C that developed the Policy.  Mandatory right to intervene by those who participated in creation of the Policy.  Comparable right to intervene into </w:t>
      </w:r>
      <w:r w:rsidR="002700CC">
        <w:rPr>
          <w:rFonts w:eastAsia="Times New Roman" w:cstheme="minorHAnsi"/>
          <w:sz w:val="24"/>
          <w:szCs w:val="24"/>
          <w:lang w:eastAsia="en-GB"/>
        </w:rPr>
        <w:t xml:space="preserve">CEP.  </w:t>
      </w:r>
    </w:p>
    <w:p w14:paraId="2B78D857" w14:textId="098798FC" w:rsidR="00E851F9" w:rsidRDefault="00E851F9" w:rsidP="00383966">
      <w:pPr>
        <w:shd w:val="clear" w:color="auto" w:fill="FFFFFF"/>
        <w:rPr>
          <w:rFonts w:eastAsia="Times New Roman" w:cstheme="minorHAnsi"/>
          <w:sz w:val="24"/>
          <w:szCs w:val="24"/>
          <w:lang w:eastAsia="en-GB"/>
        </w:rPr>
      </w:pPr>
      <w:r>
        <w:rPr>
          <w:rFonts w:eastAsia="Times New Roman" w:cstheme="minorHAnsi"/>
          <w:sz w:val="24"/>
          <w:szCs w:val="24"/>
          <w:lang w:eastAsia="en-GB"/>
        </w:rPr>
        <w:t>RySG – IRP Panel may be better able to determine applications</w:t>
      </w:r>
    </w:p>
    <w:p w14:paraId="3204C175" w14:textId="77777777" w:rsidR="00E851F9" w:rsidRPr="00383966" w:rsidRDefault="00E851F9" w:rsidP="00383966">
      <w:pPr>
        <w:shd w:val="clear" w:color="auto" w:fill="FFFFFF"/>
        <w:rPr>
          <w:rFonts w:eastAsia="Times New Roman" w:cstheme="minorHAnsi"/>
          <w:sz w:val="24"/>
          <w:szCs w:val="24"/>
          <w:lang w:eastAsia="en-GB"/>
        </w:rPr>
      </w:pPr>
    </w:p>
    <w:p w14:paraId="1E068075" w14:textId="3C5862E9" w:rsidR="00383966" w:rsidRDefault="00383966" w:rsidP="00877194">
      <w:pPr>
        <w:pStyle w:val="ListParagraph"/>
        <w:ind w:left="0"/>
        <w:rPr>
          <w:sz w:val="24"/>
          <w:szCs w:val="24"/>
        </w:rPr>
      </w:pPr>
    </w:p>
    <w:p w14:paraId="609B459F" w14:textId="3FCAC711" w:rsidR="00383966" w:rsidRDefault="00383966" w:rsidP="00877194">
      <w:pPr>
        <w:pStyle w:val="ListParagraph"/>
        <w:ind w:left="0"/>
        <w:rPr>
          <w:sz w:val="24"/>
          <w:szCs w:val="24"/>
        </w:rPr>
      </w:pPr>
    </w:p>
    <w:sectPr w:rsidR="00383966" w:rsidSect="00B76A7A">
      <w:footerReference w:type="default" r:id="rId1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usan Payne" w:date="2020-06-09T17:47:00Z" w:initials="SP">
    <w:p w14:paraId="1D1476C2" w14:textId="637D9783" w:rsidR="00B76A7A" w:rsidRDefault="00B76A7A">
      <w:pPr>
        <w:pStyle w:val="CommentText"/>
      </w:pPr>
      <w:r>
        <w:rPr>
          <w:rStyle w:val="CommentReference"/>
        </w:rPr>
        <w:annotationRef/>
      </w:r>
      <w:r>
        <w:t xml:space="preserve">Preliminary question re interplay with the ICDR Rules on this topic:  </w:t>
      </w:r>
      <w:r>
        <w:t xml:space="preserve">are they completely superseded by these IRP Supplementary procedures? E.g. ICDR rules </w:t>
      </w:r>
      <w:r>
        <w:rPr>
          <w:lang w:val="en-US"/>
        </w:rPr>
        <w:t>have some provisions dealing with which proceedings are consolidated into which (the earliest)</w:t>
      </w:r>
      <w:r w:rsidR="00872948">
        <w:rPr>
          <w:lang w:val="en-US"/>
        </w:rPr>
        <w:t>, and about how the appointment of the arbitration panel is handled</w:t>
      </w:r>
      <w:r>
        <w:rPr>
          <w:lang w:val="en-US"/>
        </w:rPr>
        <w:t>.  This is</w:t>
      </w:r>
      <w:r>
        <w:rPr>
          <w:lang w:val="en-US"/>
        </w:rPr>
        <w:t xml:space="preserve"> not</w:t>
      </w:r>
      <w:r>
        <w:rPr>
          <w:lang w:val="en-US"/>
        </w:rPr>
        <w:t xml:space="preserve"> addressed in the Supp Procs?  Does this </w:t>
      </w:r>
      <w:r>
        <w:rPr>
          <w:lang w:val="en-US"/>
        </w:rPr>
        <w:t xml:space="preserve">still </w:t>
      </w:r>
      <w:r>
        <w:rPr>
          <w:lang w:val="en-US"/>
        </w:rPr>
        <w:t>stand?</w:t>
      </w:r>
    </w:p>
  </w:comment>
  <w:comment w:id="1" w:author="Susan Payne" w:date="2020-06-09T17:56:00Z" w:initials="SP">
    <w:p w14:paraId="3C010D94" w14:textId="6E59ED09" w:rsidR="00872948" w:rsidRDefault="00872948">
      <w:pPr>
        <w:pStyle w:val="CommentText"/>
      </w:pPr>
      <w:r>
        <w:rPr>
          <w:rStyle w:val="CommentReference"/>
        </w:rPr>
        <w:annotationRef/>
      </w:r>
      <w:r>
        <w:t>Do the page limit provisions work in practice?  Note Liz’s email regarding other arbitration proceedings.</w:t>
      </w:r>
    </w:p>
  </w:comment>
  <w:comment w:id="2" w:author="Susan Payne" w:date="2020-06-09T17:50:00Z" w:initials="SP">
    <w:p w14:paraId="0EF9CD07" w14:textId="4D22BBE4" w:rsidR="00B76A7A" w:rsidRDefault="00B76A7A">
      <w:pPr>
        <w:pStyle w:val="CommentText"/>
      </w:pPr>
      <w:r>
        <w:rPr>
          <w:rStyle w:val="CommentReference"/>
        </w:rPr>
        <w:annotationRef/>
      </w:r>
      <w:r>
        <w:t>Sam has told us that the PO concept has caused confusion and delay.  ICDR Rules have a Consolidation Arbitrator, which seems to be serving a similar role.  Is the issue simply one of terminology, or more fundamental?</w:t>
      </w:r>
    </w:p>
  </w:comment>
  <w:comment w:id="3" w:author="Susan Payne" w:date="2020-06-09T17:58:00Z" w:initials="SP">
    <w:p w14:paraId="543A266F" w14:textId="173B87D6" w:rsidR="00872948" w:rsidRDefault="00872948" w:rsidP="00872948">
      <w:pPr>
        <w:pStyle w:val="ListParagraph"/>
        <w:ind w:left="0"/>
        <w:rPr>
          <w:lang w:val="en-US"/>
        </w:rPr>
      </w:pPr>
      <w:r>
        <w:rPr>
          <w:rStyle w:val="CommentReference"/>
        </w:rPr>
        <w:annotationRef/>
      </w:r>
      <w:r>
        <w:rPr>
          <w:lang w:val="en-US"/>
        </w:rPr>
        <w:t>If the C</w:t>
      </w:r>
      <w:r>
        <w:rPr>
          <w:lang w:val="en-US"/>
        </w:rPr>
        <w:t xml:space="preserve">onsensus </w:t>
      </w:r>
      <w:r>
        <w:rPr>
          <w:lang w:val="en-US"/>
        </w:rPr>
        <w:t>P</w:t>
      </w:r>
      <w:r>
        <w:rPr>
          <w:lang w:val="en-US"/>
        </w:rPr>
        <w:t>olicy</w:t>
      </w:r>
      <w:r>
        <w:rPr>
          <w:lang w:val="en-US"/>
        </w:rPr>
        <w:t xml:space="preserve"> is being challenged by the Claimant, then how is the SO that developed that </w:t>
      </w:r>
      <w:r>
        <w:rPr>
          <w:lang w:val="en-US"/>
        </w:rPr>
        <w:t>Policy</w:t>
      </w:r>
      <w:r>
        <w:rPr>
          <w:lang w:val="en-US"/>
        </w:rPr>
        <w:t xml:space="preserve">, and presumably might defend it, also a Claimant?  </w:t>
      </w:r>
    </w:p>
    <w:p w14:paraId="55E14ECF" w14:textId="77777777" w:rsidR="00872948" w:rsidRDefault="00872948" w:rsidP="00872948">
      <w:pPr>
        <w:pStyle w:val="ListParagraph"/>
        <w:ind w:left="0"/>
        <w:rPr>
          <w:lang w:val="en-US"/>
        </w:rPr>
      </w:pPr>
      <w:r>
        <w:rPr>
          <w:lang w:val="en-US"/>
        </w:rPr>
        <w:t>Do we need to allow the possibility of them joining as a Respondent?</w:t>
      </w:r>
    </w:p>
    <w:p w14:paraId="1B71E0A8" w14:textId="3F9936E9" w:rsidR="00872948" w:rsidRDefault="00872948">
      <w:pPr>
        <w:pStyle w:val="CommentText"/>
      </w:pPr>
    </w:p>
  </w:comment>
  <w:comment w:id="4" w:author="Susan Payne" w:date="2020-06-09T17:52:00Z" w:initials="SP">
    <w:p w14:paraId="693A28B6" w14:textId="1DB30A82" w:rsidR="00872948" w:rsidRDefault="00872948">
      <w:pPr>
        <w:pStyle w:val="CommentText"/>
      </w:pPr>
      <w:r>
        <w:rPr>
          <w:rStyle w:val="CommentReference"/>
        </w:rPr>
        <w:annotationRef/>
      </w:r>
      <w:r>
        <w:t>Is this one of the causes of confusion about the PO status?  There is no IRP Panel at day 15</w:t>
      </w:r>
    </w:p>
  </w:comment>
  <w:comment w:id="5" w:author="Susan Payne" w:date="2020-06-09T18:02:00Z" w:initials="SP">
    <w:p w14:paraId="2E912C7E" w14:textId="4C3E066B" w:rsidR="00F428E9" w:rsidRDefault="00F428E9">
      <w:pPr>
        <w:pStyle w:val="CommentText"/>
      </w:pPr>
      <w:r>
        <w:rPr>
          <w:rStyle w:val="CommentReference"/>
        </w:rPr>
        <w:annotationRef/>
      </w:r>
      <w:r>
        <w:t>This is quite specific, particularly (ii).  Should we consider more general language to cover materially impacted third parties?</w:t>
      </w:r>
    </w:p>
  </w:comment>
  <w:comment w:id="6" w:author="Susan Payne" w:date="2020-06-09T17:54:00Z" w:initials="SP">
    <w:p w14:paraId="321CBF24" w14:textId="190A5239" w:rsidR="00872948" w:rsidRDefault="00872948">
      <w:pPr>
        <w:pStyle w:val="CommentText"/>
      </w:pPr>
      <w:r>
        <w:rPr>
          <w:rStyle w:val="CommentReference"/>
        </w:rPr>
        <w:annotationRef/>
      </w:r>
      <w:r>
        <w:t xml:space="preserve">Rules leave </w:t>
      </w:r>
      <w:r>
        <w:t>access to documents</w:t>
      </w:r>
      <w:r>
        <w:t xml:space="preserve"> to the discretion of the IRP panel (but favouring broad participation</w:t>
      </w:r>
      <w:r>
        <w:t xml:space="preserve"> per the footnote</w:t>
      </w:r>
      <w:r>
        <w:t xml:space="preserve">).  </w:t>
      </w:r>
      <w:r>
        <w:t>Has been flagged as an issue for consideration.</w:t>
      </w:r>
    </w:p>
  </w:comment>
  <w:comment w:id="7" w:author="Susan Payne" w:date="2020-06-09T18:01:00Z" w:initials="SP">
    <w:p w14:paraId="2E209827" w14:textId="0623B782" w:rsidR="00455024" w:rsidRDefault="00455024">
      <w:pPr>
        <w:pStyle w:val="CommentText"/>
      </w:pPr>
      <w:r>
        <w:rPr>
          <w:rStyle w:val="CommentReference"/>
        </w:rPr>
        <w:annotationRef/>
      </w:r>
      <w:r>
        <w:t>Language caused some debate in the Web case.  Should we reconsider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1476C2" w15:done="0"/>
  <w15:commentEx w15:paraId="3C010D94" w15:done="0"/>
  <w15:commentEx w15:paraId="0EF9CD07" w15:done="0"/>
  <w15:commentEx w15:paraId="1B71E0A8" w15:done="0"/>
  <w15:commentEx w15:paraId="693A28B6" w15:done="0"/>
  <w15:commentEx w15:paraId="2E912C7E" w15:done="0"/>
  <w15:commentEx w15:paraId="321CBF24" w15:done="0"/>
  <w15:commentEx w15:paraId="2E2098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49BA" w16cex:dateUtc="2020-06-09T16:47:00Z"/>
  <w16cex:commentExtensible w16cex:durableId="228A4BB6" w16cex:dateUtc="2020-06-09T16:56:00Z"/>
  <w16cex:commentExtensible w16cex:durableId="228A4A4F" w16cex:dateUtc="2020-06-09T16:50:00Z"/>
  <w16cex:commentExtensible w16cex:durableId="228A4C5C" w16cex:dateUtc="2020-06-09T16:58:00Z"/>
  <w16cex:commentExtensible w16cex:durableId="228A4AD8" w16cex:dateUtc="2020-06-09T16:52:00Z"/>
  <w16cex:commentExtensible w16cex:durableId="228A4D46" w16cex:dateUtc="2020-06-09T17:02:00Z"/>
  <w16cex:commentExtensible w16cex:durableId="228A4B47" w16cex:dateUtc="2020-06-09T16:54:00Z"/>
  <w16cex:commentExtensible w16cex:durableId="228A4CF2" w16cex:dateUtc="2020-06-09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476C2" w16cid:durableId="228A49BA"/>
  <w16cid:commentId w16cid:paraId="3C010D94" w16cid:durableId="228A4BB6"/>
  <w16cid:commentId w16cid:paraId="0EF9CD07" w16cid:durableId="228A4A4F"/>
  <w16cid:commentId w16cid:paraId="1B71E0A8" w16cid:durableId="228A4C5C"/>
  <w16cid:commentId w16cid:paraId="693A28B6" w16cid:durableId="228A4AD8"/>
  <w16cid:commentId w16cid:paraId="2E912C7E" w16cid:durableId="228A4D46"/>
  <w16cid:commentId w16cid:paraId="321CBF24" w16cid:durableId="228A4B47"/>
  <w16cid:commentId w16cid:paraId="2E209827" w16cid:durableId="228A4C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C5C7C" w14:textId="77777777" w:rsidR="00B76A7A" w:rsidRDefault="00B76A7A" w:rsidP="00B76A7A">
      <w:pPr>
        <w:spacing w:after="0" w:line="240" w:lineRule="auto"/>
      </w:pPr>
      <w:r>
        <w:separator/>
      </w:r>
    </w:p>
  </w:endnote>
  <w:endnote w:type="continuationSeparator" w:id="0">
    <w:p w14:paraId="65800179" w14:textId="77777777" w:rsidR="00B76A7A" w:rsidRDefault="00B76A7A" w:rsidP="00B7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720961"/>
      <w:docPartObj>
        <w:docPartGallery w:val="Page Numbers (Bottom of Page)"/>
        <w:docPartUnique/>
      </w:docPartObj>
    </w:sdtPr>
    <w:sdtEndPr>
      <w:rPr>
        <w:noProof/>
      </w:rPr>
    </w:sdtEndPr>
    <w:sdtContent>
      <w:p w14:paraId="1772B064" w14:textId="77E25477" w:rsidR="00B76A7A" w:rsidRDefault="00B76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BDBEB" w14:textId="77777777"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D42FF" w14:textId="77777777" w:rsidR="00B76A7A" w:rsidRDefault="00B76A7A" w:rsidP="00B76A7A">
      <w:pPr>
        <w:spacing w:after="0" w:line="240" w:lineRule="auto"/>
      </w:pPr>
      <w:r>
        <w:separator/>
      </w:r>
    </w:p>
  </w:footnote>
  <w:footnote w:type="continuationSeparator" w:id="0">
    <w:p w14:paraId="44B71030" w14:textId="77777777" w:rsidR="00B76A7A" w:rsidRDefault="00B76A7A" w:rsidP="00B76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7A9E"/>
    <w:multiLevelType w:val="hybridMultilevel"/>
    <w:tmpl w:val="8666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291B"/>
    <w:multiLevelType w:val="hybridMultilevel"/>
    <w:tmpl w:val="AC78F13E"/>
    <w:lvl w:ilvl="0" w:tplc="7144C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AD"/>
    <w:rsid w:val="002031AD"/>
    <w:rsid w:val="002700CC"/>
    <w:rsid w:val="00383966"/>
    <w:rsid w:val="00455024"/>
    <w:rsid w:val="00482AE4"/>
    <w:rsid w:val="005072CD"/>
    <w:rsid w:val="00872948"/>
    <w:rsid w:val="00877194"/>
    <w:rsid w:val="00B76A7A"/>
    <w:rsid w:val="00E851F9"/>
    <w:rsid w:val="00F0459E"/>
    <w:rsid w:val="00F42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36E4"/>
  <w15:chartTrackingRefBased/>
  <w15:docId w15:val="{FE350D26-8C62-48F5-AC95-BAA4982E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94"/>
    <w:pPr>
      <w:ind w:left="720"/>
      <w:contextualSpacing/>
    </w:pPr>
  </w:style>
  <w:style w:type="paragraph" w:styleId="Header">
    <w:name w:val="header"/>
    <w:basedOn w:val="Normal"/>
    <w:link w:val="HeaderChar"/>
    <w:uiPriority w:val="99"/>
    <w:unhideWhenUsed/>
    <w:rsid w:val="00B7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7A"/>
  </w:style>
  <w:style w:type="paragraph" w:styleId="Footer">
    <w:name w:val="footer"/>
    <w:basedOn w:val="Normal"/>
    <w:link w:val="FooterChar"/>
    <w:uiPriority w:val="99"/>
    <w:unhideWhenUsed/>
    <w:rsid w:val="00B7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7A"/>
  </w:style>
  <w:style w:type="character" w:styleId="CommentReference">
    <w:name w:val="annotation reference"/>
    <w:basedOn w:val="DefaultParagraphFont"/>
    <w:uiPriority w:val="99"/>
    <w:semiHidden/>
    <w:unhideWhenUsed/>
    <w:rsid w:val="00B76A7A"/>
    <w:rPr>
      <w:sz w:val="16"/>
      <w:szCs w:val="16"/>
    </w:rPr>
  </w:style>
  <w:style w:type="paragraph" w:styleId="CommentText">
    <w:name w:val="annotation text"/>
    <w:basedOn w:val="Normal"/>
    <w:link w:val="CommentTextChar"/>
    <w:uiPriority w:val="99"/>
    <w:semiHidden/>
    <w:unhideWhenUsed/>
    <w:rsid w:val="00B76A7A"/>
    <w:pPr>
      <w:spacing w:line="240" w:lineRule="auto"/>
    </w:pPr>
    <w:rPr>
      <w:sz w:val="20"/>
      <w:szCs w:val="20"/>
    </w:rPr>
  </w:style>
  <w:style w:type="character" w:customStyle="1" w:styleId="CommentTextChar">
    <w:name w:val="Comment Text Char"/>
    <w:basedOn w:val="DefaultParagraphFont"/>
    <w:link w:val="CommentText"/>
    <w:uiPriority w:val="99"/>
    <w:semiHidden/>
    <w:rsid w:val="00B76A7A"/>
    <w:rPr>
      <w:sz w:val="20"/>
      <w:szCs w:val="20"/>
    </w:rPr>
  </w:style>
  <w:style w:type="paragraph" w:styleId="CommentSubject">
    <w:name w:val="annotation subject"/>
    <w:basedOn w:val="CommentText"/>
    <w:next w:val="CommentText"/>
    <w:link w:val="CommentSubjectChar"/>
    <w:uiPriority w:val="99"/>
    <w:semiHidden/>
    <w:unhideWhenUsed/>
    <w:rsid w:val="00B76A7A"/>
    <w:rPr>
      <w:b/>
      <w:bCs/>
    </w:rPr>
  </w:style>
  <w:style w:type="character" w:customStyle="1" w:styleId="CommentSubjectChar">
    <w:name w:val="Comment Subject Char"/>
    <w:basedOn w:val="CommentTextChar"/>
    <w:link w:val="CommentSubject"/>
    <w:uiPriority w:val="99"/>
    <w:semiHidden/>
    <w:rsid w:val="00B76A7A"/>
    <w:rPr>
      <w:b/>
      <w:bCs/>
      <w:sz w:val="20"/>
      <w:szCs w:val="20"/>
    </w:rPr>
  </w:style>
  <w:style w:type="paragraph" w:styleId="BalloonText">
    <w:name w:val="Balloon Text"/>
    <w:basedOn w:val="Normal"/>
    <w:link w:val="BalloonTextChar"/>
    <w:uiPriority w:val="99"/>
    <w:semiHidden/>
    <w:unhideWhenUsed/>
    <w:rsid w:val="00B7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8789">
      <w:bodyDiv w:val="1"/>
      <w:marLeft w:val="0"/>
      <w:marRight w:val="0"/>
      <w:marTop w:val="0"/>
      <w:marBottom w:val="0"/>
      <w:divBdr>
        <w:top w:val="none" w:sz="0" w:space="0" w:color="auto"/>
        <w:left w:val="none" w:sz="0" w:space="0" w:color="auto"/>
        <w:bottom w:val="none" w:sz="0" w:space="0" w:color="auto"/>
        <w:right w:val="none" w:sz="0" w:space="0" w:color="auto"/>
      </w:divBdr>
    </w:div>
    <w:div w:id="762258682">
      <w:bodyDiv w:val="1"/>
      <w:marLeft w:val="0"/>
      <w:marRight w:val="0"/>
      <w:marTop w:val="0"/>
      <w:marBottom w:val="0"/>
      <w:divBdr>
        <w:top w:val="none" w:sz="0" w:space="0" w:color="auto"/>
        <w:left w:val="none" w:sz="0" w:space="0" w:color="auto"/>
        <w:bottom w:val="none" w:sz="0" w:space="0" w:color="auto"/>
        <w:right w:val="none" w:sz="0" w:space="0" w:color="auto"/>
      </w:divBdr>
    </w:div>
    <w:div w:id="892274352">
      <w:bodyDiv w:val="1"/>
      <w:marLeft w:val="0"/>
      <w:marRight w:val="0"/>
      <w:marTop w:val="0"/>
      <w:marBottom w:val="0"/>
      <w:divBdr>
        <w:top w:val="none" w:sz="0" w:space="0" w:color="auto"/>
        <w:left w:val="none" w:sz="0" w:space="0" w:color="auto"/>
        <w:bottom w:val="none" w:sz="0" w:space="0" w:color="auto"/>
        <w:right w:val="none" w:sz="0" w:space="0" w:color="auto"/>
      </w:divBdr>
      <w:divsChild>
        <w:div w:id="1745833107">
          <w:marLeft w:val="0"/>
          <w:marRight w:val="0"/>
          <w:marTop w:val="15"/>
          <w:marBottom w:val="0"/>
          <w:divBdr>
            <w:top w:val="none" w:sz="0" w:space="0" w:color="auto"/>
            <w:left w:val="none" w:sz="0" w:space="0" w:color="auto"/>
            <w:bottom w:val="none" w:sz="0" w:space="0" w:color="auto"/>
            <w:right w:val="none" w:sz="0" w:space="0" w:color="auto"/>
          </w:divBdr>
          <w:divsChild>
            <w:div w:id="1732268110">
              <w:marLeft w:val="0"/>
              <w:marRight w:val="0"/>
              <w:marTop w:val="0"/>
              <w:marBottom w:val="0"/>
              <w:divBdr>
                <w:top w:val="none" w:sz="0" w:space="0" w:color="auto"/>
                <w:left w:val="none" w:sz="0" w:space="0" w:color="auto"/>
                <w:bottom w:val="none" w:sz="0" w:space="0" w:color="auto"/>
                <w:right w:val="none" w:sz="0" w:space="0" w:color="auto"/>
              </w:divBdr>
              <w:divsChild>
                <w:div w:id="490829113">
                  <w:marLeft w:val="0"/>
                  <w:marRight w:val="0"/>
                  <w:marTop w:val="0"/>
                  <w:marBottom w:val="0"/>
                  <w:divBdr>
                    <w:top w:val="none" w:sz="0" w:space="0" w:color="auto"/>
                    <w:left w:val="none" w:sz="0" w:space="0" w:color="auto"/>
                    <w:bottom w:val="none" w:sz="0" w:space="0" w:color="auto"/>
                    <w:right w:val="none" w:sz="0" w:space="0" w:color="auto"/>
                  </w:divBdr>
                </w:div>
                <w:div w:id="1045371165">
                  <w:marLeft w:val="0"/>
                  <w:marRight w:val="0"/>
                  <w:marTop w:val="0"/>
                  <w:marBottom w:val="0"/>
                  <w:divBdr>
                    <w:top w:val="none" w:sz="0" w:space="0" w:color="auto"/>
                    <w:left w:val="none" w:sz="0" w:space="0" w:color="auto"/>
                    <w:bottom w:val="none" w:sz="0" w:space="0" w:color="auto"/>
                    <w:right w:val="none" w:sz="0" w:space="0" w:color="auto"/>
                  </w:divBdr>
                </w:div>
                <w:div w:id="2025282800">
                  <w:marLeft w:val="0"/>
                  <w:marRight w:val="0"/>
                  <w:marTop w:val="0"/>
                  <w:marBottom w:val="0"/>
                  <w:divBdr>
                    <w:top w:val="none" w:sz="0" w:space="0" w:color="auto"/>
                    <w:left w:val="none" w:sz="0" w:space="0" w:color="auto"/>
                    <w:bottom w:val="none" w:sz="0" w:space="0" w:color="auto"/>
                    <w:right w:val="none" w:sz="0" w:space="0" w:color="auto"/>
                  </w:divBdr>
                </w:div>
                <w:div w:id="95368262">
                  <w:marLeft w:val="0"/>
                  <w:marRight w:val="0"/>
                  <w:marTop w:val="0"/>
                  <w:marBottom w:val="0"/>
                  <w:divBdr>
                    <w:top w:val="none" w:sz="0" w:space="0" w:color="auto"/>
                    <w:left w:val="none" w:sz="0" w:space="0" w:color="auto"/>
                    <w:bottom w:val="none" w:sz="0" w:space="0" w:color="auto"/>
                    <w:right w:val="none" w:sz="0" w:space="0" w:color="auto"/>
                  </w:divBdr>
                </w:div>
                <w:div w:id="1738816973">
                  <w:marLeft w:val="0"/>
                  <w:marRight w:val="0"/>
                  <w:marTop w:val="0"/>
                  <w:marBottom w:val="0"/>
                  <w:divBdr>
                    <w:top w:val="none" w:sz="0" w:space="0" w:color="auto"/>
                    <w:left w:val="none" w:sz="0" w:space="0" w:color="auto"/>
                    <w:bottom w:val="none" w:sz="0" w:space="0" w:color="auto"/>
                    <w:right w:val="none" w:sz="0" w:space="0" w:color="auto"/>
                  </w:divBdr>
                </w:div>
                <w:div w:id="51388563">
                  <w:marLeft w:val="0"/>
                  <w:marRight w:val="0"/>
                  <w:marTop w:val="0"/>
                  <w:marBottom w:val="0"/>
                  <w:divBdr>
                    <w:top w:val="none" w:sz="0" w:space="0" w:color="auto"/>
                    <w:left w:val="none" w:sz="0" w:space="0" w:color="auto"/>
                    <w:bottom w:val="none" w:sz="0" w:space="0" w:color="auto"/>
                    <w:right w:val="none" w:sz="0" w:space="0" w:color="auto"/>
                  </w:divBdr>
                </w:div>
                <w:div w:id="892734266">
                  <w:marLeft w:val="0"/>
                  <w:marRight w:val="0"/>
                  <w:marTop w:val="0"/>
                  <w:marBottom w:val="0"/>
                  <w:divBdr>
                    <w:top w:val="none" w:sz="0" w:space="0" w:color="auto"/>
                    <w:left w:val="none" w:sz="0" w:space="0" w:color="auto"/>
                    <w:bottom w:val="none" w:sz="0" w:space="0" w:color="auto"/>
                    <w:right w:val="none" w:sz="0" w:space="0" w:color="auto"/>
                  </w:divBdr>
                </w:div>
                <w:div w:id="788552236">
                  <w:marLeft w:val="0"/>
                  <w:marRight w:val="0"/>
                  <w:marTop w:val="0"/>
                  <w:marBottom w:val="0"/>
                  <w:divBdr>
                    <w:top w:val="none" w:sz="0" w:space="0" w:color="auto"/>
                    <w:left w:val="none" w:sz="0" w:space="0" w:color="auto"/>
                    <w:bottom w:val="none" w:sz="0" w:space="0" w:color="auto"/>
                    <w:right w:val="none" w:sz="0" w:space="0" w:color="auto"/>
                  </w:divBdr>
                </w:div>
                <w:div w:id="1980183763">
                  <w:marLeft w:val="0"/>
                  <w:marRight w:val="0"/>
                  <w:marTop w:val="0"/>
                  <w:marBottom w:val="0"/>
                  <w:divBdr>
                    <w:top w:val="none" w:sz="0" w:space="0" w:color="auto"/>
                    <w:left w:val="none" w:sz="0" w:space="0" w:color="auto"/>
                    <w:bottom w:val="none" w:sz="0" w:space="0" w:color="auto"/>
                    <w:right w:val="none" w:sz="0" w:space="0" w:color="auto"/>
                  </w:divBdr>
                </w:div>
                <w:div w:id="198011855">
                  <w:marLeft w:val="0"/>
                  <w:marRight w:val="0"/>
                  <w:marTop w:val="0"/>
                  <w:marBottom w:val="0"/>
                  <w:divBdr>
                    <w:top w:val="none" w:sz="0" w:space="0" w:color="auto"/>
                    <w:left w:val="none" w:sz="0" w:space="0" w:color="auto"/>
                    <w:bottom w:val="none" w:sz="0" w:space="0" w:color="auto"/>
                    <w:right w:val="none" w:sz="0" w:space="0" w:color="auto"/>
                  </w:divBdr>
                </w:div>
                <w:div w:id="284583936">
                  <w:marLeft w:val="0"/>
                  <w:marRight w:val="0"/>
                  <w:marTop w:val="0"/>
                  <w:marBottom w:val="0"/>
                  <w:divBdr>
                    <w:top w:val="none" w:sz="0" w:space="0" w:color="auto"/>
                    <w:left w:val="none" w:sz="0" w:space="0" w:color="auto"/>
                    <w:bottom w:val="none" w:sz="0" w:space="0" w:color="auto"/>
                    <w:right w:val="none" w:sz="0" w:space="0" w:color="auto"/>
                  </w:divBdr>
                </w:div>
                <w:div w:id="1680766437">
                  <w:marLeft w:val="0"/>
                  <w:marRight w:val="0"/>
                  <w:marTop w:val="0"/>
                  <w:marBottom w:val="0"/>
                  <w:divBdr>
                    <w:top w:val="none" w:sz="0" w:space="0" w:color="auto"/>
                    <w:left w:val="none" w:sz="0" w:space="0" w:color="auto"/>
                    <w:bottom w:val="none" w:sz="0" w:space="0" w:color="auto"/>
                    <w:right w:val="none" w:sz="0" w:space="0" w:color="auto"/>
                  </w:divBdr>
                </w:div>
                <w:div w:id="257687791">
                  <w:marLeft w:val="0"/>
                  <w:marRight w:val="0"/>
                  <w:marTop w:val="0"/>
                  <w:marBottom w:val="0"/>
                  <w:divBdr>
                    <w:top w:val="none" w:sz="0" w:space="0" w:color="auto"/>
                    <w:left w:val="none" w:sz="0" w:space="0" w:color="auto"/>
                    <w:bottom w:val="none" w:sz="0" w:space="0" w:color="auto"/>
                    <w:right w:val="none" w:sz="0" w:space="0" w:color="auto"/>
                  </w:divBdr>
                </w:div>
                <w:div w:id="1346126203">
                  <w:marLeft w:val="0"/>
                  <w:marRight w:val="0"/>
                  <w:marTop w:val="0"/>
                  <w:marBottom w:val="0"/>
                  <w:divBdr>
                    <w:top w:val="none" w:sz="0" w:space="0" w:color="auto"/>
                    <w:left w:val="none" w:sz="0" w:space="0" w:color="auto"/>
                    <w:bottom w:val="none" w:sz="0" w:space="0" w:color="auto"/>
                    <w:right w:val="none" w:sz="0" w:space="0" w:color="auto"/>
                  </w:divBdr>
                </w:div>
                <w:div w:id="503403634">
                  <w:marLeft w:val="0"/>
                  <w:marRight w:val="0"/>
                  <w:marTop w:val="0"/>
                  <w:marBottom w:val="0"/>
                  <w:divBdr>
                    <w:top w:val="none" w:sz="0" w:space="0" w:color="auto"/>
                    <w:left w:val="none" w:sz="0" w:space="0" w:color="auto"/>
                    <w:bottom w:val="none" w:sz="0" w:space="0" w:color="auto"/>
                    <w:right w:val="none" w:sz="0" w:space="0" w:color="auto"/>
                  </w:divBdr>
                </w:div>
                <w:div w:id="839273171">
                  <w:marLeft w:val="0"/>
                  <w:marRight w:val="0"/>
                  <w:marTop w:val="0"/>
                  <w:marBottom w:val="0"/>
                  <w:divBdr>
                    <w:top w:val="none" w:sz="0" w:space="0" w:color="auto"/>
                    <w:left w:val="none" w:sz="0" w:space="0" w:color="auto"/>
                    <w:bottom w:val="none" w:sz="0" w:space="0" w:color="auto"/>
                    <w:right w:val="none" w:sz="0" w:space="0" w:color="auto"/>
                  </w:divBdr>
                </w:div>
                <w:div w:id="746926274">
                  <w:marLeft w:val="0"/>
                  <w:marRight w:val="0"/>
                  <w:marTop w:val="0"/>
                  <w:marBottom w:val="0"/>
                  <w:divBdr>
                    <w:top w:val="none" w:sz="0" w:space="0" w:color="auto"/>
                    <w:left w:val="none" w:sz="0" w:space="0" w:color="auto"/>
                    <w:bottom w:val="none" w:sz="0" w:space="0" w:color="auto"/>
                    <w:right w:val="none" w:sz="0" w:space="0" w:color="auto"/>
                  </w:divBdr>
                </w:div>
                <w:div w:id="174156900">
                  <w:marLeft w:val="0"/>
                  <w:marRight w:val="0"/>
                  <w:marTop w:val="0"/>
                  <w:marBottom w:val="0"/>
                  <w:divBdr>
                    <w:top w:val="none" w:sz="0" w:space="0" w:color="auto"/>
                    <w:left w:val="none" w:sz="0" w:space="0" w:color="auto"/>
                    <w:bottom w:val="none" w:sz="0" w:space="0" w:color="auto"/>
                    <w:right w:val="none" w:sz="0" w:space="0" w:color="auto"/>
                  </w:divBdr>
                </w:div>
                <w:div w:id="1867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1896">
          <w:marLeft w:val="0"/>
          <w:marRight w:val="0"/>
          <w:marTop w:val="15"/>
          <w:marBottom w:val="0"/>
          <w:divBdr>
            <w:top w:val="none" w:sz="0" w:space="0" w:color="auto"/>
            <w:left w:val="none" w:sz="0" w:space="0" w:color="auto"/>
            <w:bottom w:val="none" w:sz="0" w:space="0" w:color="auto"/>
            <w:right w:val="none" w:sz="0" w:space="0" w:color="auto"/>
          </w:divBdr>
          <w:divsChild>
            <w:div w:id="2071034556">
              <w:marLeft w:val="0"/>
              <w:marRight w:val="0"/>
              <w:marTop w:val="0"/>
              <w:marBottom w:val="0"/>
              <w:divBdr>
                <w:top w:val="none" w:sz="0" w:space="0" w:color="auto"/>
                <w:left w:val="none" w:sz="0" w:space="0" w:color="auto"/>
                <w:bottom w:val="none" w:sz="0" w:space="0" w:color="auto"/>
                <w:right w:val="none" w:sz="0" w:space="0" w:color="auto"/>
              </w:divBdr>
              <w:divsChild>
                <w:div w:id="1106386412">
                  <w:marLeft w:val="0"/>
                  <w:marRight w:val="0"/>
                  <w:marTop w:val="0"/>
                  <w:marBottom w:val="0"/>
                  <w:divBdr>
                    <w:top w:val="none" w:sz="0" w:space="0" w:color="auto"/>
                    <w:left w:val="none" w:sz="0" w:space="0" w:color="auto"/>
                    <w:bottom w:val="none" w:sz="0" w:space="0" w:color="auto"/>
                    <w:right w:val="none" w:sz="0" w:space="0" w:color="auto"/>
                  </w:divBdr>
                </w:div>
                <w:div w:id="1723870517">
                  <w:marLeft w:val="0"/>
                  <w:marRight w:val="0"/>
                  <w:marTop w:val="0"/>
                  <w:marBottom w:val="0"/>
                  <w:divBdr>
                    <w:top w:val="none" w:sz="0" w:space="0" w:color="auto"/>
                    <w:left w:val="none" w:sz="0" w:space="0" w:color="auto"/>
                    <w:bottom w:val="none" w:sz="0" w:space="0" w:color="auto"/>
                    <w:right w:val="none" w:sz="0" w:space="0" w:color="auto"/>
                  </w:divBdr>
                </w:div>
                <w:div w:id="1325545256">
                  <w:marLeft w:val="0"/>
                  <w:marRight w:val="0"/>
                  <w:marTop w:val="0"/>
                  <w:marBottom w:val="0"/>
                  <w:divBdr>
                    <w:top w:val="none" w:sz="0" w:space="0" w:color="auto"/>
                    <w:left w:val="none" w:sz="0" w:space="0" w:color="auto"/>
                    <w:bottom w:val="none" w:sz="0" w:space="0" w:color="auto"/>
                    <w:right w:val="none" w:sz="0" w:space="0" w:color="auto"/>
                  </w:divBdr>
                </w:div>
                <w:div w:id="3886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6</cp:revision>
  <dcterms:created xsi:type="dcterms:W3CDTF">2020-06-09T16:38:00Z</dcterms:created>
  <dcterms:modified xsi:type="dcterms:W3CDTF">2020-06-09T17:26:00Z</dcterms:modified>
</cp:coreProperties>
</file>