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A85A" w14:textId="77777777" w:rsidR="00DA4727" w:rsidRPr="00857D23" w:rsidRDefault="00DA4727" w:rsidP="00DA4727">
      <w:pPr>
        <w:spacing w:after="0" w:line="240" w:lineRule="auto"/>
        <w:outlineLvl w:val="0"/>
        <w:rPr>
          <w:rFonts w:eastAsia="Times New Roman" w:cs="Arial"/>
          <w:bCs/>
          <w:color w:val="000000"/>
          <w:kern w:val="36"/>
          <w:sz w:val="24"/>
          <w:szCs w:val="24"/>
        </w:rPr>
      </w:pPr>
    </w:p>
    <w:p w14:paraId="50C531CD" w14:textId="77777777" w:rsidR="00DA4727" w:rsidRPr="00857D23" w:rsidRDefault="00DA4727" w:rsidP="00DA4727">
      <w:pPr>
        <w:pStyle w:val="z-TopofForm"/>
        <w:rPr>
          <w:rFonts w:asciiTheme="minorHAnsi" w:hAnsiTheme="minorHAnsi"/>
          <w:sz w:val="24"/>
          <w:szCs w:val="24"/>
        </w:rPr>
      </w:pPr>
      <w:r w:rsidRPr="00857D23">
        <w:rPr>
          <w:rFonts w:asciiTheme="minorHAnsi" w:hAnsiTheme="minorHAnsi"/>
          <w:sz w:val="24"/>
          <w:szCs w:val="24"/>
        </w:rPr>
        <w:t>Top of Form</w:t>
      </w:r>
    </w:p>
    <w:tbl>
      <w:tblPr>
        <w:tblW w:w="13176"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050"/>
        <w:gridCol w:w="1440"/>
        <w:gridCol w:w="4608"/>
      </w:tblGrid>
      <w:tr w:rsidR="00DA4727" w:rsidRPr="00857D23" w14:paraId="0298FAB8" w14:textId="77777777" w:rsidTr="004B0077">
        <w:trPr>
          <w:cantSplit/>
          <w:trHeight w:hRule="exact" w:val="720"/>
        </w:trPr>
        <w:tc>
          <w:tcPr>
            <w:tcW w:w="13176" w:type="dxa"/>
            <w:gridSpan w:val="4"/>
            <w:shd w:val="clear" w:color="auto" w:fill="17365D"/>
            <w:vAlign w:val="center"/>
          </w:tcPr>
          <w:p w14:paraId="38146CA6" w14:textId="56C81945" w:rsidR="00DA4727" w:rsidRPr="001D1B2A" w:rsidRDefault="001D1B2A" w:rsidP="001D1B2A">
            <w:pPr>
              <w:spacing w:after="0" w:line="240" w:lineRule="auto"/>
              <w:rPr>
                <w:sz w:val="24"/>
                <w:szCs w:val="24"/>
              </w:rPr>
            </w:pPr>
            <w:r>
              <w:rPr>
                <w:sz w:val="24"/>
                <w:szCs w:val="24"/>
              </w:rPr>
              <w:t xml:space="preserve">CCWG-Accountability WS2 Jurisdiction Subgroup Draft </w:t>
            </w:r>
            <w:r w:rsidRPr="001D1B2A">
              <w:rPr>
                <w:sz w:val="24"/>
                <w:szCs w:val="24"/>
              </w:rPr>
              <w:t>Recommendations</w:t>
            </w:r>
          </w:p>
        </w:tc>
      </w:tr>
      <w:tr w:rsidR="00DA4727" w:rsidRPr="00857D23" w14:paraId="4AAFEEFC" w14:textId="77777777" w:rsidTr="004B0077">
        <w:trPr>
          <w:trHeight w:val="503"/>
        </w:trPr>
        <w:tc>
          <w:tcPr>
            <w:tcW w:w="3078" w:type="dxa"/>
            <w:shd w:val="clear" w:color="auto" w:fill="F2F2F2"/>
            <w:vAlign w:val="center"/>
          </w:tcPr>
          <w:p w14:paraId="41D71339" w14:textId="77777777" w:rsidR="00DA4727" w:rsidRPr="00857D23" w:rsidRDefault="00DA4727" w:rsidP="0019253C">
            <w:pPr>
              <w:spacing w:after="0" w:line="240" w:lineRule="auto"/>
              <w:rPr>
                <w:rFonts w:cs="Arial"/>
                <w:b/>
                <w:sz w:val="24"/>
                <w:szCs w:val="24"/>
              </w:rPr>
            </w:pPr>
            <w:r w:rsidRPr="00857D23">
              <w:rPr>
                <w:rFonts w:cs="Arial"/>
                <w:b/>
                <w:sz w:val="24"/>
                <w:szCs w:val="24"/>
              </w:rPr>
              <w:t>Open Date:</w:t>
            </w:r>
          </w:p>
        </w:tc>
        <w:tc>
          <w:tcPr>
            <w:tcW w:w="4050" w:type="dxa"/>
            <w:shd w:val="clear" w:color="auto" w:fill="auto"/>
            <w:vAlign w:val="center"/>
          </w:tcPr>
          <w:p w14:paraId="73095C41" w14:textId="45771115" w:rsidR="00DA4727" w:rsidRPr="00857D23" w:rsidRDefault="008D6DFC" w:rsidP="0019253C">
            <w:pPr>
              <w:spacing w:after="0" w:line="240" w:lineRule="auto"/>
              <w:rPr>
                <w:rFonts w:cs="Arial"/>
                <w:sz w:val="24"/>
                <w:szCs w:val="24"/>
              </w:rPr>
            </w:pPr>
            <w:r>
              <w:rPr>
                <w:rFonts w:cs="Arial"/>
                <w:sz w:val="24"/>
                <w:szCs w:val="24"/>
              </w:rPr>
              <w:t xml:space="preserve">XX </w:t>
            </w:r>
            <w:r w:rsidR="00AC3FA0">
              <w:rPr>
                <w:rFonts w:cs="Arial"/>
                <w:sz w:val="24"/>
                <w:szCs w:val="24"/>
              </w:rPr>
              <w:t>June</w:t>
            </w:r>
            <w:r w:rsidR="008846B1">
              <w:rPr>
                <w:rFonts w:cs="Arial"/>
                <w:sz w:val="24"/>
                <w:szCs w:val="24"/>
              </w:rPr>
              <w:t xml:space="preserve"> 201</w:t>
            </w:r>
            <w:r w:rsidR="00AC3FA0">
              <w:rPr>
                <w:rFonts w:cs="Arial"/>
                <w:sz w:val="24"/>
                <w:szCs w:val="24"/>
              </w:rPr>
              <w:t>8</w:t>
            </w:r>
          </w:p>
        </w:tc>
        <w:tc>
          <w:tcPr>
            <w:tcW w:w="1440" w:type="dxa"/>
            <w:shd w:val="clear" w:color="auto" w:fill="F2F2F2"/>
            <w:vAlign w:val="center"/>
          </w:tcPr>
          <w:p w14:paraId="492525B2" w14:textId="77777777" w:rsidR="00DA4727" w:rsidRPr="00857D23" w:rsidRDefault="00DA4727" w:rsidP="0019253C">
            <w:pPr>
              <w:spacing w:after="0" w:line="240" w:lineRule="auto"/>
              <w:rPr>
                <w:rFonts w:cs="Arial"/>
                <w:b/>
                <w:sz w:val="24"/>
                <w:szCs w:val="24"/>
              </w:rPr>
            </w:pPr>
            <w:r w:rsidRPr="00857D23">
              <w:rPr>
                <w:rFonts w:cs="Arial"/>
                <w:b/>
                <w:sz w:val="24"/>
                <w:szCs w:val="24"/>
              </w:rPr>
              <w:t xml:space="preserve">Close Date: </w:t>
            </w:r>
          </w:p>
        </w:tc>
        <w:tc>
          <w:tcPr>
            <w:tcW w:w="4608" w:type="dxa"/>
            <w:shd w:val="clear" w:color="auto" w:fill="auto"/>
            <w:vAlign w:val="center"/>
          </w:tcPr>
          <w:p w14:paraId="3123EFB6" w14:textId="0B9DAE2B" w:rsidR="00DA4727" w:rsidRPr="00857D23" w:rsidRDefault="00B018E5" w:rsidP="0019253C">
            <w:pPr>
              <w:spacing w:after="0" w:line="240" w:lineRule="auto"/>
              <w:rPr>
                <w:rFonts w:cs="Arial"/>
                <w:sz w:val="24"/>
                <w:szCs w:val="24"/>
              </w:rPr>
            </w:pPr>
            <w:r>
              <w:rPr>
                <w:rFonts w:cs="Arial"/>
                <w:sz w:val="24"/>
                <w:szCs w:val="24"/>
              </w:rPr>
              <w:t xml:space="preserve">XX </w:t>
            </w:r>
            <w:r w:rsidR="00AC3FA0">
              <w:rPr>
                <w:rFonts w:cs="Arial"/>
                <w:sz w:val="24"/>
                <w:szCs w:val="24"/>
              </w:rPr>
              <w:t>August 2018</w:t>
            </w:r>
          </w:p>
        </w:tc>
      </w:tr>
      <w:tr w:rsidR="00DA4727" w:rsidRPr="00857D23" w14:paraId="4E8EC7A3" w14:textId="77777777" w:rsidTr="004B0077">
        <w:trPr>
          <w:trHeight w:val="503"/>
        </w:trPr>
        <w:tc>
          <w:tcPr>
            <w:tcW w:w="3078" w:type="dxa"/>
            <w:shd w:val="clear" w:color="auto" w:fill="F2F2F2"/>
            <w:vAlign w:val="center"/>
          </w:tcPr>
          <w:p w14:paraId="5A701987" w14:textId="77777777" w:rsidR="00DA4727" w:rsidRPr="00857D23" w:rsidRDefault="00DA4727" w:rsidP="0019253C">
            <w:pPr>
              <w:spacing w:after="0" w:line="240" w:lineRule="auto"/>
              <w:rPr>
                <w:rFonts w:cs="Arial"/>
                <w:b/>
                <w:sz w:val="24"/>
                <w:szCs w:val="24"/>
              </w:rPr>
            </w:pPr>
            <w:r w:rsidRPr="00857D23">
              <w:rPr>
                <w:rFonts w:cs="Arial"/>
                <w:b/>
                <w:sz w:val="24"/>
                <w:szCs w:val="24"/>
              </w:rPr>
              <w:t>Originating Organization:</w:t>
            </w:r>
          </w:p>
        </w:tc>
        <w:tc>
          <w:tcPr>
            <w:tcW w:w="10098" w:type="dxa"/>
            <w:gridSpan w:val="3"/>
            <w:shd w:val="clear" w:color="auto" w:fill="auto"/>
            <w:vAlign w:val="center"/>
          </w:tcPr>
          <w:p w14:paraId="19904409" w14:textId="77777777" w:rsidR="00DA4727" w:rsidRPr="00857D23" w:rsidRDefault="00DA4727" w:rsidP="0019253C">
            <w:pPr>
              <w:spacing w:after="0" w:line="240" w:lineRule="auto"/>
              <w:rPr>
                <w:rFonts w:cs="Arial"/>
                <w:sz w:val="24"/>
                <w:szCs w:val="24"/>
              </w:rPr>
            </w:pPr>
            <w:r w:rsidRPr="00857D23">
              <w:rPr>
                <w:rFonts w:cs="Arial"/>
                <w:sz w:val="24"/>
                <w:szCs w:val="24"/>
              </w:rPr>
              <w:t>Cross Community Working Group on Enhancing ICANN Accountability (CCWG-Accountability)</w:t>
            </w:r>
          </w:p>
        </w:tc>
      </w:tr>
      <w:tr w:rsidR="00DA4727" w:rsidRPr="00857D23" w14:paraId="4948D2D1" w14:textId="77777777" w:rsidTr="004B0077">
        <w:trPr>
          <w:trHeight w:val="503"/>
        </w:trPr>
        <w:tc>
          <w:tcPr>
            <w:tcW w:w="3078" w:type="dxa"/>
            <w:shd w:val="clear" w:color="auto" w:fill="F2F2F2"/>
            <w:vAlign w:val="center"/>
          </w:tcPr>
          <w:p w14:paraId="568DA529" w14:textId="77777777" w:rsidR="00DA4727" w:rsidRPr="00857D23" w:rsidRDefault="00DA4727" w:rsidP="0019253C">
            <w:pPr>
              <w:spacing w:after="0" w:line="240" w:lineRule="auto"/>
              <w:rPr>
                <w:rFonts w:cs="Arial"/>
                <w:b/>
                <w:sz w:val="24"/>
                <w:szCs w:val="24"/>
              </w:rPr>
            </w:pPr>
            <w:r w:rsidRPr="00857D23">
              <w:rPr>
                <w:rFonts w:cs="Arial"/>
                <w:b/>
                <w:sz w:val="24"/>
                <w:szCs w:val="24"/>
              </w:rPr>
              <w:t>Categories/Tags:</w:t>
            </w:r>
          </w:p>
        </w:tc>
        <w:tc>
          <w:tcPr>
            <w:tcW w:w="10098" w:type="dxa"/>
            <w:gridSpan w:val="3"/>
            <w:shd w:val="clear" w:color="auto" w:fill="auto"/>
            <w:vAlign w:val="center"/>
          </w:tcPr>
          <w:p w14:paraId="670F1941" w14:textId="51AE3C43" w:rsidR="00DA4727" w:rsidRPr="00B018E5" w:rsidRDefault="008D6DFC" w:rsidP="00B018E5">
            <w:pPr>
              <w:numPr>
                <w:ilvl w:val="0"/>
                <w:numId w:val="3"/>
              </w:numPr>
              <w:spacing w:after="0" w:line="240" w:lineRule="auto"/>
              <w:rPr>
                <w:sz w:val="24"/>
                <w:szCs w:val="24"/>
              </w:rPr>
            </w:pPr>
            <w:proofErr w:type="spellStart"/>
            <w:r>
              <w:rPr>
                <w:rStyle w:val="apple-style-span"/>
                <w:color w:val="000000"/>
                <w:sz w:val="24"/>
                <w:szCs w:val="24"/>
                <w:shd w:val="clear" w:color="auto" w:fill="FFFFFF"/>
              </w:rPr>
              <w:t>accounability</w:t>
            </w:r>
            <w:proofErr w:type="spellEnd"/>
          </w:p>
        </w:tc>
      </w:tr>
      <w:tr w:rsidR="00DA4727" w:rsidRPr="00857D23" w14:paraId="1C3A8255" w14:textId="77777777" w:rsidTr="004B0077">
        <w:trPr>
          <w:trHeight w:val="503"/>
        </w:trPr>
        <w:tc>
          <w:tcPr>
            <w:tcW w:w="3078" w:type="dxa"/>
            <w:shd w:val="clear" w:color="auto" w:fill="F2F2F2"/>
            <w:vAlign w:val="center"/>
          </w:tcPr>
          <w:p w14:paraId="09CC6D9A" w14:textId="77777777" w:rsidR="00DA4727" w:rsidRPr="00857D23" w:rsidRDefault="00DA4727" w:rsidP="0019253C">
            <w:pPr>
              <w:spacing w:after="0" w:line="240" w:lineRule="auto"/>
              <w:rPr>
                <w:rFonts w:cs="Arial"/>
                <w:b/>
                <w:sz w:val="24"/>
                <w:szCs w:val="24"/>
              </w:rPr>
            </w:pPr>
            <w:r w:rsidRPr="00857D23">
              <w:rPr>
                <w:rFonts w:cs="Arial"/>
                <w:b/>
                <w:sz w:val="24"/>
                <w:szCs w:val="24"/>
              </w:rPr>
              <w:t xml:space="preserve">Brief Overview: </w:t>
            </w:r>
          </w:p>
        </w:tc>
        <w:tc>
          <w:tcPr>
            <w:tcW w:w="10098" w:type="dxa"/>
            <w:gridSpan w:val="3"/>
            <w:shd w:val="clear" w:color="auto" w:fill="auto"/>
            <w:vAlign w:val="center"/>
          </w:tcPr>
          <w:p w14:paraId="02955FFA" w14:textId="77777777" w:rsidR="00DA4727" w:rsidRPr="00857D23" w:rsidRDefault="00DA4727" w:rsidP="0019253C">
            <w:pPr>
              <w:spacing w:after="0" w:line="240" w:lineRule="auto"/>
              <w:rPr>
                <w:rFonts w:cs="Arial"/>
                <w:sz w:val="24"/>
                <w:szCs w:val="24"/>
              </w:rPr>
            </w:pPr>
          </w:p>
          <w:p w14:paraId="378FA1AF" w14:textId="77777777" w:rsidR="00DA4727" w:rsidRPr="00857D23" w:rsidRDefault="00DA4727" w:rsidP="0019253C">
            <w:pPr>
              <w:spacing w:after="0" w:line="240" w:lineRule="auto"/>
              <w:rPr>
                <w:rFonts w:cs="Arial"/>
                <w:sz w:val="24"/>
                <w:szCs w:val="24"/>
              </w:rPr>
            </w:pPr>
            <w:r w:rsidRPr="00857D23">
              <w:rPr>
                <w:rFonts w:cs="Arial"/>
                <w:sz w:val="24"/>
                <w:szCs w:val="24"/>
              </w:rPr>
              <w:t>(see below)</w:t>
            </w:r>
          </w:p>
        </w:tc>
      </w:tr>
      <w:tr w:rsidR="00DA4727" w:rsidRPr="00857D23" w14:paraId="75E8F3FB" w14:textId="77777777" w:rsidTr="004B0077">
        <w:trPr>
          <w:trHeight w:hRule="exact" w:val="550"/>
        </w:trPr>
        <w:tc>
          <w:tcPr>
            <w:tcW w:w="3078" w:type="dxa"/>
            <w:shd w:val="clear" w:color="auto" w:fill="F2F2F2"/>
            <w:vAlign w:val="center"/>
          </w:tcPr>
          <w:p w14:paraId="0BA6B380" w14:textId="77777777" w:rsidR="00DA4727" w:rsidRPr="00857D23" w:rsidRDefault="00DA4727" w:rsidP="0019253C">
            <w:pPr>
              <w:spacing w:after="0" w:line="240" w:lineRule="auto"/>
              <w:rPr>
                <w:rFonts w:cs="Arial"/>
                <w:b/>
                <w:sz w:val="24"/>
                <w:szCs w:val="24"/>
              </w:rPr>
            </w:pPr>
            <w:r w:rsidRPr="00857D23">
              <w:rPr>
                <w:rFonts w:cs="Arial"/>
                <w:b/>
                <w:sz w:val="24"/>
                <w:szCs w:val="24"/>
              </w:rPr>
              <w:t>Link:</w:t>
            </w:r>
          </w:p>
        </w:tc>
        <w:tc>
          <w:tcPr>
            <w:tcW w:w="10098" w:type="dxa"/>
            <w:gridSpan w:val="3"/>
            <w:shd w:val="clear" w:color="auto" w:fill="auto"/>
            <w:vAlign w:val="center"/>
          </w:tcPr>
          <w:p w14:paraId="1540E6F5" w14:textId="77777777" w:rsidR="00DA4727" w:rsidRPr="00857D23" w:rsidRDefault="00DA4727" w:rsidP="0019253C">
            <w:pPr>
              <w:spacing w:after="0" w:line="240" w:lineRule="auto"/>
              <w:rPr>
                <w:rFonts w:cs="Arial"/>
                <w:sz w:val="24"/>
                <w:szCs w:val="24"/>
              </w:rPr>
            </w:pPr>
            <w:r w:rsidRPr="00857D23">
              <w:rPr>
                <w:rFonts w:cs="Arial"/>
                <w:color w:val="000000"/>
                <w:sz w:val="24"/>
                <w:szCs w:val="24"/>
              </w:rPr>
              <w:t>[Do not complete; Web Content Operations Team will insert URL]</w:t>
            </w:r>
          </w:p>
        </w:tc>
      </w:tr>
    </w:tbl>
    <w:p w14:paraId="04E4E01E" w14:textId="77777777" w:rsidR="00DA4727" w:rsidRPr="00857D23" w:rsidRDefault="00DA4727" w:rsidP="00DA4727">
      <w:pPr>
        <w:pStyle w:val="z-BottomofForm"/>
        <w:rPr>
          <w:rFonts w:asciiTheme="minorHAnsi" w:hAnsiTheme="minorHAnsi"/>
          <w:sz w:val="24"/>
          <w:szCs w:val="24"/>
        </w:rPr>
      </w:pPr>
      <w:r w:rsidRPr="00857D23">
        <w:rPr>
          <w:rFonts w:asciiTheme="minorHAnsi" w:hAnsiTheme="minorHAnsi"/>
          <w:sz w:val="24"/>
          <w:szCs w:val="24"/>
        </w:rPr>
        <w:t>Bottom of Form</w:t>
      </w:r>
    </w:p>
    <w:p w14:paraId="5B76A328" w14:textId="77777777" w:rsidR="00DA4727" w:rsidRPr="00857D23" w:rsidRDefault="00DA4727" w:rsidP="00DA4727">
      <w:pPr>
        <w:spacing w:after="0" w:line="240" w:lineRule="auto"/>
        <w:outlineLvl w:val="0"/>
        <w:rPr>
          <w:rFonts w:eastAsia="Times New Roman" w:cs="Arial"/>
          <w:b/>
          <w:bCs/>
          <w:color w:val="000000"/>
          <w:kern w:val="36"/>
          <w:sz w:val="24"/>
          <w:szCs w:val="24"/>
          <w:u w:val="single"/>
        </w:rPr>
      </w:pPr>
    </w:p>
    <w:p w14:paraId="6A279A0B" w14:textId="4B82B8C3" w:rsidR="0099765E" w:rsidRDefault="002770A1" w:rsidP="0099765E">
      <w:pPr>
        <w:rPr>
          <w:b/>
          <w:sz w:val="24"/>
          <w:szCs w:val="24"/>
        </w:rPr>
      </w:pPr>
      <w:r w:rsidRPr="002770A1">
        <w:rPr>
          <w:b/>
          <w:sz w:val="24"/>
          <w:szCs w:val="24"/>
        </w:rPr>
        <w:t>Updated Supplementary Procedures for the Independent Review Process (IRP)</w:t>
      </w:r>
      <w:r>
        <w:rPr>
          <w:b/>
          <w:sz w:val="24"/>
          <w:szCs w:val="24"/>
        </w:rPr>
        <w:t xml:space="preserve"> – Rule # 4 </w:t>
      </w:r>
      <w:r w:rsidR="00AC3FA0">
        <w:rPr>
          <w:b/>
          <w:sz w:val="24"/>
          <w:szCs w:val="24"/>
        </w:rPr>
        <w:t xml:space="preserve">Time </w:t>
      </w:r>
      <w:r>
        <w:rPr>
          <w:b/>
          <w:sz w:val="24"/>
          <w:szCs w:val="24"/>
        </w:rPr>
        <w:t>for</w:t>
      </w:r>
      <w:r w:rsidR="00AC3FA0">
        <w:rPr>
          <w:b/>
          <w:sz w:val="24"/>
          <w:szCs w:val="24"/>
        </w:rPr>
        <w:t xml:space="preserve"> Fil</w:t>
      </w:r>
      <w:r w:rsidR="001173EB">
        <w:rPr>
          <w:b/>
          <w:sz w:val="24"/>
          <w:szCs w:val="24"/>
        </w:rPr>
        <w:t>ing</w:t>
      </w:r>
      <w:r w:rsidR="00117DA8">
        <w:rPr>
          <w:b/>
          <w:sz w:val="24"/>
          <w:szCs w:val="24"/>
        </w:rPr>
        <w:t xml:space="preserve"> (repose)</w:t>
      </w:r>
    </w:p>
    <w:p w14:paraId="49C5C199" w14:textId="73DFC222" w:rsidR="008C6E48" w:rsidRPr="00857D23" w:rsidRDefault="008C6E48" w:rsidP="0099765E">
      <w:pPr>
        <w:rPr>
          <w:b/>
          <w:sz w:val="24"/>
          <w:szCs w:val="24"/>
        </w:rPr>
      </w:pPr>
      <w:r w:rsidRPr="00857D23">
        <w:rPr>
          <w:b/>
          <w:sz w:val="24"/>
          <w:szCs w:val="24"/>
        </w:rPr>
        <w:t>Brief Overview</w:t>
      </w:r>
    </w:p>
    <w:p w14:paraId="42A0ECD0" w14:textId="3686AA21" w:rsidR="008C6E48" w:rsidRPr="00857D23" w:rsidRDefault="008C6E48" w:rsidP="00DA4727">
      <w:pPr>
        <w:ind w:left="720"/>
        <w:rPr>
          <w:sz w:val="24"/>
          <w:szCs w:val="24"/>
        </w:rPr>
      </w:pPr>
      <w:r w:rsidRPr="00857D23">
        <w:rPr>
          <w:b/>
          <w:sz w:val="24"/>
          <w:szCs w:val="24"/>
        </w:rPr>
        <w:t>Purpose:</w:t>
      </w:r>
      <w:r w:rsidR="0026366F" w:rsidRPr="00857D23">
        <w:rPr>
          <w:sz w:val="24"/>
          <w:szCs w:val="24"/>
        </w:rPr>
        <w:t xml:space="preserve"> T</w:t>
      </w:r>
      <w:r w:rsidRPr="00857D23">
        <w:rPr>
          <w:sz w:val="24"/>
          <w:szCs w:val="24"/>
        </w:rPr>
        <w:t xml:space="preserve">he </w:t>
      </w:r>
      <w:r w:rsidR="00AC3FA0">
        <w:rPr>
          <w:sz w:val="24"/>
          <w:szCs w:val="24"/>
        </w:rPr>
        <w:t>Independent Review Process Implementation Oversight Team (</w:t>
      </w:r>
      <w:r w:rsidR="001173EB">
        <w:rPr>
          <w:sz w:val="24"/>
          <w:szCs w:val="24"/>
        </w:rPr>
        <w:t>IRP-</w:t>
      </w:r>
      <w:r w:rsidR="00AC3FA0">
        <w:rPr>
          <w:sz w:val="24"/>
          <w:szCs w:val="24"/>
        </w:rPr>
        <w:t>IOT)</w:t>
      </w:r>
      <w:r w:rsidR="00952986" w:rsidRPr="00857D23">
        <w:rPr>
          <w:sz w:val="24"/>
          <w:szCs w:val="24"/>
        </w:rPr>
        <w:t xml:space="preserve"> </w:t>
      </w:r>
      <w:r w:rsidR="00AC3FA0">
        <w:rPr>
          <w:sz w:val="24"/>
          <w:szCs w:val="24"/>
        </w:rPr>
        <w:t xml:space="preserve">is seeking </w:t>
      </w:r>
      <w:r w:rsidR="002770A1">
        <w:rPr>
          <w:sz w:val="24"/>
          <w:szCs w:val="24"/>
        </w:rPr>
        <w:t xml:space="preserve">further </w:t>
      </w:r>
      <w:r w:rsidR="00AC3FA0">
        <w:rPr>
          <w:sz w:val="24"/>
          <w:szCs w:val="24"/>
        </w:rPr>
        <w:t xml:space="preserve">public comments on </w:t>
      </w:r>
      <w:r w:rsidR="0090583D">
        <w:rPr>
          <w:sz w:val="24"/>
          <w:szCs w:val="24"/>
        </w:rPr>
        <w:t xml:space="preserve">the Time </w:t>
      </w:r>
      <w:r w:rsidR="002770A1">
        <w:rPr>
          <w:sz w:val="24"/>
          <w:szCs w:val="24"/>
        </w:rPr>
        <w:t>for Filing rule (</w:t>
      </w:r>
      <w:r w:rsidR="002770A1" w:rsidRPr="002770A1">
        <w:rPr>
          <w:sz w:val="24"/>
          <w:szCs w:val="24"/>
        </w:rPr>
        <w:t xml:space="preserve">Updated Supplementary Procedure </w:t>
      </w:r>
      <w:r w:rsidR="002770A1">
        <w:rPr>
          <w:sz w:val="24"/>
          <w:szCs w:val="24"/>
        </w:rPr>
        <w:t xml:space="preserve">rule </w:t>
      </w:r>
      <w:r w:rsidR="002770A1" w:rsidRPr="002770A1">
        <w:rPr>
          <w:sz w:val="24"/>
          <w:szCs w:val="24"/>
        </w:rPr>
        <w:t>#4, Time for Filing</w:t>
      </w:r>
      <w:r w:rsidR="002770A1">
        <w:rPr>
          <w:sz w:val="24"/>
          <w:szCs w:val="24"/>
        </w:rPr>
        <w:t>)</w:t>
      </w:r>
      <w:r w:rsidR="002770A1" w:rsidRPr="002770A1">
        <w:rPr>
          <w:sz w:val="24"/>
          <w:szCs w:val="24"/>
        </w:rPr>
        <w:t xml:space="preserve"> </w:t>
      </w:r>
      <w:r w:rsidR="002770A1">
        <w:rPr>
          <w:sz w:val="24"/>
          <w:szCs w:val="24"/>
        </w:rPr>
        <w:t>.</w:t>
      </w:r>
    </w:p>
    <w:p w14:paraId="32A9C66C" w14:textId="7ACD8356" w:rsidR="0060066E" w:rsidRDefault="008C6E48" w:rsidP="00DA4727">
      <w:pPr>
        <w:ind w:left="720"/>
        <w:rPr>
          <w:sz w:val="24"/>
          <w:szCs w:val="24"/>
        </w:rPr>
      </w:pPr>
      <w:r w:rsidRPr="00857D23">
        <w:rPr>
          <w:b/>
          <w:sz w:val="24"/>
          <w:szCs w:val="24"/>
        </w:rPr>
        <w:t xml:space="preserve">Current Status: </w:t>
      </w:r>
      <w:r w:rsidR="0060066E" w:rsidRPr="00857D23">
        <w:rPr>
          <w:sz w:val="24"/>
          <w:szCs w:val="24"/>
        </w:rPr>
        <w:t xml:space="preserve">The </w:t>
      </w:r>
      <w:r w:rsidR="002770A1">
        <w:rPr>
          <w:sz w:val="24"/>
          <w:szCs w:val="24"/>
        </w:rPr>
        <w:t>IOT reviewed the results of the 28 November 2016 public comments on its draft</w:t>
      </w:r>
      <w:r w:rsidR="002770A1" w:rsidRPr="002770A1">
        <w:t xml:space="preserve"> </w:t>
      </w:r>
      <w:r w:rsidR="002770A1" w:rsidRPr="002770A1">
        <w:rPr>
          <w:sz w:val="24"/>
          <w:szCs w:val="24"/>
        </w:rPr>
        <w:t>Updated Supplementary Procedures</w:t>
      </w:r>
      <w:r w:rsidR="008A63E8">
        <w:rPr>
          <w:sz w:val="24"/>
          <w:szCs w:val="24"/>
        </w:rPr>
        <w:t xml:space="preserve"> (USP)</w:t>
      </w:r>
      <w:r w:rsidR="002770A1" w:rsidRPr="002770A1">
        <w:rPr>
          <w:sz w:val="24"/>
          <w:szCs w:val="24"/>
        </w:rPr>
        <w:t xml:space="preserve"> for the Independent Review Process (IRP)</w:t>
      </w:r>
      <w:r w:rsidR="002770A1">
        <w:rPr>
          <w:sz w:val="24"/>
          <w:szCs w:val="24"/>
        </w:rPr>
        <w:t xml:space="preserve"> and noted that a significant number of comments did not support the proposed </w:t>
      </w:r>
      <w:r w:rsidR="008A63E8">
        <w:rPr>
          <w:sz w:val="24"/>
          <w:szCs w:val="24"/>
        </w:rPr>
        <w:t xml:space="preserve">limitations </w:t>
      </w:r>
      <w:r w:rsidR="009368FD">
        <w:rPr>
          <w:sz w:val="24"/>
          <w:szCs w:val="24"/>
        </w:rPr>
        <w:t>underpinning</w:t>
      </w:r>
      <w:r w:rsidR="008A63E8">
        <w:rPr>
          <w:sz w:val="24"/>
          <w:szCs w:val="24"/>
        </w:rPr>
        <w:t xml:space="preserve"> </w:t>
      </w:r>
      <w:r w:rsidR="002770A1">
        <w:rPr>
          <w:sz w:val="24"/>
          <w:szCs w:val="24"/>
        </w:rPr>
        <w:t xml:space="preserve">rule #4.  In response to this the IOT </w:t>
      </w:r>
      <w:r w:rsidR="008A63E8">
        <w:rPr>
          <w:sz w:val="24"/>
          <w:szCs w:val="24"/>
        </w:rPr>
        <w:t>is</w:t>
      </w:r>
      <w:r w:rsidR="002770A1">
        <w:rPr>
          <w:sz w:val="24"/>
          <w:szCs w:val="24"/>
        </w:rPr>
        <w:t xml:space="preserve"> propos</w:t>
      </w:r>
      <w:r w:rsidR="008A63E8">
        <w:rPr>
          <w:sz w:val="24"/>
          <w:szCs w:val="24"/>
        </w:rPr>
        <w:t>ing</w:t>
      </w:r>
      <w:r w:rsidR="002770A1">
        <w:rPr>
          <w:sz w:val="24"/>
          <w:szCs w:val="24"/>
        </w:rPr>
        <w:t xml:space="preserve"> significant amendments to this rule. </w:t>
      </w:r>
    </w:p>
    <w:p w14:paraId="2ED3F298" w14:textId="5345D23D" w:rsidR="002842B3" w:rsidRPr="00857D23" w:rsidRDefault="008C6E48" w:rsidP="00DA4727">
      <w:pPr>
        <w:ind w:left="720"/>
        <w:rPr>
          <w:sz w:val="24"/>
          <w:szCs w:val="24"/>
        </w:rPr>
      </w:pPr>
      <w:r w:rsidRPr="00857D23">
        <w:rPr>
          <w:b/>
          <w:sz w:val="24"/>
          <w:szCs w:val="24"/>
        </w:rPr>
        <w:t>Next Steps:</w:t>
      </w:r>
      <w:r w:rsidRPr="00857D23">
        <w:rPr>
          <w:sz w:val="24"/>
          <w:szCs w:val="24"/>
        </w:rPr>
        <w:t xml:space="preserve"> </w:t>
      </w:r>
      <w:r w:rsidR="00EF3103" w:rsidRPr="00857D23">
        <w:rPr>
          <w:sz w:val="24"/>
          <w:szCs w:val="24"/>
        </w:rPr>
        <w:t xml:space="preserve">Following the public comment period the inputs will be analyzed by the </w:t>
      </w:r>
      <w:r w:rsidR="002770A1">
        <w:rPr>
          <w:sz w:val="24"/>
          <w:szCs w:val="24"/>
        </w:rPr>
        <w:t>IOT</w:t>
      </w:r>
      <w:r w:rsidR="00EF3103" w:rsidRPr="00857D23">
        <w:rPr>
          <w:sz w:val="24"/>
          <w:szCs w:val="24"/>
        </w:rPr>
        <w:t xml:space="preserve"> </w:t>
      </w:r>
      <w:r w:rsidR="00B3065B">
        <w:rPr>
          <w:sz w:val="24"/>
          <w:szCs w:val="24"/>
        </w:rPr>
        <w:t xml:space="preserve">who </w:t>
      </w:r>
      <w:r w:rsidR="00EF3103" w:rsidRPr="00857D23">
        <w:rPr>
          <w:sz w:val="24"/>
          <w:szCs w:val="24"/>
        </w:rPr>
        <w:t>will</w:t>
      </w:r>
      <w:r w:rsidR="008C35D8" w:rsidRPr="00857D23">
        <w:rPr>
          <w:sz w:val="24"/>
          <w:szCs w:val="24"/>
        </w:rPr>
        <w:t xml:space="preserve"> consider amending </w:t>
      </w:r>
      <w:r w:rsidR="008A63E8">
        <w:rPr>
          <w:sz w:val="24"/>
          <w:szCs w:val="24"/>
        </w:rPr>
        <w:t xml:space="preserve">the </w:t>
      </w:r>
      <w:r w:rsidR="005209CE">
        <w:rPr>
          <w:sz w:val="24"/>
          <w:szCs w:val="24"/>
        </w:rPr>
        <w:t xml:space="preserve">amended </w:t>
      </w:r>
      <w:r w:rsidR="008A63E8">
        <w:rPr>
          <w:sz w:val="24"/>
          <w:szCs w:val="24"/>
        </w:rPr>
        <w:t>rule</w:t>
      </w:r>
      <w:r w:rsidR="006B31B2">
        <w:rPr>
          <w:sz w:val="24"/>
          <w:szCs w:val="24"/>
        </w:rPr>
        <w:t xml:space="preserve"> </w:t>
      </w:r>
      <w:r w:rsidR="00F93268">
        <w:rPr>
          <w:sz w:val="24"/>
          <w:szCs w:val="24"/>
        </w:rPr>
        <w:t>in light of the comments</w:t>
      </w:r>
      <w:r w:rsidR="004B4FC8">
        <w:rPr>
          <w:sz w:val="24"/>
          <w:szCs w:val="24"/>
        </w:rPr>
        <w:t xml:space="preserve"> received</w:t>
      </w:r>
      <w:r w:rsidR="002842B3" w:rsidRPr="00857D23">
        <w:rPr>
          <w:sz w:val="24"/>
          <w:szCs w:val="24"/>
        </w:rPr>
        <w:t xml:space="preserve"> and will publish a report on the results of the public consultation</w:t>
      </w:r>
      <w:r w:rsidR="00EF3103" w:rsidRPr="00857D23">
        <w:rPr>
          <w:sz w:val="24"/>
          <w:szCs w:val="24"/>
        </w:rPr>
        <w:t xml:space="preserve">. </w:t>
      </w:r>
      <w:r w:rsidR="002842B3" w:rsidRPr="00857D23">
        <w:rPr>
          <w:sz w:val="24"/>
          <w:szCs w:val="24"/>
        </w:rPr>
        <w:t>If significant changes are required as a result of the public consultation the</w:t>
      </w:r>
      <w:r w:rsidR="008A63E8">
        <w:rPr>
          <w:sz w:val="24"/>
          <w:szCs w:val="24"/>
        </w:rPr>
        <w:t xml:space="preserve"> IOT</w:t>
      </w:r>
      <w:r w:rsidR="003A30FD">
        <w:rPr>
          <w:sz w:val="24"/>
          <w:szCs w:val="24"/>
        </w:rPr>
        <w:t xml:space="preserve"> </w:t>
      </w:r>
      <w:r w:rsidR="00B018E5">
        <w:rPr>
          <w:sz w:val="24"/>
          <w:szCs w:val="24"/>
        </w:rPr>
        <w:t xml:space="preserve">may </w:t>
      </w:r>
      <w:r w:rsidR="008A63E8">
        <w:rPr>
          <w:sz w:val="24"/>
          <w:szCs w:val="24"/>
        </w:rPr>
        <w:t>opt to have a further public comment period on these</w:t>
      </w:r>
      <w:r w:rsidR="002D4401">
        <w:rPr>
          <w:sz w:val="24"/>
          <w:szCs w:val="24"/>
        </w:rPr>
        <w:t xml:space="preserve"> changes</w:t>
      </w:r>
      <w:r w:rsidR="002842B3" w:rsidRPr="00857D23">
        <w:rPr>
          <w:sz w:val="24"/>
          <w:szCs w:val="24"/>
        </w:rPr>
        <w:t>.</w:t>
      </w:r>
      <w:r w:rsidR="008A63E8">
        <w:rPr>
          <w:sz w:val="24"/>
          <w:szCs w:val="24"/>
        </w:rPr>
        <w:t xml:space="preserve"> If there are no significant changes this rule will be included in the USP.</w:t>
      </w:r>
    </w:p>
    <w:p w14:paraId="339D8271" w14:textId="77777777" w:rsidR="005209CE" w:rsidRDefault="005209CE">
      <w:pPr>
        <w:rPr>
          <w:b/>
          <w:sz w:val="24"/>
          <w:szCs w:val="24"/>
        </w:rPr>
      </w:pPr>
      <w:r>
        <w:rPr>
          <w:b/>
          <w:sz w:val="24"/>
          <w:szCs w:val="24"/>
        </w:rPr>
        <w:br w:type="page"/>
      </w:r>
    </w:p>
    <w:p w14:paraId="1C2D286C" w14:textId="31701334" w:rsidR="008C6E48" w:rsidRPr="00857D23" w:rsidRDefault="008C6E48" w:rsidP="00571D26">
      <w:pPr>
        <w:rPr>
          <w:sz w:val="24"/>
          <w:szCs w:val="24"/>
        </w:rPr>
      </w:pPr>
      <w:r w:rsidRPr="00857D23">
        <w:rPr>
          <w:b/>
          <w:sz w:val="24"/>
          <w:szCs w:val="24"/>
        </w:rPr>
        <w:lastRenderedPageBreak/>
        <w:t>Section I: Descri</w:t>
      </w:r>
      <w:r w:rsidR="00C70760" w:rsidRPr="00857D23">
        <w:rPr>
          <w:b/>
          <w:sz w:val="24"/>
          <w:szCs w:val="24"/>
        </w:rPr>
        <w:t>ption, Explanation, and Purpose</w:t>
      </w:r>
      <w:r w:rsidR="00571D26" w:rsidRPr="00857D23">
        <w:rPr>
          <w:sz w:val="24"/>
          <w:szCs w:val="24"/>
        </w:rPr>
        <w:t xml:space="preserve">.  </w:t>
      </w:r>
    </w:p>
    <w:p w14:paraId="533AC6EB" w14:textId="29BADA1B" w:rsidR="005209CE" w:rsidRDefault="005209CE" w:rsidP="00117DA8">
      <w:pPr>
        <w:shd w:val="clear" w:color="auto" w:fill="FFFFFF"/>
        <w:spacing w:after="0" w:line="240" w:lineRule="auto"/>
        <w:rPr>
          <w:sz w:val="24"/>
          <w:szCs w:val="24"/>
        </w:rPr>
      </w:pPr>
      <w:r w:rsidRPr="005209CE">
        <w:rPr>
          <w:sz w:val="24"/>
          <w:szCs w:val="24"/>
          <w:highlight w:val="lightGray"/>
        </w:rPr>
        <w:t>Note: Given the text which is being presented for public comment is short it is included in its entirety in this section of the announcement.</w:t>
      </w:r>
    </w:p>
    <w:p w14:paraId="17C31101" w14:textId="77777777" w:rsidR="005209CE" w:rsidRDefault="005209CE" w:rsidP="00117DA8">
      <w:pPr>
        <w:shd w:val="clear" w:color="auto" w:fill="FFFFFF"/>
        <w:spacing w:after="0" w:line="240" w:lineRule="auto"/>
        <w:rPr>
          <w:sz w:val="24"/>
          <w:szCs w:val="24"/>
        </w:rPr>
      </w:pPr>
    </w:p>
    <w:p w14:paraId="21CC2F0F" w14:textId="10EE0F06" w:rsidR="00117DA8" w:rsidRPr="00E56C5B" w:rsidRDefault="00117DA8" w:rsidP="00117DA8">
      <w:pPr>
        <w:shd w:val="clear" w:color="auto" w:fill="FFFFFF"/>
        <w:spacing w:after="0" w:line="240" w:lineRule="auto"/>
        <w:rPr>
          <w:sz w:val="24"/>
          <w:szCs w:val="24"/>
        </w:rPr>
      </w:pPr>
      <w:r>
        <w:rPr>
          <w:sz w:val="24"/>
          <w:szCs w:val="24"/>
        </w:rPr>
        <w:t xml:space="preserve">The </w:t>
      </w:r>
      <w:r w:rsidRPr="00E56C5B">
        <w:rPr>
          <w:sz w:val="24"/>
          <w:szCs w:val="24"/>
        </w:rPr>
        <w:t>Updated Supplementary Procedures for the Independent Review Process (IRP) were </w:t>
      </w:r>
      <w:hyperlink r:id="rId7" w:tgtFrame="_blank" w:history="1">
        <w:r w:rsidRPr="00117DA8">
          <w:rPr>
            <w:sz w:val="24"/>
            <w:szCs w:val="24"/>
          </w:rPr>
          <w:t>submitted</w:t>
        </w:r>
      </w:hyperlink>
      <w:r w:rsidRPr="00E56C5B">
        <w:rPr>
          <w:sz w:val="24"/>
          <w:szCs w:val="24"/>
        </w:rPr>
        <w:t> for public comment on Nov. 28, 2016. The comment period closed on Feb. 1, 2017, and the staff report on the public comments was </w:t>
      </w:r>
      <w:hyperlink r:id="rId8" w:tgtFrame="_blank" w:history="1">
        <w:r w:rsidRPr="00117DA8">
          <w:rPr>
            <w:sz w:val="24"/>
            <w:szCs w:val="24"/>
          </w:rPr>
          <w:t>issued</w:t>
        </w:r>
      </w:hyperlink>
      <w:r w:rsidRPr="00E56C5B">
        <w:rPr>
          <w:sz w:val="24"/>
          <w:szCs w:val="24"/>
        </w:rPr>
        <w:t> on August 2, 2017. The public comments submitted are available </w:t>
      </w:r>
      <w:hyperlink r:id="rId9" w:tgtFrame="_blank" w:history="1">
        <w:r w:rsidRPr="00117DA8">
          <w:rPr>
            <w:sz w:val="24"/>
            <w:szCs w:val="24"/>
          </w:rPr>
          <w:t>here</w:t>
        </w:r>
      </w:hyperlink>
      <w:r w:rsidRPr="00E56C5B">
        <w:rPr>
          <w:sz w:val="24"/>
          <w:szCs w:val="24"/>
        </w:rPr>
        <w:t>.</w:t>
      </w:r>
    </w:p>
    <w:p w14:paraId="31361091" w14:textId="77777777" w:rsidR="00117DA8" w:rsidRPr="00E56C5B" w:rsidRDefault="00117DA8" w:rsidP="00117DA8">
      <w:pPr>
        <w:shd w:val="clear" w:color="auto" w:fill="FFFFFF"/>
        <w:spacing w:after="0" w:line="240" w:lineRule="auto"/>
        <w:rPr>
          <w:sz w:val="24"/>
          <w:szCs w:val="24"/>
        </w:rPr>
      </w:pPr>
      <w:r w:rsidRPr="00E56C5B">
        <w:rPr>
          <w:sz w:val="24"/>
          <w:szCs w:val="24"/>
        </w:rPr>
        <w:t> </w:t>
      </w:r>
    </w:p>
    <w:p w14:paraId="02265469" w14:textId="20AED147" w:rsidR="00117DA8" w:rsidRPr="00E56C5B" w:rsidRDefault="00117DA8" w:rsidP="00117DA8">
      <w:pPr>
        <w:shd w:val="clear" w:color="auto" w:fill="FFFFFF"/>
        <w:spacing w:after="0" w:line="240" w:lineRule="auto"/>
        <w:rPr>
          <w:sz w:val="24"/>
          <w:szCs w:val="24"/>
        </w:rPr>
      </w:pPr>
      <w:r w:rsidRPr="00E56C5B">
        <w:rPr>
          <w:sz w:val="24"/>
          <w:szCs w:val="24"/>
        </w:rPr>
        <w:t>A number of public comments focused on Updated Supplementary Procedure #4, Time for Filing. That rule as proposed by the IRP Implementation Oversight Team (IOT)</w:t>
      </w:r>
      <w:r>
        <w:rPr>
          <w:sz w:val="24"/>
          <w:szCs w:val="24"/>
        </w:rPr>
        <w:t xml:space="preserve"> was</w:t>
      </w:r>
      <w:r w:rsidRPr="00E56C5B">
        <w:rPr>
          <w:sz w:val="24"/>
          <w:szCs w:val="24"/>
        </w:rPr>
        <w:t>:</w:t>
      </w:r>
    </w:p>
    <w:p w14:paraId="1380E96F" w14:textId="77777777" w:rsidR="00117DA8" w:rsidRPr="00E56C5B" w:rsidRDefault="00117DA8" w:rsidP="00117DA8">
      <w:pPr>
        <w:shd w:val="clear" w:color="auto" w:fill="FFFFFF"/>
        <w:spacing w:after="0" w:line="240" w:lineRule="auto"/>
        <w:ind w:left="720"/>
        <w:rPr>
          <w:sz w:val="24"/>
          <w:szCs w:val="24"/>
        </w:rPr>
      </w:pPr>
      <w:r w:rsidRPr="00E56C5B">
        <w:rPr>
          <w:sz w:val="24"/>
          <w:szCs w:val="24"/>
        </w:rPr>
        <w:t> </w:t>
      </w:r>
    </w:p>
    <w:p w14:paraId="5387FE06"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4. Time for Filing</w:t>
      </w:r>
    </w:p>
    <w:p w14:paraId="23290D97"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 </w:t>
      </w:r>
    </w:p>
    <w:p w14:paraId="78FB126C"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An INDEPENDENT REVIEW is commenced when CLAIMANT files a written statement of a DISPUTE. A CLAIMANT shall file a written statement of a DISPUTE with the ICDR no more than 45 days after a CLAIMANT becomes aware of the material affect of the action or inaction giving rise to the DISPUTE; provided, however, that a statement of a DISPUTE may not be filed more than twelve (12) months from the date of such action or inaction.</w:t>
      </w:r>
    </w:p>
    <w:p w14:paraId="52FEBEC1"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 </w:t>
      </w:r>
    </w:p>
    <w:p w14:paraId="11E8E655"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In order for an IRP to be deemed to have been timely filed, all fees must be paid to the ICDR within three business days (as measured by the ICDR) of the filing of the request with the ICDR.</w:t>
      </w:r>
    </w:p>
    <w:p w14:paraId="2ED8F3CB" w14:textId="6D55B4E5" w:rsidR="00117DA8" w:rsidRPr="00E56C5B" w:rsidRDefault="00117DA8" w:rsidP="00117DA8">
      <w:pPr>
        <w:shd w:val="clear" w:color="auto" w:fill="FFFFFF"/>
        <w:spacing w:after="0" w:line="240" w:lineRule="auto"/>
        <w:ind w:left="720"/>
        <w:rPr>
          <w:i/>
          <w:sz w:val="24"/>
          <w:szCs w:val="24"/>
        </w:rPr>
      </w:pPr>
      <w:r w:rsidRPr="00E56C5B">
        <w:rPr>
          <w:i/>
          <w:sz w:val="24"/>
          <w:szCs w:val="24"/>
        </w:rPr>
        <w:t>[Footnotes 14 and 15 omitted – they are available</w:t>
      </w:r>
      <w:r w:rsidR="00D062E8">
        <w:rPr>
          <w:i/>
          <w:sz w:val="24"/>
          <w:szCs w:val="24"/>
        </w:rPr>
        <w:t xml:space="preserve"> at </w:t>
      </w:r>
      <w:hyperlink r:id="rId10" w:history="1">
        <w:r w:rsidR="00D062E8" w:rsidRPr="00E823FF">
          <w:rPr>
            <w:rStyle w:val="Hyperlink"/>
            <w:i/>
            <w:sz w:val="24"/>
            <w:szCs w:val="24"/>
          </w:rPr>
          <w:t>https://www.icann.org/en/system/files/files/draft-irp-supp-procedures-31oct16-en.pdf</w:t>
        </w:r>
      </w:hyperlink>
      <w:r w:rsidR="00D062E8">
        <w:rPr>
          <w:i/>
          <w:sz w:val="24"/>
          <w:szCs w:val="24"/>
        </w:rPr>
        <w:t xml:space="preserve"> </w:t>
      </w:r>
      <w:r w:rsidRPr="00E56C5B">
        <w:rPr>
          <w:i/>
          <w:sz w:val="24"/>
          <w:szCs w:val="24"/>
        </w:rPr>
        <w:t>]</w:t>
      </w:r>
    </w:p>
    <w:p w14:paraId="540D6CF7" w14:textId="77777777" w:rsidR="00117DA8" w:rsidRPr="00E56C5B" w:rsidRDefault="00117DA8" w:rsidP="00117DA8">
      <w:pPr>
        <w:shd w:val="clear" w:color="auto" w:fill="FFFFFF"/>
        <w:spacing w:after="0" w:line="240" w:lineRule="auto"/>
        <w:rPr>
          <w:sz w:val="24"/>
          <w:szCs w:val="24"/>
        </w:rPr>
      </w:pPr>
      <w:r w:rsidRPr="00E56C5B">
        <w:rPr>
          <w:sz w:val="24"/>
          <w:szCs w:val="24"/>
        </w:rPr>
        <w:t> </w:t>
      </w:r>
    </w:p>
    <w:p w14:paraId="19D17295" w14:textId="62F15D38" w:rsidR="00AF798A" w:rsidRDefault="00AF798A" w:rsidP="00AF798A">
      <w:pPr>
        <w:shd w:val="clear" w:color="auto" w:fill="FFFFFF"/>
        <w:spacing w:after="0" w:line="240" w:lineRule="auto"/>
        <w:rPr>
          <w:sz w:val="24"/>
          <w:szCs w:val="24"/>
        </w:rPr>
      </w:pPr>
      <w:r w:rsidRPr="00E56C5B">
        <w:rPr>
          <w:sz w:val="24"/>
          <w:szCs w:val="24"/>
        </w:rPr>
        <w:t>On the topic of the 45-day aspect of the Time-for-Filing language, 11 of the 19 respondents commented on this portion of the draft and all 11 had issues with this proposal and either opposed it or proposed changes.</w:t>
      </w:r>
      <w:r>
        <w:rPr>
          <w:sz w:val="24"/>
          <w:szCs w:val="24"/>
        </w:rPr>
        <w:t xml:space="preserve">  The modified language now available for comment now provides for a 120-day period for filing after the claimant becomes aware of the material effect (75 days more than was suggested previously).</w:t>
      </w:r>
    </w:p>
    <w:p w14:paraId="13257401" w14:textId="77777777" w:rsidR="00AF798A" w:rsidRPr="00E56C5B" w:rsidRDefault="00AF798A" w:rsidP="00AF798A">
      <w:pPr>
        <w:shd w:val="clear" w:color="auto" w:fill="FFFFFF"/>
        <w:spacing w:after="0" w:line="240" w:lineRule="auto"/>
        <w:rPr>
          <w:sz w:val="24"/>
          <w:szCs w:val="24"/>
        </w:rPr>
      </w:pPr>
    </w:p>
    <w:p w14:paraId="221A1EBE" w14:textId="10EAC6BC" w:rsidR="00117DA8" w:rsidRPr="00E56C5B" w:rsidRDefault="00117DA8" w:rsidP="00117DA8">
      <w:pPr>
        <w:shd w:val="clear" w:color="auto" w:fill="FFFFFF"/>
        <w:spacing w:after="0" w:line="240" w:lineRule="auto"/>
        <w:rPr>
          <w:sz w:val="24"/>
          <w:szCs w:val="24"/>
        </w:rPr>
      </w:pPr>
      <w:r w:rsidRPr="00E56C5B">
        <w:rPr>
          <w:sz w:val="24"/>
          <w:szCs w:val="24"/>
        </w:rPr>
        <w:t>On the topic of the 12-month limitation to file an IRP, 13 of the 19 respondents to the public consultation commented on this with 11 ​having issues with this proposal and either opposed it or proposed changes.</w:t>
      </w:r>
      <w:r w:rsidR="00AF798A">
        <w:rPr>
          <w:sz w:val="24"/>
          <w:szCs w:val="24"/>
        </w:rPr>
        <w:t xml:space="preserve">  The modified language now available for comment removes any outside time limit to file an IRP.  Under the prior text, a claimant would have had to have filed their IRP within one year of the action/inaction that is being challenged.  Under the new text, the only timing requirement that the claimant has to meet is the 120-day requirement above, whether the challenged action/inaction happened 3 months, 3 years or 5 years prior (or more).</w:t>
      </w:r>
    </w:p>
    <w:p w14:paraId="33916972" w14:textId="77777777" w:rsidR="00117DA8" w:rsidRPr="00E56C5B" w:rsidRDefault="00117DA8" w:rsidP="00117DA8">
      <w:pPr>
        <w:shd w:val="clear" w:color="auto" w:fill="FFFFFF"/>
        <w:spacing w:after="0" w:line="240" w:lineRule="auto"/>
        <w:rPr>
          <w:sz w:val="24"/>
          <w:szCs w:val="24"/>
        </w:rPr>
      </w:pPr>
      <w:r w:rsidRPr="00E56C5B">
        <w:rPr>
          <w:sz w:val="24"/>
          <w:szCs w:val="24"/>
        </w:rPr>
        <w:t> </w:t>
      </w:r>
    </w:p>
    <w:p w14:paraId="6C86F95A" w14:textId="77777777" w:rsidR="00117DA8" w:rsidRPr="00E56C5B" w:rsidRDefault="00117DA8" w:rsidP="00117DA8">
      <w:pPr>
        <w:shd w:val="clear" w:color="auto" w:fill="FFFFFF"/>
        <w:spacing w:after="0" w:line="240" w:lineRule="auto"/>
        <w:rPr>
          <w:sz w:val="24"/>
          <w:szCs w:val="24"/>
        </w:rPr>
      </w:pPr>
      <w:r w:rsidRPr="00E56C5B">
        <w:rPr>
          <w:sz w:val="24"/>
          <w:szCs w:val="24"/>
        </w:rPr>
        <w:t>All material and comments relating to the public consultation on the IRP held in late 2016 is archived at </w:t>
      </w:r>
      <w:hyperlink r:id="rId11" w:tgtFrame="_blank" w:history="1">
        <w:r w:rsidRPr="00117DA8">
          <w:rPr>
            <w:sz w:val="24"/>
            <w:szCs w:val="24"/>
          </w:rPr>
          <w:t>https://www.icann.org/public-comments/irp-supp-procedures-2016-11-28-en</w:t>
        </w:r>
      </w:hyperlink>
      <w:bookmarkStart w:id="0" w:name="_GoBack"/>
      <w:bookmarkEnd w:id="0"/>
    </w:p>
    <w:p w14:paraId="1118E1B7" w14:textId="77777777" w:rsidR="00117DA8" w:rsidRPr="00E56C5B" w:rsidRDefault="00117DA8" w:rsidP="00117DA8">
      <w:pPr>
        <w:shd w:val="clear" w:color="auto" w:fill="FFFFFF"/>
        <w:spacing w:after="0" w:line="240" w:lineRule="auto"/>
        <w:rPr>
          <w:sz w:val="24"/>
          <w:szCs w:val="24"/>
        </w:rPr>
      </w:pPr>
      <w:r w:rsidRPr="00E56C5B">
        <w:rPr>
          <w:sz w:val="24"/>
          <w:szCs w:val="24"/>
        </w:rPr>
        <w:t> </w:t>
      </w:r>
    </w:p>
    <w:p w14:paraId="0297F23D" w14:textId="77777777" w:rsidR="00117DA8" w:rsidRPr="00E56C5B" w:rsidRDefault="00117DA8" w:rsidP="00117DA8">
      <w:pPr>
        <w:shd w:val="clear" w:color="auto" w:fill="FFFFFF"/>
        <w:spacing w:after="0" w:line="240" w:lineRule="auto"/>
        <w:rPr>
          <w:sz w:val="24"/>
          <w:szCs w:val="24"/>
        </w:rPr>
      </w:pPr>
      <w:r w:rsidRPr="00E56C5B">
        <w:rPr>
          <w:sz w:val="24"/>
          <w:szCs w:val="24"/>
        </w:rPr>
        <w:lastRenderedPageBreak/>
        <w:t>Following its deliberations, the IRP IOT proposes amending its original Updated Supplementary Procedure #4, Time for Filing, in its entirety, to say as follows:</w:t>
      </w:r>
    </w:p>
    <w:p w14:paraId="1A34CFF3" w14:textId="77777777" w:rsidR="00117DA8" w:rsidRPr="00E56C5B" w:rsidRDefault="00117DA8" w:rsidP="00117DA8">
      <w:pPr>
        <w:shd w:val="clear" w:color="auto" w:fill="FFFFFF"/>
        <w:spacing w:after="0" w:line="240" w:lineRule="auto"/>
        <w:ind w:left="720"/>
        <w:rPr>
          <w:sz w:val="24"/>
          <w:szCs w:val="24"/>
        </w:rPr>
      </w:pPr>
      <w:r w:rsidRPr="00E56C5B">
        <w:rPr>
          <w:sz w:val="24"/>
          <w:szCs w:val="24"/>
        </w:rPr>
        <w:t> </w:t>
      </w:r>
    </w:p>
    <w:p w14:paraId="771A632F"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4. Time for Filing</w:t>
      </w:r>
    </w:p>
    <w:p w14:paraId="4A5C04F9"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 </w:t>
      </w:r>
    </w:p>
    <w:p w14:paraId="4737AAE2"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An INDEPENDENT REVIEW is commenced when CLAIMANT files a written statement of a DISPUTE. A CLAIMANT shall file a written statement of a DISPUTE with the ICDR no more than 120 days after a CLAIMANT becomes aware, or ought reasonably to have been aware, of the material affect of the action or inaction giving rise to the DISPUTE.</w:t>
      </w:r>
    </w:p>
    <w:p w14:paraId="3DA3858E"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 </w:t>
      </w:r>
    </w:p>
    <w:p w14:paraId="4547702D" w14:textId="77777777" w:rsidR="00117DA8" w:rsidRPr="00E56C5B" w:rsidRDefault="00117DA8" w:rsidP="00117DA8">
      <w:pPr>
        <w:shd w:val="clear" w:color="auto" w:fill="FFFFFF"/>
        <w:spacing w:after="0" w:line="240" w:lineRule="auto"/>
        <w:ind w:left="720"/>
        <w:rPr>
          <w:i/>
          <w:sz w:val="24"/>
          <w:szCs w:val="24"/>
        </w:rPr>
      </w:pPr>
      <w:r w:rsidRPr="00E56C5B">
        <w:rPr>
          <w:i/>
          <w:sz w:val="24"/>
          <w:szCs w:val="24"/>
        </w:rPr>
        <w:t>In order for an IRP to be deemed to have been timely filed, all fees must be paid to the ICDR within three business days (as measured by the ICDR) of the filing of the request with the ICDR.</w:t>
      </w:r>
    </w:p>
    <w:p w14:paraId="35348E6C" w14:textId="77777777" w:rsidR="002D4401" w:rsidRDefault="002D4401" w:rsidP="00477247">
      <w:pPr>
        <w:rPr>
          <w:b/>
          <w:sz w:val="24"/>
          <w:szCs w:val="24"/>
        </w:rPr>
      </w:pPr>
    </w:p>
    <w:p w14:paraId="6DA1C51A" w14:textId="27BDBE26" w:rsidR="00477247" w:rsidRDefault="008C6E48" w:rsidP="00477247">
      <w:pPr>
        <w:rPr>
          <w:b/>
          <w:sz w:val="24"/>
          <w:szCs w:val="24"/>
        </w:rPr>
      </w:pPr>
      <w:r w:rsidRPr="00857D23">
        <w:rPr>
          <w:b/>
          <w:sz w:val="24"/>
          <w:szCs w:val="24"/>
        </w:rPr>
        <w:t>Section II: Background</w:t>
      </w:r>
    </w:p>
    <w:p w14:paraId="0ED08DCD" w14:textId="77777777" w:rsidR="00117DA8" w:rsidRPr="002D4401" w:rsidRDefault="00117DA8" w:rsidP="00117DA8">
      <w:pPr>
        <w:pStyle w:val="Normal1"/>
        <w:spacing w:before="120"/>
        <w:rPr>
          <w:rFonts w:asciiTheme="minorHAnsi" w:eastAsia="Calibri" w:hAnsiTheme="minorHAnsi" w:cs="Arial"/>
        </w:rPr>
      </w:pPr>
      <w:r w:rsidRPr="002D4401">
        <w:rPr>
          <w:rFonts w:asciiTheme="minorHAnsi" w:eastAsia="Calibri" w:hAnsiTheme="minorHAnsi" w:cs="Arial"/>
        </w:rPr>
        <w:t>ICANN operates a separate process for independent third-party review of Disputes – the Independent Review Process (IRP). The International Centre for Dispute Resolution (ICDR) currently administers ICANN’s Independent Review Processes.  ICANN IRPs are governed by the ICDR’s International Dispute Resolution Procedures as modified by Supplementary Procedures for ICANN’s IRP.</w:t>
      </w:r>
    </w:p>
    <w:p w14:paraId="71DCB0DC" w14:textId="77777777" w:rsidR="00117DA8" w:rsidRPr="002D4401" w:rsidRDefault="00117DA8" w:rsidP="00117DA8">
      <w:pPr>
        <w:pStyle w:val="Normal1"/>
        <w:spacing w:before="120"/>
        <w:rPr>
          <w:rFonts w:asciiTheme="minorHAnsi" w:eastAsia="Calibri" w:hAnsiTheme="minorHAnsi" w:cs="Arial"/>
        </w:rPr>
      </w:pPr>
      <w:r w:rsidRPr="002D4401">
        <w:rPr>
          <w:rFonts w:asciiTheme="minorHAnsi" w:eastAsia="Calibri" w:hAnsiTheme="minorHAnsi" w:cs="Arial"/>
        </w:rPr>
        <w:t>The CCWG-Accountability Work Stream 1 (WS1) in its final report included the following under Implementation for Recommendation 7 concerning the IRP:</w:t>
      </w:r>
    </w:p>
    <w:p w14:paraId="3A79DB63" w14:textId="77777777" w:rsidR="00117DA8" w:rsidRPr="002D4401" w:rsidRDefault="00117DA8" w:rsidP="00117DA8">
      <w:pPr>
        <w:pStyle w:val="Normal1"/>
        <w:spacing w:before="120"/>
        <w:ind w:left="720"/>
        <w:rPr>
          <w:rFonts w:asciiTheme="minorHAnsi" w:eastAsia="Calibri" w:hAnsiTheme="minorHAnsi" w:cs="Arial"/>
          <w:i/>
        </w:rPr>
      </w:pPr>
      <w:r w:rsidRPr="002D4401">
        <w:rPr>
          <w:rFonts w:asciiTheme="minorHAnsi" w:eastAsia="Calibri" w:hAnsiTheme="minorHAnsi" w:cs="Arial"/>
          <w:i/>
        </w:rPr>
        <w:t>“The CCWG-Accountability proposes that the revised IRP provisions be adopted as Fundamental Bylaws. Implementation of these enhancements will necessarily require additional detailed work. Detailed rules for the implementation of the IRP (such as rules of procedure) are to be created by the ICANN community through a CCWG (assisted by counsel, appropriate experts, and the Standing Panel when confirmed), and approved by the Board, such approval not to be unreasonably withheld.”</w:t>
      </w:r>
    </w:p>
    <w:p w14:paraId="6FE23B5B" w14:textId="77777777" w:rsidR="00117DA8" w:rsidRPr="002D4401" w:rsidRDefault="00117DA8" w:rsidP="00117DA8">
      <w:pPr>
        <w:pStyle w:val="Normal1"/>
        <w:spacing w:before="120"/>
        <w:rPr>
          <w:rFonts w:asciiTheme="minorHAnsi" w:eastAsia="Calibri" w:hAnsiTheme="minorHAnsi" w:cs="Arial"/>
        </w:rPr>
      </w:pPr>
      <w:r w:rsidRPr="002D4401">
        <w:rPr>
          <w:rFonts w:asciiTheme="minorHAnsi" w:eastAsia="Calibri" w:hAnsiTheme="minorHAnsi" w:cs="Arial"/>
        </w:rPr>
        <w:t>This part of the recommendations on IRP is included in the following section of the new ICANN Bylaws which took effect on 27 May 2016:</w:t>
      </w:r>
    </w:p>
    <w:p w14:paraId="550BFC75" w14:textId="77777777" w:rsidR="00117DA8" w:rsidRPr="002D4401" w:rsidRDefault="00117DA8" w:rsidP="00117DA8">
      <w:pPr>
        <w:pStyle w:val="Normal1"/>
        <w:spacing w:before="120"/>
        <w:ind w:left="720"/>
        <w:rPr>
          <w:rFonts w:asciiTheme="minorHAnsi" w:eastAsia="Calibri" w:hAnsiTheme="minorHAnsi" w:cs="Arial"/>
          <w:i/>
        </w:rPr>
      </w:pPr>
      <w:r w:rsidRPr="002D4401">
        <w:rPr>
          <w:rFonts w:asciiTheme="minorHAnsi" w:eastAsia="Calibri" w:hAnsiTheme="minorHAnsi" w:cs="Arial"/>
          <w:i/>
        </w:rPr>
        <w:t>“(n) Rules of Procedure</w:t>
      </w:r>
    </w:p>
    <w:p w14:paraId="47E0EBA5" w14:textId="77777777" w:rsidR="00117DA8" w:rsidRPr="002D4401" w:rsidRDefault="00117DA8" w:rsidP="00117DA8">
      <w:pPr>
        <w:pStyle w:val="Normal1"/>
        <w:spacing w:before="120"/>
        <w:ind w:left="720"/>
        <w:rPr>
          <w:rFonts w:asciiTheme="minorHAnsi" w:eastAsia="Calibri" w:hAnsiTheme="minorHAnsi" w:cs="Arial"/>
          <w:i/>
        </w:rPr>
      </w:pPr>
      <w:r w:rsidRPr="002D4401">
        <w:rPr>
          <w:rFonts w:asciiTheme="minorHAnsi" w:eastAsia="Calibri" w:hAnsiTheme="minorHAnsi" w:cs="Arial"/>
          <w:i/>
        </w:rPr>
        <w:t>(</w:t>
      </w:r>
      <w:proofErr w:type="spellStart"/>
      <w:r w:rsidRPr="002D4401">
        <w:rPr>
          <w:rFonts w:asciiTheme="minorHAnsi" w:eastAsia="Calibri" w:hAnsiTheme="minorHAnsi" w:cs="Arial"/>
          <w:i/>
        </w:rPr>
        <w:t>i</w:t>
      </w:r>
      <w:proofErr w:type="spellEnd"/>
      <w:r w:rsidRPr="002D4401">
        <w:rPr>
          <w:rFonts w:asciiTheme="minorHAnsi" w:eastAsia="Calibri" w:hAnsiTheme="minorHAnsi" w:cs="Arial"/>
          <w:i/>
        </w:rPr>
        <w:t>) An IRP Implementation Oversight Team shall be established in consultation with the Supporting Organizations and Advisory Committees and comprised of members of the global Internet community. The IRP Implementation Oversight Team, and once the Standing Panel is established the IRP Implementation Oversight Team in consultation with the Standing Panel, shall develop clear published rules for the IRP (“Rules of Procedure”) that conform with international arbitration norms and are streamlined, easy to understand and apply fairly to all parties. Upon request, the IRP Implementation Oversight Team shall have assistance of counsel and other appropriate experts.</w:t>
      </w:r>
    </w:p>
    <w:p w14:paraId="1ABCFC4D" w14:textId="77777777" w:rsidR="00117DA8" w:rsidRPr="002D4401" w:rsidRDefault="00117DA8" w:rsidP="00117DA8">
      <w:pPr>
        <w:pStyle w:val="Normal1"/>
        <w:spacing w:before="120"/>
        <w:ind w:left="720"/>
        <w:rPr>
          <w:rFonts w:asciiTheme="minorHAnsi" w:eastAsia="Calibri" w:hAnsiTheme="minorHAnsi" w:cs="Arial"/>
          <w:i/>
        </w:rPr>
      </w:pPr>
      <w:r w:rsidRPr="002D4401">
        <w:rPr>
          <w:rFonts w:asciiTheme="minorHAnsi" w:eastAsia="Calibri" w:hAnsiTheme="minorHAnsi" w:cs="Arial"/>
          <w:i/>
        </w:rPr>
        <w:lastRenderedPageBreak/>
        <w:t>(ii) The Rules of Procedure shall be informed by international arbitration norms and consistent with the Purposes of the IRP. Specialized Rules of Procedure may be designed for reviews of PTI service complaints that are asserted by direct customers of the IANA naming functions and are not resolved through mediation. The Rules of Procedure shall be published and subject to a period of public comment that complies with the designated practice for public comment periods within ICANN, and take effect upon approval by the Board, such approval not to be unreasonably withheld.”</w:t>
      </w:r>
    </w:p>
    <w:p w14:paraId="5F27C3E7" w14:textId="13935C06" w:rsidR="00117DA8" w:rsidRDefault="00117DA8" w:rsidP="00117DA8">
      <w:pPr>
        <w:pStyle w:val="Normal1"/>
        <w:spacing w:before="120"/>
        <w:rPr>
          <w:rFonts w:asciiTheme="minorHAnsi" w:eastAsia="Calibri" w:hAnsiTheme="minorHAnsi" w:cs="Arial"/>
        </w:rPr>
      </w:pPr>
      <w:r w:rsidRPr="002D4401">
        <w:rPr>
          <w:rFonts w:asciiTheme="minorHAnsi" w:eastAsia="Calibri" w:hAnsiTheme="minorHAnsi" w:cs="Arial"/>
        </w:rPr>
        <w:t>In early in 2016 the CCWG-Accountability created the IRP IOT which has been working on updating the Supplementary Rules of Procedures.</w:t>
      </w:r>
    </w:p>
    <w:p w14:paraId="5BFBD14D" w14:textId="05589465" w:rsidR="00D062E8" w:rsidRDefault="00D062E8" w:rsidP="00117DA8">
      <w:pPr>
        <w:pStyle w:val="Normal1"/>
        <w:spacing w:before="120"/>
        <w:rPr>
          <w:rFonts w:asciiTheme="minorHAnsi" w:eastAsia="Calibri" w:hAnsiTheme="minorHAnsi" w:cs="Arial"/>
        </w:rPr>
      </w:pPr>
      <w:r w:rsidRPr="00D062E8">
        <w:rPr>
          <w:rFonts w:asciiTheme="minorHAnsi" w:eastAsia="Calibri" w:hAnsiTheme="minorHAnsi" w:cs="Arial"/>
        </w:rPr>
        <w:t>It is important to note that the IRP IOT was included as part of WS2 for administrative simplicity but is in fact independent of WS2 . Current expectations are that the IRP IOT will continue beyond the scheduled completion date for WS2 of June 2018.</w:t>
      </w:r>
    </w:p>
    <w:p w14:paraId="32418B42" w14:textId="77777777" w:rsidR="00D062E8" w:rsidRPr="002D4401" w:rsidRDefault="00D062E8" w:rsidP="00117DA8">
      <w:pPr>
        <w:pStyle w:val="Normal1"/>
        <w:spacing w:before="120"/>
        <w:rPr>
          <w:rFonts w:asciiTheme="minorHAnsi" w:eastAsia="Calibri" w:hAnsiTheme="minorHAnsi" w:cs="Arial"/>
        </w:rPr>
      </w:pPr>
    </w:p>
    <w:p w14:paraId="63A24269" w14:textId="77777777" w:rsidR="005209CE" w:rsidRPr="005209CE" w:rsidRDefault="005209CE" w:rsidP="005209CE">
      <w:pPr>
        <w:rPr>
          <w:b/>
          <w:sz w:val="24"/>
          <w:szCs w:val="24"/>
        </w:rPr>
      </w:pPr>
      <w:r w:rsidRPr="005209CE">
        <w:rPr>
          <w:b/>
          <w:sz w:val="24"/>
          <w:szCs w:val="24"/>
        </w:rPr>
        <w:t>Section III: Relevant Resources</w:t>
      </w:r>
    </w:p>
    <w:p w14:paraId="7A983141" w14:textId="6CCFC709" w:rsidR="005209CE" w:rsidRPr="005209CE" w:rsidRDefault="005209CE" w:rsidP="00D062E8">
      <w:pPr>
        <w:pStyle w:val="ListParagraph"/>
        <w:numPr>
          <w:ilvl w:val="0"/>
          <w:numId w:val="3"/>
        </w:numPr>
        <w:rPr>
          <w:sz w:val="24"/>
          <w:szCs w:val="24"/>
        </w:rPr>
      </w:pPr>
      <w:r w:rsidRPr="005209CE">
        <w:rPr>
          <w:sz w:val="24"/>
          <w:szCs w:val="24"/>
        </w:rPr>
        <w:t>ICANN BYLAW</w:t>
      </w:r>
      <w:r w:rsidR="00D062E8">
        <w:rPr>
          <w:sz w:val="24"/>
          <w:szCs w:val="24"/>
        </w:rPr>
        <w:t xml:space="preserve">S - </w:t>
      </w:r>
      <w:hyperlink r:id="rId12" w:history="1">
        <w:r w:rsidR="00D062E8" w:rsidRPr="00E823FF">
          <w:rPr>
            <w:rStyle w:val="Hyperlink"/>
            <w:sz w:val="24"/>
            <w:szCs w:val="24"/>
          </w:rPr>
          <w:t>https://www.icann.org/resources/pages/governance/bylaws-en</w:t>
        </w:r>
      </w:hyperlink>
      <w:r w:rsidR="00D062E8">
        <w:rPr>
          <w:sz w:val="24"/>
          <w:szCs w:val="24"/>
        </w:rPr>
        <w:t xml:space="preserve"> </w:t>
      </w:r>
    </w:p>
    <w:p w14:paraId="3C802CEF" w14:textId="2D9DC802" w:rsidR="005209CE" w:rsidRPr="00460BF1" w:rsidRDefault="005209CE" w:rsidP="005209CE">
      <w:pPr>
        <w:pStyle w:val="ListParagraph"/>
        <w:numPr>
          <w:ilvl w:val="0"/>
          <w:numId w:val="3"/>
        </w:numPr>
        <w:rPr>
          <w:sz w:val="24"/>
          <w:szCs w:val="24"/>
        </w:rPr>
      </w:pPr>
      <w:r w:rsidRPr="00460BF1">
        <w:rPr>
          <w:sz w:val="24"/>
          <w:szCs w:val="24"/>
        </w:rPr>
        <w:t xml:space="preserve">CCWG-Accountability Work Stream 1 – Final recommendations </w:t>
      </w:r>
      <w:r>
        <w:rPr>
          <w:sz w:val="24"/>
          <w:szCs w:val="24"/>
        </w:rPr>
        <w:t xml:space="preserve">– Recommendation #7 </w:t>
      </w:r>
      <w:r w:rsidRPr="005209CE">
        <w:rPr>
          <w:rStyle w:val="Hyperlink"/>
          <w:sz w:val="24"/>
          <w:szCs w:val="24"/>
        </w:rPr>
        <w:t>https://community.icann.org/pages/viewpage.action?pageId=58723827&amp;preview=/58723827/58726371/Annex%2007%20-%20FINAL-Revised.pdf</w:t>
      </w:r>
      <w:r w:rsidRPr="00460BF1">
        <w:rPr>
          <w:sz w:val="24"/>
          <w:szCs w:val="24"/>
        </w:rPr>
        <w:t xml:space="preserve"> </w:t>
      </w:r>
    </w:p>
    <w:p w14:paraId="4D840FEE" w14:textId="5FD62F28" w:rsidR="005209CE" w:rsidRPr="005209CE" w:rsidRDefault="005209CE" w:rsidP="005209CE">
      <w:pPr>
        <w:pStyle w:val="ListParagraph"/>
        <w:numPr>
          <w:ilvl w:val="0"/>
          <w:numId w:val="3"/>
        </w:numPr>
        <w:rPr>
          <w:sz w:val="24"/>
          <w:szCs w:val="24"/>
        </w:rPr>
      </w:pPr>
      <w:r>
        <w:rPr>
          <w:sz w:val="24"/>
          <w:szCs w:val="24"/>
        </w:rPr>
        <w:t xml:space="preserve">November 2016 Public consultation on the Updated Supplementary Rules - </w:t>
      </w:r>
      <w:hyperlink r:id="rId13" w:history="1">
        <w:r w:rsidRPr="00E823FF">
          <w:rPr>
            <w:rStyle w:val="Hyperlink"/>
            <w:sz w:val="24"/>
            <w:szCs w:val="24"/>
          </w:rPr>
          <w:t>https://www.icann.org/public-comments/irp-supp-procedures-2016-11-28-en</w:t>
        </w:r>
      </w:hyperlink>
      <w:r>
        <w:rPr>
          <w:sz w:val="24"/>
          <w:szCs w:val="24"/>
        </w:rPr>
        <w:t xml:space="preserve"> </w:t>
      </w:r>
    </w:p>
    <w:p w14:paraId="54A98385" w14:textId="62DAAFD4" w:rsidR="008C6E48" w:rsidRPr="00857D23" w:rsidRDefault="008C6E48" w:rsidP="005C2048">
      <w:pPr>
        <w:rPr>
          <w:b/>
          <w:sz w:val="24"/>
          <w:szCs w:val="24"/>
        </w:rPr>
      </w:pPr>
      <w:r w:rsidRPr="00857D23">
        <w:rPr>
          <w:b/>
          <w:sz w:val="24"/>
          <w:szCs w:val="24"/>
        </w:rPr>
        <w:t>Section IV: Additional Information</w:t>
      </w:r>
    </w:p>
    <w:p w14:paraId="06277902" w14:textId="77777777" w:rsidR="008C6E48" w:rsidRPr="00857D23" w:rsidRDefault="008C6E48" w:rsidP="0036387D">
      <w:pPr>
        <w:ind w:left="720"/>
        <w:rPr>
          <w:b/>
          <w:sz w:val="24"/>
          <w:szCs w:val="24"/>
        </w:rPr>
      </w:pPr>
      <w:r w:rsidRPr="00857D23">
        <w:rPr>
          <w:b/>
          <w:sz w:val="24"/>
          <w:szCs w:val="24"/>
        </w:rPr>
        <w:t>Report and Supporting Documents</w:t>
      </w:r>
    </w:p>
    <w:p w14:paraId="2D8D8660" w14:textId="7FC472F9" w:rsidR="0036387D" w:rsidRPr="00265DCA" w:rsidRDefault="005209CE" w:rsidP="005209CE">
      <w:pPr>
        <w:pStyle w:val="ListParagraph"/>
        <w:numPr>
          <w:ilvl w:val="0"/>
          <w:numId w:val="9"/>
        </w:numPr>
        <w:rPr>
          <w:sz w:val="24"/>
          <w:szCs w:val="24"/>
        </w:rPr>
      </w:pPr>
      <w:r>
        <w:rPr>
          <w:sz w:val="24"/>
          <w:szCs w:val="24"/>
        </w:rPr>
        <w:t xml:space="preserve">IOT wiki - </w:t>
      </w:r>
      <w:hyperlink r:id="rId14" w:history="1">
        <w:r w:rsidRPr="00E823FF">
          <w:rPr>
            <w:rStyle w:val="Hyperlink"/>
            <w:sz w:val="24"/>
            <w:szCs w:val="24"/>
          </w:rPr>
          <w:t>https://community.icann.org/display/WEIA/WP-IOT+-+IRP+Implementation+Oversight+Team</w:t>
        </w:r>
      </w:hyperlink>
      <w:r>
        <w:rPr>
          <w:sz w:val="24"/>
          <w:szCs w:val="24"/>
        </w:rPr>
        <w:t xml:space="preserve"> </w:t>
      </w:r>
    </w:p>
    <w:p w14:paraId="0CE22754" w14:textId="52204062" w:rsidR="0036387D" w:rsidRPr="00857D23" w:rsidRDefault="0036387D" w:rsidP="0036387D">
      <w:pPr>
        <w:rPr>
          <w:sz w:val="24"/>
          <w:szCs w:val="24"/>
        </w:rPr>
      </w:pPr>
    </w:p>
    <w:p w14:paraId="71BAC870" w14:textId="36693E07" w:rsidR="008C6E48" w:rsidRPr="00857D23" w:rsidRDefault="008C6E48" w:rsidP="008C6E48">
      <w:pPr>
        <w:rPr>
          <w:sz w:val="24"/>
          <w:szCs w:val="24"/>
          <w:u w:val="single"/>
        </w:rPr>
      </w:pPr>
      <w:r w:rsidRPr="00857D23">
        <w:rPr>
          <w:b/>
          <w:sz w:val="24"/>
          <w:szCs w:val="24"/>
        </w:rPr>
        <w:t>Section V: Reports</w:t>
      </w:r>
    </w:p>
    <w:p w14:paraId="25A85E29" w14:textId="77777777" w:rsidR="008C6E48" w:rsidRPr="00857D23" w:rsidRDefault="008C6E48" w:rsidP="0036387D">
      <w:pPr>
        <w:ind w:firstLine="720"/>
        <w:rPr>
          <w:b/>
          <w:sz w:val="24"/>
          <w:szCs w:val="24"/>
        </w:rPr>
      </w:pPr>
      <w:r w:rsidRPr="00857D23">
        <w:rPr>
          <w:b/>
          <w:sz w:val="24"/>
          <w:szCs w:val="24"/>
        </w:rPr>
        <w:t>Report</w:t>
      </w:r>
    </w:p>
    <w:p w14:paraId="3FC8FB18" w14:textId="5678027C" w:rsidR="008C6E48" w:rsidRPr="00460BF1" w:rsidRDefault="008C6E48" w:rsidP="008C6E48">
      <w:pPr>
        <w:rPr>
          <w:b/>
          <w:sz w:val="24"/>
          <w:szCs w:val="24"/>
        </w:rPr>
      </w:pPr>
      <w:r w:rsidRPr="00857D23">
        <w:rPr>
          <w:b/>
          <w:sz w:val="24"/>
          <w:szCs w:val="24"/>
        </w:rPr>
        <w:t>Staff Contact</w:t>
      </w:r>
    </w:p>
    <w:p w14:paraId="1C55A741" w14:textId="4A0C1EF7" w:rsidR="008C6E48" w:rsidRPr="00857D23" w:rsidRDefault="00F122B1" w:rsidP="008C6E48">
      <w:pPr>
        <w:rPr>
          <w:sz w:val="24"/>
          <w:szCs w:val="24"/>
          <w:u w:val="single"/>
        </w:rPr>
      </w:pPr>
      <w:r>
        <w:rPr>
          <w:sz w:val="24"/>
          <w:szCs w:val="24"/>
          <w:u w:val="single"/>
        </w:rPr>
        <w:t>Patrick Dodson</w:t>
      </w:r>
    </w:p>
    <w:p w14:paraId="1CFE32CB" w14:textId="77777777" w:rsidR="008C6E48" w:rsidRPr="00857D23" w:rsidRDefault="008C6E48" w:rsidP="008C6E48">
      <w:pPr>
        <w:rPr>
          <w:sz w:val="24"/>
          <w:szCs w:val="24"/>
          <w:u w:val="single"/>
        </w:rPr>
      </w:pPr>
    </w:p>
    <w:sectPr w:rsidR="008C6E48" w:rsidRPr="00857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FCD7" w14:textId="77777777" w:rsidR="00E61083" w:rsidRDefault="00E61083" w:rsidP="0054396B">
      <w:pPr>
        <w:spacing w:after="0" w:line="240" w:lineRule="auto"/>
      </w:pPr>
      <w:r>
        <w:separator/>
      </w:r>
    </w:p>
  </w:endnote>
  <w:endnote w:type="continuationSeparator" w:id="0">
    <w:p w14:paraId="2F1EF219" w14:textId="77777777" w:rsidR="00E61083" w:rsidRDefault="00E61083" w:rsidP="0054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8249F" w14:textId="77777777" w:rsidR="00E61083" w:rsidRDefault="00E61083" w:rsidP="0054396B">
      <w:pPr>
        <w:spacing w:after="0" w:line="240" w:lineRule="auto"/>
      </w:pPr>
      <w:r>
        <w:separator/>
      </w:r>
    </w:p>
  </w:footnote>
  <w:footnote w:type="continuationSeparator" w:id="0">
    <w:p w14:paraId="3431CFC1" w14:textId="77777777" w:rsidR="00E61083" w:rsidRDefault="00E61083" w:rsidP="00543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D09"/>
    <w:multiLevelType w:val="hybridMultilevel"/>
    <w:tmpl w:val="F56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212"/>
    <w:multiLevelType w:val="hybridMultilevel"/>
    <w:tmpl w:val="C678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942F9"/>
    <w:multiLevelType w:val="hybridMultilevel"/>
    <w:tmpl w:val="3F8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7D5F"/>
    <w:multiLevelType w:val="hybridMultilevel"/>
    <w:tmpl w:val="F2EE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404B7"/>
    <w:multiLevelType w:val="hybridMultilevel"/>
    <w:tmpl w:val="161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96773"/>
    <w:multiLevelType w:val="hybridMultilevel"/>
    <w:tmpl w:val="D2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43745"/>
    <w:multiLevelType w:val="hybridMultilevel"/>
    <w:tmpl w:val="1C72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A3C43"/>
    <w:multiLevelType w:val="multilevel"/>
    <w:tmpl w:val="C0447AA6"/>
    <w:lvl w:ilvl="0">
      <w:start w:val="1"/>
      <w:numFmt w:val="decimal"/>
      <w:pStyle w:val="Numbering"/>
      <w:isLgl/>
      <w:lvlText w:val="%1"/>
      <w:lvlJc w:val="left"/>
      <w:pPr>
        <w:tabs>
          <w:tab w:val="num" w:pos="800"/>
        </w:tabs>
        <w:ind w:left="800" w:hanging="440"/>
      </w:pPr>
      <w:rPr>
        <w:rFonts w:ascii="Helvetica" w:hAnsi="Helvetica" w:hint="default"/>
        <w:b w:val="0"/>
        <w:bCs w:val="0"/>
        <w:i w:val="0"/>
        <w:iCs w:val="0"/>
        <w:color w:val="auto"/>
        <w:sz w:val="16"/>
        <w:szCs w:val="16"/>
      </w:rPr>
    </w:lvl>
    <w:lvl w:ilvl="1">
      <w:start w:val="1"/>
      <w:numFmt w:val="none"/>
      <w:lvlRestart w:val="0"/>
      <w:lvlText w:val=""/>
      <w:lvlJc w:val="left"/>
      <w:pPr>
        <w:ind w:left="120" w:hanging="160"/>
      </w:pPr>
      <w:rPr>
        <w:rFonts w:hint="default"/>
      </w:rPr>
    </w:lvl>
    <w:lvl w:ilvl="2">
      <w:start w:val="1"/>
      <w:numFmt w:val="none"/>
      <w:suff w:val="space"/>
      <w:lvlText w:val=""/>
      <w:lvlJc w:val="left"/>
      <w:pPr>
        <w:ind w:left="120" w:hanging="160"/>
      </w:pPr>
      <w:rPr>
        <w:rFonts w:hint="default"/>
      </w:rPr>
    </w:lvl>
    <w:lvl w:ilvl="3">
      <w:start w:val="1"/>
      <w:numFmt w:val="none"/>
      <w:suff w:val="space"/>
      <w:lvlText w:val=""/>
      <w:lvlJc w:val="left"/>
      <w:pPr>
        <w:ind w:left="120" w:hanging="160"/>
      </w:pPr>
      <w:rPr>
        <w:rFonts w:hint="default"/>
      </w:rPr>
    </w:lvl>
    <w:lvl w:ilvl="4">
      <w:start w:val="1"/>
      <w:numFmt w:val="none"/>
      <w:suff w:val="space"/>
      <w:lvlText w:val=""/>
      <w:lvlJc w:val="left"/>
      <w:pPr>
        <w:ind w:left="120" w:hanging="160"/>
      </w:pPr>
      <w:rPr>
        <w:rFonts w:hint="default"/>
      </w:rPr>
    </w:lvl>
    <w:lvl w:ilvl="5">
      <w:start w:val="1"/>
      <w:numFmt w:val="none"/>
      <w:suff w:val="space"/>
      <w:lvlText w:val=""/>
      <w:lvlJc w:val="left"/>
      <w:pPr>
        <w:ind w:left="120" w:hanging="160"/>
      </w:pPr>
      <w:rPr>
        <w:rFonts w:hint="default"/>
      </w:rPr>
    </w:lvl>
    <w:lvl w:ilvl="6">
      <w:start w:val="1"/>
      <w:numFmt w:val="none"/>
      <w:suff w:val="space"/>
      <w:lvlText w:val=""/>
      <w:lvlJc w:val="left"/>
      <w:pPr>
        <w:ind w:left="120" w:hanging="160"/>
      </w:pPr>
      <w:rPr>
        <w:rFonts w:hint="default"/>
      </w:rPr>
    </w:lvl>
    <w:lvl w:ilvl="7">
      <w:start w:val="1"/>
      <w:numFmt w:val="none"/>
      <w:suff w:val="space"/>
      <w:lvlText w:val=""/>
      <w:lvlJc w:val="left"/>
      <w:pPr>
        <w:ind w:left="120" w:hanging="160"/>
      </w:pPr>
      <w:rPr>
        <w:rFonts w:hint="default"/>
      </w:rPr>
    </w:lvl>
    <w:lvl w:ilvl="8">
      <w:start w:val="1"/>
      <w:numFmt w:val="none"/>
      <w:suff w:val="space"/>
      <w:lvlText w:val=""/>
      <w:lvlJc w:val="left"/>
      <w:pPr>
        <w:ind w:left="120" w:hanging="160"/>
      </w:pPr>
      <w:rPr>
        <w:rFonts w:hint="default"/>
      </w:rPr>
    </w:lvl>
  </w:abstractNum>
  <w:abstractNum w:abstractNumId="8" w15:restartNumberingAfterBreak="0">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E40E3C"/>
    <w:multiLevelType w:val="hybridMultilevel"/>
    <w:tmpl w:val="9F1E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8329F"/>
    <w:multiLevelType w:val="hybridMultilevel"/>
    <w:tmpl w:val="7EC85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
  </w:num>
  <w:num w:numId="4">
    <w:abstractNumId w:val="0"/>
  </w:num>
  <w:num w:numId="5">
    <w:abstractNumId w:val="7"/>
  </w:num>
  <w:num w:numId="6">
    <w:abstractNumId w:val="3"/>
  </w:num>
  <w:num w:numId="7">
    <w:abstractNumId w:val="5"/>
  </w:num>
  <w:num w:numId="8">
    <w:abstractNumId w:val="4"/>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E48"/>
    <w:rsid w:val="00020A64"/>
    <w:rsid w:val="00065C66"/>
    <w:rsid w:val="0007451B"/>
    <w:rsid w:val="0007787E"/>
    <w:rsid w:val="00081F45"/>
    <w:rsid w:val="00087C47"/>
    <w:rsid w:val="000919C3"/>
    <w:rsid w:val="000A3CF4"/>
    <w:rsid w:val="000B3C8F"/>
    <w:rsid w:val="000C69DE"/>
    <w:rsid w:val="000C6B04"/>
    <w:rsid w:val="000D3686"/>
    <w:rsid w:val="000D5FB2"/>
    <w:rsid w:val="000F54B3"/>
    <w:rsid w:val="001173EB"/>
    <w:rsid w:val="00117DA8"/>
    <w:rsid w:val="00123531"/>
    <w:rsid w:val="00125B4D"/>
    <w:rsid w:val="001375A6"/>
    <w:rsid w:val="00144000"/>
    <w:rsid w:val="00167A01"/>
    <w:rsid w:val="0018045F"/>
    <w:rsid w:val="00181FDC"/>
    <w:rsid w:val="0019253C"/>
    <w:rsid w:val="001A1DF4"/>
    <w:rsid w:val="001B4C9D"/>
    <w:rsid w:val="001D1B2A"/>
    <w:rsid w:val="001E12AD"/>
    <w:rsid w:val="001E3018"/>
    <w:rsid w:val="001F45FC"/>
    <w:rsid w:val="002036F1"/>
    <w:rsid w:val="0020776E"/>
    <w:rsid w:val="00213244"/>
    <w:rsid w:val="00251483"/>
    <w:rsid w:val="0026366F"/>
    <w:rsid w:val="00265DCA"/>
    <w:rsid w:val="002770A1"/>
    <w:rsid w:val="002842B3"/>
    <w:rsid w:val="002D4401"/>
    <w:rsid w:val="002D669C"/>
    <w:rsid w:val="0033157E"/>
    <w:rsid w:val="00354F2C"/>
    <w:rsid w:val="00360D47"/>
    <w:rsid w:val="0036387D"/>
    <w:rsid w:val="00366EE7"/>
    <w:rsid w:val="0037774F"/>
    <w:rsid w:val="003A30FD"/>
    <w:rsid w:val="003B0F0E"/>
    <w:rsid w:val="004035B4"/>
    <w:rsid w:val="00441498"/>
    <w:rsid w:val="00447898"/>
    <w:rsid w:val="00456DE3"/>
    <w:rsid w:val="00457F81"/>
    <w:rsid w:val="00460BF1"/>
    <w:rsid w:val="00477247"/>
    <w:rsid w:val="00477B5B"/>
    <w:rsid w:val="00482861"/>
    <w:rsid w:val="00486940"/>
    <w:rsid w:val="00486DDC"/>
    <w:rsid w:val="004A1DE3"/>
    <w:rsid w:val="004B0077"/>
    <w:rsid w:val="004B4FC8"/>
    <w:rsid w:val="004D0F29"/>
    <w:rsid w:val="004D736A"/>
    <w:rsid w:val="005209CE"/>
    <w:rsid w:val="0054339A"/>
    <w:rsid w:val="0054396B"/>
    <w:rsid w:val="00571D26"/>
    <w:rsid w:val="00594FF0"/>
    <w:rsid w:val="005B04F8"/>
    <w:rsid w:val="005C2048"/>
    <w:rsid w:val="005D21B8"/>
    <w:rsid w:val="0060066E"/>
    <w:rsid w:val="00653E49"/>
    <w:rsid w:val="006A6A0F"/>
    <w:rsid w:val="006B00C9"/>
    <w:rsid w:val="006B31B2"/>
    <w:rsid w:val="006D514C"/>
    <w:rsid w:val="006F1DC2"/>
    <w:rsid w:val="006F218F"/>
    <w:rsid w:val="00706853"/>
    <w:rsid w:val="007744AE"/>
    <w:rsid w:val="007A1A74"/>
    <w:rsid w:val="007A3132"/>
    <w:rsid w:val="007A7E58"/>
    <w:rsid w:val="007C073A"/>
    <w:rsid w:val="007E013A"/>
    <w:rsid w:val="007F3ED0"/>
    <w:rsid w:val="007F69FC"/>
    <w:rsid w:val="0080003C"/>
    <w:rsid w:val="00802192"/>
    <w:rsid w:val="008066AB"/>
    <w:rsid w:val="00857D23"/>
    <w:rsid w:val="00873E62"/>
    <w:rsid w:val="008846B1"/>
    <w:rsid w:val="00893B8A"/>
    <w:rsid w:val="00893FBD"/>
    <w:rsid w:val="008A63E8"/>
    <w:rsid w:val="008C1195"/>
    <w:rsid w:val="008C35D8"/>
    <w:rsid w:val="008C6E48"/>
    <w:rsid w:val="008D173B"/>
    <w:rsid w:val="008D6DFC"/>
    <w:rsid w:val="008E3893"/>
    <w:rsid w:val="008F639F"/>
    <w:rsid w:val="0090583D"/>
    <w:rsid w:val="0091204C"/>
    <w:rsid w:val="009201AC"/>
    <w:rsid w:val="009368FD"/>
    <w:rsid w:val="00952986"/>
    <w:rsid w:val="00961859"/>
    <w:rsid w:val="00970F0C"/>
    <w:rsid w:val="00983642"/>
    <w:rsid w:val="0099765E"/>
    <w:rsid w:val="009B1EF5"/>
    <w:rsid w:val="009E1554"/>
    <w:rsid w:val="009F12FD"/>
    <w:rsid w:val="00A0731B"/>
    <w:rsid w:val="00A12B5F"/>
    <w:rsid w:val="00A44816"/>
    <w:rsid w:val="00A61BDF"/>
    <w:rsid w:val="00AC2C17"/>
    <w:rsid w:val="00AC3FA0"/>
    <w:rsid w:val="00AD6FA2"/>
    <w:rsid w:val="00AF798A"/>
    <w:rsid w:val="00B018E5"/>
    <w:rsid w:val="00B027AA"/>
    <w:rsid w:val="00B3065B"/>
    <w:rsid w:val="00B417A2"/>
    <w:rsid w:val="00B44130"/>
    <w:rsid w:val="00B46D53"/>
    <w:rsid w:val="00B56E7F"/>
    <w:rsid w:val="00B60852"/>
    <w:rsid w:val="00B82050"/>
    <w:rsid w:val="00B83873"/>
    <w:rsid w:val="00B90798"/>
    <w:rsid w:val="00BC6C1A"/>
    <w:rsid w:val="00C1691B"/>
    <w:rsid w:val="00C2281D"/>
    <w:rsid w:val="00C3055B"/>
    <w:rsid w:val="00C4073B"/>
    <w:rsid w:val="00C70760"/>
    <w:rsid w:val="00C87675"/>
    <w:rsid w:val="00CB6B0A"/>
    <w:rsid w:val="00CB7A02"/>
    <w:rsid w:val="00CC69CE"/>
    <w:rsid w:val="00CF7B9D"/>
    <w:rsid w:val="00D0583D"/>
    <w:rsid w:val="00D0585D"/>
    <w:rsid w:val="00D062E8"/>
    <w:rsid w:val="00D31082"/>
    <w:rsid w:val="00D51408"/>
    <w:rsid w:val="00D576FA"/>
    <w:rsid w:val="00D610D5"/>
    <w:rsid w:val="00D65EB5"/>
    <w:rsid w:val="00DA225F"/>
    <w:rsid w:val="00DA4727"/>
    <w:rsid w:val="00DB2214"/>
    <w:rsid w:val="00DF32EC"/>
    <w:rsid w:val="00E21FAE"/>
    <w:rsid w:val="00E305C1"/>
    <w:rsid w:val="00E337FF"/>
    <w:rsid w:val="00E36795"/>
    <w:rsid w:val="00E36BFD"/>
    <w:rsid w:val="00E4032D"/>
    <w:rsid w:val="00E61083"/>
    <w:rsid w:val="00E71975"/>
    <w:rsid w:val="00E86ED8"/>
    <w:rsid w:val="00E90822"/>
    <w:rsid w:val="00E94F28"/>
    <w:rsid w:val="00EF3103"/>
    <w:rsid w:val="00F122B1"/>
    <w:rsid w:val="00F13463"/>
    <w:rsid w:val="00F36B5D"/>
    <w:rsid w:val="00F43965"/>
    <w:rsid w:val="00F571B4"/>
    <w:rsid w:val="00F7357F"/>
    <w:rsid w:val="00F93268"/>
    <w:rsid w:val="00FE48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C7CEB"/>
  <w15:docId w15:val="{2909E320-1702-4A16-AA81-DBA0D1D8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26"/>
    <w:pPr>
      <w:ind w:left="720"/>
      <w:contextualSpacing/>
    </w:pPr>
  </w:style>
  <w:style w:type="character" w:styleId="Hyperlink">
    <w:name w:val="Hyperlink"/>
    <w:basedOn w:val="DefaultParagraphFont"/>
    <w:uiPriority w:val="99"/>
    <w:unhideWhenUsed/>
    <w:rsid w:val="00E90822"/>
    <w:rPr>
      <w:color w:val="0563C1" w:themeColor="hyperlink"/>
      <w:u w:val="single"/>
    </w:rPr>
  </w:style>
  <w:style w:type="character" w:customStyle="1" w:styleId="apple-style-span">
    <w:name w:val="apple-style-span"/>
    <w:rsid w:val="00DA4727"/>
  </w:style>
  <w:style w:type="paragraph" w:styleId="z-BottomofForm">
    <w:name w:val="HTML Bottom of Form"/>
    <w:basedOn w:val="Normal"/>
    <w:next w:val="Normal"/>
    <w:link w:val="z-BottomofFormChar"/>
    <w:hidden/>
    <w:uiPriority w:val="99"/>
    <w:semiHidden/>
    <w:unhideWhenUsed/>
    <w:rsid w:val="00DA4727"/>
    <w:pPr>
      <w:pBdr>
        <w:top w:val="single" w:sz="6" w:space="1" w:color="auto"/>
      </w:pBdr>
      <w:spacing w:after="0" w:line="276" w:lineRule="auto"/>
      <w:jc w:val="center"/>
    </w:pPr>
    <w:rPr>
      <w:rFonts w:ascii="Arial" w:eastAsia="Calibri" w:hAnsi="Arial" w:cs="Arial"/>
      <w:vanish/>
      <w:sz w:val="16"/>
      <w:szCs w:val="16"/>
      <w:lang w:val="en-US"/>
    </w:rPr>
  </w:style>
  <w:style w:type="character" w:customStyle="1" w:styleId="z-BottomofFormChar">
    <w:name w:val="z-Bottom of Form Char"/>
    <w:basedOn w:val="DefaultParagraphFont"/>
    <w:link w:val="z-BottomofForm"/>
    <w:uiPriority w:val="99"/>
    <w:semiHidden/>
    <w:rsid w:val="00DA4727"/>
    <w:rPr>
      <w:rFonts w:ascii="Arial" w:eastAsia="Calibri" w:hAnsi="Arial" w:cs="Arial"/>
      <w:vanish/>
      <w:sz w:val="16"/>
      <w:szCs w:val="16"/>
      <w:lang w:val="en-US"/>
    </w:rPr>
  </w:style>
  <w:style w:type="paragraph" w:styleId="z-TopofForm">
    <w:name w:val="HTML Top of Form"/>
    <w:basedOn w:val="Normal"/>
    <w:next w:val="Normal"/>
    <w:link w:val="z-TopofFormChar"/>
    <w:hidden/>
    <w:uiPriority w:val="99"/>
    <w:semiHidden/>
    <w:unhideWhenUsed/>
    <w:rsid w:val="00DA4727"/>
    <w:pPr>
      <w:pBdr>
        <w:bottom w:val="single" w:sz="6" w:space="1" w:color="auto"/>
      </w:pBdr>
      <w:spacing w:after="0" w:line="276" w:lineRule="auto"/>
      <w:jc w:val="center"/>
    </w:pPr>
    <w:rPr>
      <w:rFonts w:ascii="Arial" w:eastAsia="Calibri" w:hAnsi="Arial" w:cs="Arial"/>
      <w:vanish/>
      <w:sz w:val="16"/>
      <w:szCs w:val="16"/>
      <w:lang w:val="en-US"/>
    </w:rPr>
  </w:style>
  <w:style w:type="character" w:customStyle="1" w:styleId="z-TopofFormChar">
    <w:name w:val="z-Top of Form Char"/>
    <w:basedOn w:val="DefaultParagraphFont"/>
    <w:link w:val="z-TopofForm"/>
    <w:uiPriority w:val="99"/>
    <w:semiHidden/>
    <w:rsid w:val="00DA4727"/>
    <w:rPr>
      <w:rFonts w:ascii="Arial" w:eastAsia="Calibri" w:hAnsi="Arial" w:cs="Arial"/>
      <w:vanish/>
      <w:sz w:val="16"/>
      <w:szCs w:val="16"/>
      <w:lang w:val="en-US"/>
    </w:rPr>
  </w:style>
  <w:style w:type="character" w:styleId="CommentReference">
    <w:name w:val="annotation reference"/>
    <w:basedOn w:val="DefaultParagraphFont"/>
    <w:uiPriority w:val="99"/>
    <w:semiHidden/>
    <w:unhideWhenUsed/>
    <w:rsid w:val="008C35D8"/>
    <w:rPr>
      <w:sz w:val="16"/>
      <w:szCs w:val="16"/>
    </w:rPr>
  </w:style>
  <w:style w:type="paragraph" w:styleId="CommentText">
    <w:name w:val="annotation text"/>
    <w:basedOn w:val="Normal"/>
    <w:link w:val="CommentTextChar"/>
    <w:uiPriority w:val="99"/>
    <w:semiHidden/>
    <w:unhideWhenUsed/>
    <w:rsid w:val="008C35D8"/>
    <w:pPr>
      <w:spacing w:line="240" w:lineRule="auto"/>
    </w:pPr>
    <w:rPr>
      <w:sz w:val="20"/>
      <w:szCs w:val="20"/>
    </w:rPr>
  </w:style>
  <w:style w:type="character" w:customStyle="1" w:styleId="CommentTextChar">
    <w:name w:val="Comment Text Char"/>
    <w:basedOn w:val="DefaultParagraphFont"/>
    <w:link w:val="CommentText"/>
    <w:uiPriority w:val="99"/>
    <w:semiHidden/>
    <w:rsid w:val="008C35D8"/>
    <w:rPr>
      <w:sz w:val="20"/>
      <w:szCs w:val="20"/>
    </w:rPr>
  </w:style>
  <w:style w:type="paragraph" w:styleId="CommentSubject">
    <w:name w:val="annotation subject"/>
    <w:basedOn w:val="CommentText"/>
    <w:next w:val="CommentText"/>
    <w:link w:val="CommentSubjectChar"/>
    <w:uiPriority w:val="99"/>
    <w:semiHidden/>
    <w:unhideWhenUsed/>
    <w:rsid w:val="008C35D8"/>
    <w:rPr>
      <w:b/>
      <w:bCs/>
    </w:rPr>
  </w:style>
  <w:style w:type="character" w:customStyle="1" w:styleId="CommentSubjectChar">
    <w:name w:val="Comment Subject Char"/>
    <w:basedOn w:val="CommentTextChar"/>
    <w:link w:val="CommentSubject"/>
    <w:uiPriority w:val="99"/>
    <w:semiHidden/>
    <w:rsid w:val="008C35D8"/>
    <w:rPr>
      <w:b/>
      <w:bCs/>
      <w:sz w:val="20"/>
      <w:szCs w:val="20"/>
    </w:rPr>
  </w:style>
  <w:style w:type="paragraph" w:styleId="BalloonText">
    <w:name w:val="Balloon Text"/>
    <w:basedOn w:val="Normal"/>
    <w:link w:val="BalloonTextChar"/>
    <w:uiPriority w:val="99"/>
    <w:semiHidden/>
    <w:unhideWhenUsed/>
    <w:rsid w:val="008C3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D8"/>
    <w:rPr>
      <w:rFonts w:ascii="Segoe UI" w:hAnsi="Segoe UI" w:cs="Segoe UI"/>
      <w:sz w:val="18"/>
      <w:szCs w:val="18"/>
    </w:rPr>
  </w:style>
  <w:style w:type="paragraph" w:customStyle="1" w:styleId="Numbering">
    <w:name w:val="+Numbering"/>
    <w:basedOn w:val="Normal"/>
    <w:qFormat/>
    <w:rsid w:val="00857D23"/>
    <w:pPr>
      <w:numPr>
        <w:numId w:val="5"/>
      </w:numPr>
      <w:spacing w:before="80" w:after="80" w:line="240" w:lineRule="auto"/>
    </w:pPr>
    <w:rPr>
      <w:rFonts w:ascii="Helvetica" w:eastAsiaTheme="minorEastAsia" w:hAnsi="Helvetica"/>
      <w:lang w:val="en-US"/>
    </w:rPr>
  </w:style>
  <w:style w:type="paragraph" w:customStyle="1" w:styleId="Normal1">
    <w:name w:val="Normal1"/>
    <w:rsid w:val="00C2281D"/>
    <w:pPr>
      <w:spacing w:after="0" w:line="240" w:lineRule="auto"/>
    </w:pPr>
    <w:rPr>
      <w:rFonts w:ascii="Cambria" w:eastAsia="Cambria" w:hAnsi="Cambria" w:cs="Cambria"/>
      <w:color w:val="000000"/>
      <w:sz w:val="24"/>
      <w:szCs w:val="24"/>
      <w:lang w:val="en-US"/>
    </w:rPr>
  </w:style>
  <w:style w:type="character" w:customStyle="1" w:styleId="UnresolvedMention1">
    <w:name w:val="Unresolved Mention1"/>
    <w:basedOn w:val="DefaultParagraphFont"/>
    <w:uiPriority w:val="99"/>
    <w:rsid w:val="00E71975"/>
    <w:rPr>
      <w:color w:val="808080"/>
      <w:shd w:val="clear" w:color="auto" w:fill="E6E6E6"/>
    </w:rPr>
  </w:style>
  <w:style w:type="character" w:styleId="FollowedHyperlink">
    <w:name w:val="FollowedHyperlink"/>
    <w:basedOn w:val="DefaultParagraphFont"/>
    <w:uiPriority w:val="99"/>
    <w:semiHidden/>
    <w:unhideWhenUsed/>
    <w:rsid w:val="00520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report-comments-irp-supp-procedures-02aug17-en.pdf" TargetMode="External"/><Relationship Id="rId13" Type="http://schemas.openxmlformats.org/officeDocument/2006/relationships/hyperlink" Target="https://www.icann.org/public-comments/irp-supp-procedures-2016-11-28-en" TargetMode="External"/><Relationship Id="rId3" Type="http://schemas.openxmlformats.org/officeDocument/2006/relationships/settings" Target="settings.xml"/><Relationship Id="rId7" Type="http://schemas.openxmlformats.org/officeDocument/2006/relationships/hyperlink" Target="https://www.icann.org/public-comments/irp-supp-procedures-2016-11-28-en" TargetMode="External"/><Relationship Id="rId12" Type="http://schemas.openxmlformats.org/officeDocument/2006/relationships/hyperlink" Target="https://www.icann.org/resources/pages/governance/bylaw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public-comments/irp-supp-procedures-2016-11-28-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ann.org/en/system/files/files/draft-irp-supp-procedures-31oct16-en.pdf" TargetMode="External"/><Relationship Id="rId4" Type="http://schemas.openxmlformats.org/officeDocument/2006/relationships/webSettings" Target="webSettings.xml"/><Relationship Id="rId9" Type="http://schemas.openxmlformats.org/officeDocument/2006/relationships/hyperlink" Target="https://forum.icann.org/lists/comments-irp-supp-procedures-28nov16/" TargetMode="External"/><Relationship Id="rId14" Type="http://schemas.openxmlformats.org/officeDocument/2006/relationships/hyperlink" Target="https://community.icann.org/display/WEIA/WP-IOT+-+IRP+Implementation+Oversigh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Turcotte</dc:creator>
  <cp:keywords/>
  <dc:description/>
  <cp:lastModifiedBy>Bernard Turcotte</cp:lastModifiedBy>
  <cp:revision>3</cp:revision>
  <dcterms:created xsi:type="dcterms:W3CDTF">2018-06-20T13:30:00Z</dcterms:created>
  <dcterms:modified xsi:type="dcterms:W3CDTF">2018-06-20T13:33:00Z</dcterms:modified>
</cp:coreProperties>
</file>