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3E02" w14:textId="4722F3C3" w:rsidR="00B55C26" w:rsidRDefault="0013760A" w:rsidP="00603194">
      <w:pPr>
        <w:pStyle w:val="Title"/>
      </w:pPr>
      <w:r>
        <w:t xml:space="preserve">Response </w:t>
      </w:r>
      <w:r w:rsidR="00607616">
        <w:t>to</w:t>
      </w:r>
      <w:r>
        <w:t xml:space="preserve"> </w:t>
      </w:r>
      <w:r w:rsidR="00B55C26">
        <w:t>IP</w:t>
      </w:r>
      <w:r w:rsidR="00524B6D">
        <w:t xml:space="preserve"> </w:t>
      </w:r>
      <w:r w:rsidR="00607616">
        <w:t>on second round of</w:t>
      </w:r>
      <w:r w:rsidR="00A61594">
        <w:t xml:space="preserve"> GJ LGR</w:t>
      </w:r>
      <w:r w:rsidR="00607616">
        <w:t xml:space="preserve"> feedback received on 25</w:t>
      </w:r>
      <w:r w:rsidR="00607616" w:rsidRPr="00607616">
        <w:rPr>
          <w:vertAlign w:val="superscript"/>
        </w:rPr>
        <w:t>th</w:t>
      </w:r>
      <w:r w:rsidR="00607616">
        <w:t xml:space="preserve"> March 2018</w:t>
      </w:r>
      <w:r w:rsidR="006376BB">
        <w:t xml:space="preserve"> </w:t>
      </w:r>
      <w:r w:rsidR="009144F8">
        <w:t>(</w:t>
      </w:r>
      <w:r w:rsidR="00603194">
        <w:t>On p</w:t>
      </w:r>
      <w:r w:rsidR="009144F8">
        <w:t xml:space="preserve">roposal of </w:t>
      </w:r>
      <w:r w:rsidRPr="0013760A">
        <w:t>2018-</w:t>
      </w:r>
      <w:r w:rsidR="007D5F22" w:rsidRPr="0013760A">
        <w:t>0</w:t>
      </w:r>
      <w:r w:rsidR="007D5F22">
        <w:t>3</w:t>
      </w:r>
      <w:r w:rsidRPr="0013760A">
        <w:t>-</w:t>
      </w:r>
      <w:r w:rsidR="006B1274">
        <w:t>03</w:t>
      </w:r>
      <w:r w:rsidR="009144F8">
        <w:t>)</w:t>
      </w:r>
    </w:p>
    <w:p w14:paraId="11CBD15C" w14:textId="41CB96F0" w:rsidR="00B55C26" w:rsidRDefault="00B55C26" w:rsidP="00CD4B60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DATE: 2018-</w:t>
      </w:r>
      <w:r w:rsidR="00FC1DFA">
        <w:rPr>
          <w:rFonts w:ascii="Times" w:eastAsia="Times New Roman" w:hAnsi="Times" w:cs="Times New Roman"/>
          <w:sz w:val="20"/>
          <w:szCs w:val="20"/>
        </w:rPr>
        <w:t>0</w:t>
      </w:r>
      <w:r w:rsidR="00426E5D">
        <w:rPr>
          <w:rFonts w:ascii="Times" w:eastAsia="Times New Roman" w:hAnsi="Times" w:cs="Times New Roman"/>
          <w:sz w:val="20"/>
          <w:szCs w:val="20"/>
        </w:rPr>
        <w:t>4</w:t>
      </w:r>
      <w:r>
        <w:rPr>
          <w:rFonts w:ascii="Times" w:eastAsia="Times New Roman" w:hAnsi="Times" w:cs="Times New Roman"/>
          <w:sz w:val="20"/>
          <w:szCs w:val="20"/>
        </w:rPr>
        <w:t>-</w:t>
      </w:r>
      <w:r w:rsidR="00426E5D">
        <w:rPr>
          <w:rFonts w:ascii="Times" w:eastAsia="Times New Roman" w:hAnsi="Times" w:cs="Times New Roman"/>
          <w:sz w:val="20"/>
          <w:szCs w:val="20"/>
        </w:rPr>
        <w:t>19</w:t>
      </w:r>
    </w:p>
    <w:p w14:paraId="532B68D9" w14:textId="77777777" w:rsidR="00B55C26" w:rsidRDefault="00B55C26" w:rsidP="00B55C26">
      <w:pPr>
        <w:pStyle w:val="Heading1"/>
      </w:pPr>
      <w:r>
        <w:t>Overview</w:t>
      </w:r>
    </w:p>
    <w:p w14:paraId="4362300A" w14:textId="3447C00A" w:rsidR="00140E9F" w:rsidRDefault="00CB2270" w:rsidP="002C5297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document is the </w:t>
      </w:r>
      <w:r w:rsidR="00F901AD">
        <w:rPr>
          <w:rFonts w:eastAsia="Times New Roman" w:cs="Times New Roman"/>
        </w:rPr>
        <w:t>Neo-Brahmi GP</w:t>
      </w:r>
      <w:r>
        <w:rPr>
          <w:rFonts w:eastAsia="Times New Roman" w:cs="Times New Roman"/>
        </w:rPr>
        <w:t xml:space="preserve"> response to the</w:t>
      </w:r>
      <w:r w:rsidR="00140E9F">
        <w:rPr>
          <w:rFonts w:eastAsia="Times New Roman" w:cs="Times New Roman"/>
        </w:rPr>
        <w:t xml:space="preserve"> second version of </w:t>
      </w:r>
      <w:r w:rsidR="00F901AD">
        <w:rPr>
          <w:rFonts w:eastAsia="Times New Roman" w:cs="Times New Roman"/>
        </w:rPr>
        <w:t>the feedback received by NBGP on 25</w:t>
      </w:r>
      <w:r w:rsidR="00F901AD" w:rsidRPr="00F901AD">
        <w:rPr>
          <w:rFonts w:eastAsia="Times New Roman" w:cs="Times New Roman"/>
          <w:vertAlign w:val="superscript"/>
        </w:rPr>
        <w:t>th</w:t>
      </w:r>
      <w:r w:rsidR="00F901AD">
        <w:rPr>
          <w:rFonts w:eastAsia="Times New Roman" w:cs="Times New Roman"/>
        </w:rPr>
        <w:t xml:space="preserve"> Mar. 2018</w:t>
      </w:r>
      <w:r w:rsidR="00140E9F">
        <w:rPr>
          <w:rFonts w:eastAsia="Times New Roman" w:cs="Times New Roman"/>
        </w:rPr>
        <w:t>.</w:t>
      </w:r>
    </w:p>
    <w:p w14:paraId="6155864E" w14:textId="77777777" w:rsidR="00D02949" w:rsidRDefault="00D02949" w:rsidP="00D02949">
      <w:pPr>
        <w:pStyle w:val="Heading1"/>
      </w:pPr>
      <w:r>
        <w:t>Conclusion</w:t>
      </w:r>
    </w:p>
    <w:p w14:paraId="73608FA0" w14:textId="45AC2044" w:rsidR="00423675" w:rsidRPr="00423675" w:rsidRDefault="00423675" w:rsidP="00423675">
      <w:pPr>
        <w:rPr>
          <w:color w:val="000000" w:themeColor="text1"/>
        </w:rPr>
      </w:pPr>
      <w:r w:rsidRPr="00423675">
        <w:rPr>
          <w:color w:val="000000" w:themeColor="text1"/>
        </w:rPr>
        <w:t xml:space="preserve">The NBGP has modified the document as per the suggestions from IP. </w:t>
      </w:r>
      <w:proofErr w:type="gramStart"/>
      <w:r w:rsidRPr="00423675">
        <w:rPr>
          <w:color w:val="000000" w:themeColor="text1"/>
        </w:rPr>
        <w:t>following</w:t>
      </w:r>
      <w:proofErr w:type="gramEnd"/>
      <w:r w:rsidRPr="00423675">
        <w:rPr>
          <w:color w:val="000000" w:themeColor="text1"/>
        </w:rPr>
        <w:t xml:space="preserve"> table gives NBGP response to specific suggestions. </w:t>
      </w:r>
    </w:p>
    <w:p w14:paraId="4A9B5AE2" w14:textId="654D5FB0" w:rsidR="00423675" w:rsidRPr="00423675" w:rsidRDefault="00423675" w:rsidP="005A7FBB">
      <w:pPr>
        <w:rPr>
          <w:color w:val="000000" w:themeColor="text1"/>
        </w:rPr>
      </w:pPr>
      <w:r w:rsidRPr="00423675">
        <w:rPr>
          <w:color w:val="000000" w:themeColor="text1"/>
        </w:rPr>
        <w:t>I</w:t>
      </w:r>
      <w:r>
        <w:rPr>
          <w:color w:val="000000" w:themeColor="text1"/>
        </w:rPr>
        <w:t xml:space="preserve">n addition, </w:t>
      </w:r>
      <w:r w:rsidR="005A7FBB">
        <w:rPr>
          <w:color w:val="000000" w:themeColor="text1"/>
        </w:rPr>
        <w:t>as per the</w:t>
      </w:r>
      <w:r>
        <w:rPr>
          <w:color w:val="000000" w:themeColor="text1"/>
        </w:rPr>
        <w:t xml:space="preserve"> internal discussions, two changes which were not suggested by IP. </w:t>
      </w:r>
    </w:p>
    <w:p w14:paraId="3A978596" w14:textId="3C362820" w:rsidR="00D96A78" w:rsidRDefault="00423675" w:rsidP="00D02949">
      <w:r>
        <w:t xml:space="preserve">1. </w:t>
      </w:r>
      <w:r w:rsidR="00D96A78" w:rsidRPr="008919A4">
        <w:t xml:space="preserve">A major change has been done to Gujarati LGR in WLE section. The rule No. 6 in WLE section has been removed as having explicit </w:t>
      </w:r>
      <w:proofErr w:type="spellStart"/>
      <w:r w:rsidR="00D96A78" w:rsidRPr="008919A4">
        <w:t>halant</w:t>
      </w:r>
      <w:proofErr w:type="spellEnd"/>
      <w:r w:rsidR="00D96A78" w:rsidRPr="008919A4">
        <w:t xml:space="preserve"> in Gujarati text is very rare and a dying practice. This enables an average Gujarati reader distinguish the same word with and without </w:t>
      </w:r>
      <w:proofErr w:type="spellStart"/>
      <w:r w:rsidR="00D96A78" w:rsidRPr="008919A4">
        <w:t>halant</w:t>
      </w:r>
      <w:proofErr w:type="spellEnd"/>
      <w:r w:rsidR="00D96A78" w:rsidRPr="008919A4">
        <w:t xml:space="preserve">. Hence it is presumed that there would be no confusion to the reader. Hence the said rule is being removed. </w:t>
      </w:r>
    </w:p>
    <w:p w14:paraId="04AE1F02" w14:textId="19EFEFA3" w:rsidR="00423675" w:rsidRDefault="00423675" w:rsidP="00D02949">
      <w:r>
        <w:t xml:space="preserve">2. The WLE rules in Section 7 (Rule 2 and Rule 5) have been modified to make </w:t>
      </w:r>
      <w:proofErr w:type="spellStart"/>
      <w:r>
        <w:t>N</w:t>
      </w:r>
      <w:proofErr w:type="spellEnd"/>
      <w:r>
        <w:t xml:space="preserve"> independent from C. </w:t>
      </w:r>
    </w:p>
    <w:p w14:paraId="25690873" w14:textId="737546E3" w:rsidR="005A7FBB" w:rsidRPr="007A3142" w:rsidRDefault="005A7FBB" w:rsidP="00784CD1">
      <w:r>
        <w:t xml:space="preserve">All the common issues that were flagged by IP have also been taken care of in this </w:t>
      </w:r>
      <w:bookmarkStart w:id="0" w:name="_GoBack"/>
      <w:r w:rsidR="00784CD1" w:rsidRPr="007A3142">
        <w:t>revision</w:t>
      </w:r>
    </w:p>
    <w:p w14:paraId="4E4D4B0B" w14:textId="57B56F95" w:rsidR="005A7FBB" w:rsidRPr="007A3142" w:rsidRDefault="007A3142" w:rsidP="005A7FBB">
      <w:r w:rsidRPr="007A3142">
        <w:t>The test label file is added.</w:t>
      </w:r>
    </w:p>
    <w:bookmarkEnd w:id="0"/>
    <w:p w14:paraId="4975FBE5" w14:textId="77777777" w:rsidR="005A7FBB" w:rsidRPr="005A7FBB" w:rsidRDefault="005A7FBB" w:rsidP="00D02949">
      <w:pPr>
        <w:rPr>
          <w:b/>
          <w:bCs/>
        </w:rPr>
      </w:pPr>
    </w:p>
    <w:p w14:paraId="2D2244E8" w14:textId="77777777" w:rsidR="00C469EA" w:rsidRDefault="00DE62A9" w:rsidP="00174671">
      <w:pPr>
        <w:pStyle w:val="Heading2"/>
        <w:rPr>
          <w:kern w:val="36"/>
        </w:rPr>
      </w:pPr>
      <w:r w:rsidRPr="00E517EE">
        <w:rPr>
          <w:kern w:val="36"/>
        </w:rPr>
        <w:t>Comments on main document</w:t>
      </w:r>
      <w:r w:rsidR="00250E9B">
        <w:rPr>
          <w:kern w:val="36"/>
        </w:rPr>
        <w:t xml:space="preserve"> (.</w:t>
      </w:r>
      <w:proofErr w:type="spellStart"/>
      <w:r w:rsidR="00250E9B">
        <w:rPr>
          <w:kern w:val="36"/>
        </w:rPr>
        <w:t>docx</w:t>
      </w:r>
      <w:proofErr w:type="spellEnd"/>
      <w:r w:rsidR="00250E9B">
        <w:rPr>
          <w:kern w:val="36"/>
        </w:rPr>
        <w:t>)</w:t>
      </w:r>
    </w:p>
    <w:p w14:paraId="16BA36B3" w14:textId="77777777" w:rsidR="00EF2D99" w:rsidRPr="00E517EE" w:rsidRDefault="00EF2D99" w:rsidP="00E517EE">
      <w:pPr>
        <w:spacing w:after="0"/>
        <w:rPr>
          <w:rFonts w:ascii="Times" w:eastAsia="Times New Roman" w:hAnsi="Times" w:cs="Times New Roman"/>
          <w:b/>
          <w:bCs/>
          <w:kern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188"/>
        <w:gridCol w:w="3150"/>
        <w:gridCol w:w="3510"/>
        <w:gridCol w:w="1890"/>
      </w:tblGrid>
      <w:tr w:rsidR="00764DA7" w:rsidRPr="00EF2D99" w14:paraId="66E7F57E" w14:textId="41F7E737" w:rsidTr="00764DA7">
        <w:tc>
          <w:tcPr>
            <w:tcW w:w="1188" w:type="dxa"/>
          </w:tcPr>
          <w:p w14:paraId="00D13045" w14:textId="77777777" w:rsidR="00764DA7" w:rsidRPr="00EF2D99" w:rsidRDefault="00764DA7" w:rsidP="002D2752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 xml:space="preserve">Item </w:t>
            </w:r>
          </w:p>
        </w:tc>
        <w:tc>
          <w:tcPr>
            <w:tcW w:w="3150" w:type="dxa"/>
          </w:tcPr>
          <w:p w14:paraId="7435863A" w14:textId="77777777" w:rsidR="00764DA7" w:rsidRPr="00EF2D99" w:rsidRDefault="00764DA7" w:rsidP="002D2752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>Issue</w:t>
            </w:r>
          </w:p>
        </w:tc>
        <w:tc>
          <w:tcPr>
            <w:tcW w:w="3510" w:type="dxa"/>
          </w:tcPr>
          <w:p w14:paraId="446B63FF" w14:textId="77777777" w:rsidR="00764DA7" w:rsidRPr="00EF2D99" w:rsidRDefault="00764DA7" w:rsidP="006E7B8E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 xml:space="preserve">IP </w:t>
            </w:r>
            <w:r>
              <w:rPr>
                <w:b/>
                <w:bCs/>
              </w:rPr>
              <w:t>Comment</w:t>
            </w:r>
          </w:p>
        </w:tc>
        <w:tc>
          <w:tcPr>
            <w:tcW w:w="1890" w:type="dxa"/>
          </w:tcPr>
          <w:p w14:paraId="5E6E0584" w14:textId="6DB62871" w:rsidR="00764DA7" w:rsidRPr="00EF2D99" w:rsidRDefault="00764DA7" w:rsidP="006E7B8E">
            <w:pPr>
              <w:rPr>
                <w:b/>
                <w:bCs/>
              </w:rPr>
            </w:pPr>
            <w:r>
              <w:rPr>
                <w:b/>
                <w:bCs/>
              </w:rPr>
              <w:t>NBGP Response</w:t>
            </w:r>
          </w:p>
        </w:tc>
      </w:tr>
      <w:tr w:rsidR="00764DA7" w:rsidRPr="00101EDC" w14:paraId="643D769C" w14:textId="3DD67F4E" w:rsidTr="00764DA7">
        <w:tc>
          <w:tcPr>
            <w:tcW w:w="1188" w:type="dxa"/>
          </w:tcPr>
          <w:p w14:paraId="6BC1C407" w14:textId="77777777" w:rsidR="00764DA7" w:rsidRDefault="00764DA7" w:rsidP="002D2752">
            <w:pPr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14:paraId="038A37E8" w14:textId="77777777" w:rsidR="00764DA7" w:rsidRDefault="00764DA7" w:rsidP="002D2752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8F8064" w14:textId="77777777" w:rsidR="00764DA7" w:rsidRDefault="00764DA7" w:rsidP="002D2752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DEB1D1" w14:textId="77777777" w:rsidR="00764DA7" w:rsidRDefault="00764DA7" w:rsidP="002D2752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764DA7" w:rsidRPr="00101EDC" w14:paraId="3CFF3BA7" w14:textId="4258A100" w:rsidTr="00764DA7">
        <w:tc>
          <w:tcPr>
            <w:tcW w:w="1188" w:type="dxa"/>
          </w:tcPr>
          <w:p w14:paraId="24FC294C" w14:textId="77777777" w:rsidR="00764DA7" w:rsidRDefault="00764DA7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§3.4.6, pp. 11-12</w:t>
            </w:r>
          </w:p>
        </w:tc>
        <w:tc>
          <w:tcPr>
            <w:tcW w:w="3150" w:type="dxa"/>
          </w:tcPr>
          <w:p w14:paraId="78C90E4A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There are two text passages in Gujarati.</w:t>
            </w:r>
          </w:p>
        </w:tc>
        <w:tc>
          <w:tcPr>
            <w:tcW w:w="3510" w:type="dxa"/>
          </w:tcPr>
          <w:p w14:paraId="54362A3D" w14:textId="2D7BCC9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 xml:space="preserve">The points made would be clearer for non-Gujarati readers if the text is accompanied by a </w:t>
            </w:r>
            <w:proofErr w:type="spellStart"/>
            <w:r w:rsidRPr="00F10F6D">
              <w:rPr>
                <w:rFonts w:eastAsia="Times New Roman" w:cs="Times New Roman"/>
              </w:rPr>
              <w:t>romanized</w:t>
            </w:r>
            <w:proofErr w:type="spellEnd"/>
            <w:r w:rsidRPr="00F10F6D">
              <w:rPr>
                <w:rFonts w:eastAsia="Times New Roman" w:cs="Times New Roman"/>
              </w:rPr>
              <w:t xml:space="preserve"> transliteration, and an English translation.</w:t>
            </w:r>
          </w:p>
        </w:tc>
        <w:tc>
          <w:tcPr>
            <w:tcW w:w="1890" w:type="dxa"/>
          </w:tcPr>
          <w:p w14:paraId="5D25636D" w14:textId="0A6C9191" w:rsidR="00764DA7" w:rsidRPr="00F10F6D" w:rsidRDefault="008D2622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Added.</w:t>
            </w:r>
            <w:r w:rsidR="001472A4">
              <w:rPr>
                <w:rFonts w:eastAsia="Times New Roman" w:cs="Times New Roman"/>
              </w:rPr>
              <w:t xml:space="preserve"> </w:t>
            </w:r>
          </w:p>
        </w:tc>
      </w:tr>
      <w:tr w:rsidR="00764DA7" w:rsidRPr="00101EDC" w14:paraId="1F06C373" w14:textId="7E64320C" w:rsidTr="00764DA7">
        <w:tc>
          <w:tcPr>
            <w:tcW w:w="1188" w:type="dxa"/>
          </w:tcPr>
          <w:p w14:paraId="26A0592D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Clarification in </w:t>
            </w:r>
            <w:proofErr w:type="spellStart"/>
            <w:r>
              <w:rPr>
                <w:rFonts w:eastAsia="Times New Roman" w:cs="Times New Roman"/>
              </w:rPr>
              <w:t>fn</w:t>
            </w:r>
            <w:proofErr w:type="spellEnd"/>
            <w:r>
              <w:rPr>
                <w:rFonts w:eastAsia="Times New Roman" w:cs="Times New Roman"/>
              </w:rPr>
              <w:t xml:space="preserve"> 25 , p. 22</w:t>
            </w:r>
          </w:p>
        </w:tc>
        <w:tc>
          <w:tcPr>
            <w:tcW w:w="3150" w:type="dxa"/>
          </w:tcPr>
          <w:p w14:paraId="7089CF36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The possibility of a Visarga following an Anusvara is ruled out, since it is used only in Vedic and in Bengali script.</w:t>
            </w:r>
          </w:p>
        </w:tc>
        <w:tc>
          <w:tcPr>
            <w:tcW w:w="3510" w:type="dxa"/>
          </w:tcPr>
          <w:p w14:paraId="71DF4FD6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 xml:space="preserve">The possibility of a Visarga following an Anusvara is ruled out, since </w:t>
            </w:r>
            <w:r w:rsidRPr="00F10F6D">
              <w:rPr>
                <w:rFonts w:eastAsia="Times New Roman" w:cs="Times New Roman"/>
                <w:b/>
                <w:bCs/>
              </w:rPr>
              <w:t>this combination</w:t>
            </w:r>
            <w:r w:rsidRPr="00F10F6D">
              <w:rPr>
                <w:rFonts w:eastAsia="Times New Roman" w:cs="Times New Roman"/>
              </w:rPr>
              <w:t xml:space="preserve"> is used only in Vedic and in Bengali script.</w:t>
            </w:r>
          </w:p>
        </w:tc>
        <w:tc>
          <w:tcPr>
            <w:tcW w:w="1890" w:type="dxa"/>
          </w:tcPr>
          <w:p w14:paraId="64E0F450" w14:textId="242C511E" w:rsidR="00764DA7" w:rsidRPr="00F10F6D" w:rsidRDefault="005555E3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Corrected</w:t>
            </w:r>
          </w:p>
        </w:tc>
      </w:tr>
      <w:tr w:rsidR="00764DA7" w:rsidRPr="00101EDC" w14:paraId="7413F317" w14:textId="250987F1" w:rsidTr="00764DA7">
        <w:tc>
          <w:tcPr>
            <w:tcW w:w="1188" w:type="dxa"/>
          </w:tcPr>
          <w:p w14:paraId="6184CC3F" w14:textId="77777777" w:rsidR="00764DA7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Contributors</w:t>
            </w:r>
          </w:p>
        </w:tc>
        <w:tc>
          <w:tcPr>
            <w:tcW w:w="3150" w:type="dxa"/>
          </w:tcPr>
          <w:p w14:paraId="3E9C72F1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Not completed</w:t>
            </w:r>
          </w:p>
        </w:tc>
        <w:tc>
          <w:tcPr>
            <w:tcW w:w="3510" w:type="dxa"/>
          </w:tcPr>
          <w:p w14:paraId="12F24A2A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Please complete</w:t>
            </w:r>
          </w:p>
        </w:tc>
        <w:tc>
          <w:tcPr>
            <w:tcW w:w="1890" w:type="dxa"/>
          </w:tcPr>
          <w:p w14:paraId="79B0EB15" w14:textId="7826F1DE" w:rsidR="00764DA7" w:rsidRPr="00F10F6D" w:rsidRDefault="005555E3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Added. </w:t>
            </w:r>
          </w:p>
        </w:tc>
      </w:tr>
      <w:tr w:rsidR="00764DA7" w:rsidRPr="00101EDC" w14:paraId="473E0040" w14:textId="13379039" w:rsidTr="00764DA7">
        <w:tc>
          <w:tcPr>
            <w:tcW w:w="1188" w:type="dxa"/>
          </w:tcPr>
          <w:p w14:paraId="3C619E49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References</w:t>
            </w:r>
          </w:p>
        </w:tc>
        <w:tc>
          <w:tcPr>
            <w:tcW w:w="3150" w:type="dxa"/>
          </w:tcPr>
          <w:p w14:paraId="080223C6" w14:textId="77777777" w:rsidR="00764DA7" w:rsidRPr="00F10F6D" w:rsidRDefault="00764DA7" w:rsidP="00F10F6D">
            <w:pPr>
              <w:spacing w:before="100" w:beforeAutospacing="1" w:after="240" w:afterAutospacing="1" w:line="240" w:lineRule="auto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The references section is incomplete (by admission in a note)</w:t>
            </w:r>
          </w:p>
          <w:p w14:paraId="552320D2" w14:textId="77777777" w:rsidR="00764DA7" w:rsidRPr="00F10F6D" w:rsidRDefault="00764DA7" w:rsidP="00F10F6D">
            <w:pPr>
              <w:spacing w:before="100" w:beforeAutospacing="1" w:after="240" w:afterAutospacing="1" w:line="240" w:lineRule="auto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Both MSR-1 and MSR-2 are mentioned. At this point, these can be replaced by a single reference to MSR-3. This reference should have a URL</w:t>
            </w:r>
          </w:p>
          <w:p w14:paraId="3FAEF37A" w14:textId="77777777" w:rsidR="00764DA7" w:rsidRPr="00F10F6D" w:rsidRDefault="00764DA7" w:rsidP="00F10F6D">
            <w:pPr>
              <w:spacing w:before="100" w:beforeAutospacing="1" w:after="240" w:afterAutospacing="1" w:line="240" w:lineRule="auto"/>
              <w:rPr>
                <w:rFonts w:eastAsia="Times New Roman" w:cs="Times New Roman"/>
              </w:rPr>
            </w:pPr>
            <w:r w:rsidRPr="00F10F6D">
              <w:rPr>
                <w:rFonts w:eastAsia="Times New Roman" w:cs="Times New Roman"/>
              </w:rPr>
              <w:t>The XML uses [101]</w:t>
            </w:r>
            <w:proofErr w:type="gramStart"/>
            <w:r w:rsidRPr="00F10F6D">
              <w:rPr>
                <w:rFonts w:eastAsia="Times New Roman" w:cs="Times New Roman"/>
              </w:rPr>
              <w:t>,</w:t>
            </w:r>
            <w:proofErr w:type="gramEnd"/>
            <w:r w:rsidRPr="00F10F6D">
              <w:rPr>
                <w:rFonts w:eastAsia="Times New Roman" w:cs="Times New Roman"/>
              </w:rPr>
              <w:t xml:space="preserve"> the DOCX uses [</w:t>
            </w:r>
            <w:proofErr w:type="spellStart"/>
            <w:r w:rsidRPr="00F10F6D">
              <w:rPr>
                <w:rFonts w:eastAsia="Times New Roman" w:cs="Times New Roman"/>
              </w:rPr>
              <w:t>Omniglot</w:t>
            </w:r>
            <w:proofErr w:type="spellEnd"/>
            <w:r w:rsidRPr="00F10F6D">
              <w:rPr>
                <w:rFonts w:eastAsia="Times New Roman" w:cs="Times New Roman"/>
              </w:rPr>
              <w:t xml:space="preserve">]. Normally we would recommend to align these by changing the </w:t>
            </w:r>
            <w:proofErr w:type="spellStart"/>
            <w:r w:rsidRPr="00F10F6D">
              <w:rPr>
                <w:rFonts w:eastAsia="Times New Roman" w:cs="Times New Roman"/>
              </w:rPr>
              <w:t>DOCx</w:t>
            </w:r>
            <w:proofErr w:type="spellEnd"/>
            <w:r w:rsidRPr="00F10F6D">
              <w:rPr>
                <w:rFonts w:eastAsia="Times New Roman" w:cs="Times New Roman"/>
              </w:rPr>
              <w:t xml:space="preserve"> file, but with only a single script-specific reference it is perhaps OK to leave as is (that is 101 in XML and [</w:t>
            </w:r>
            <w:proofErr w:type="spellStart"/>
            <w:r w:rsidRPr="00F10F6D">
              <w:rPr>
                <w:rFonts w:eastAsia="Times New Roman" w:cs="Times New Roman"/>
              </w:rPr>
              <w:t>Omniglot</w:t>
            </w:r>
            <w:proofErr w:type="spellEnd"/>
            <w:r w:rsidRPr="00F10F6D">
              <w:rPr>
                <w:rFonts w:eastAsia="Times New Roman" w:cs="Times New Roman"/>
              </w:rPr>
              <w:t>] in the document)</w:t>
            </w:r>
          </w:p>
          <w:p w14:paraId="35BF6B55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</w:p>
        </w:tc>
        <w:tc>
          <w:tcPr>
            <w:tcW w:w="3510" w:type="dxa"/>
          </w:tcPr>
          <w:p w14:paraId="0B8577D2" w14:textId="77777777" w:rsidR="00764DA7" w:rsidRDefault="00764DA7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Please complete</w:t>
            </w:r>
          </w:p>
          <w:p w14:paraId="1A5261E6" w14:textId="77777777" w:rsidR="00764DA7" w:rsidRDefault="00764DA7" w:rsidP="00F10F6D">
            <w:pPr>
              <w:spacing w:after="240"/>
              <w:rPr>
                <w:rFonts w:eastAsia="Times New Roman" w:cs="Times New Roman"/>
              </w:rPr>
            </w:pPr>
          </w:p>
          <w:p w14:paraId="65826747" w14:textId="77777777" w:rsidR="00764DA7" w:rsidRDefault="00764DA7" w:rsidP="00F10F6D">
            <w:pPr>
              <w:spacing w:after="240" w:line="240" w:lineRule="auto"/>
              <w:rPr>
                <w:rFonts w:eastAsia="Times New Roman" w:cs="Times New Roman"/>
              </w:rPr>
            </w:pPr>
          </w:p>
          <w:p w14:paraId="56C10DDF" w14:textId="77777777" w:rsidR="00764DA7" w:rsidRPr="00F10F6D" w:rsidRDefault="00764DA7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Please update</w:t>
            </w:r>
          </w:p>
        </w:tc>
        <w:tc>
          <w:tcPr>
            <w:tcW w:w="1890" w:type="dxa"/>
          </w:tcPr>
          <w:p w14:paraId="55A49D78" w14:textId="77FB0FED" w:rsidR="00764DA7" w:rsidRDefault="00DC602E" w:rsidP="00F10F6D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MSR reference has been modified. References will be updated till the document gets finalized. Hence marked as “To be updated further”</w:t>
            </w:r>
          </w:p>
        </w:tc>
      </w:tr>
    </w:tbl>
    <w:p w14:paraId="309C61BB" w14:textId="77777777" w:rsidR="00CE246B" w:rsidRDefault="00CE246B" w:rsidP="00CD4B60">
      <w:pPr>
        <w:tabs>
          <w:tab w:val="left" w:pos="1146"/>
          <w:tab w:val="left" w:pos="5637"/>
        </w:tabs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</w:p>
    <w:p w14:paraId="7A5E0B89" w14:textId="77777777" w:rsidR="00CE246B" w:rsidRPr="00D05199" w:rsidRDefault="00CE246B" w:rsidP="00174671">
      <w:pPr>
        <w:pStyle w:val="Heading2"/>
        <w:rPr>
          <w:color w:val="FF0000"/>
          <w:kern w:val="36"/>
        </w:rPr>
      </w:pPr>
      <w:r w:rsidRPr="00D05199">
        <w:rPr>
          <w:color w:val="FF0000"/>
          <w:kern w:val="36"/>
        </w:rPr>
        <w:t xml:space="preserve">Comments on </w:t>
      </w:r>
      <w:r w:rsidR="006E7B8E" w:rsidRPr="00D05199">
        <w:rPr>
          <w:color w:val="FF0000"/>
          <w:kern w:val="36"/>
        </w:rPr>
        <w:t>LGR specification</w:t>
      </w:r>
      <w:r w:rsidRPr="00D05199">
        <w:rPr>
          <w:color w:val="FF0000"/>
          <w:kern w:val="36"/>
        </w:rPr>
        <w:t xml:space="preserve"> (XML)</w:t>
      </w:r>
    </w:p>
    <w:p w14:paraId="04ED875A" w14:textId="77777777" w:rsidR="00CE246B" w:rsidRPr="00D05199" w:rsidRDefault="00CE246B" w:rsidP="00CE246B">
      <w:pPr>
        <w:spacing w:after="0"/>
        <w:rPr>
          <w:rFonts w:ascii="Times" w:eastAsia="Times New Roman" w:hAnsi="Times" w:cs="Times New Roman"/>
          <w:color w:val="FF0000"/>
          <w:kern w:val="3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31"/>
        <w:gridCol w:w="3459"/>
        <w:gridCol w:w="3907"/>
      </w:tblGrid>
      <w:tr w:rsidR="00D05199" w:rsidRPr="00D05199" w14:paraId="0C51E3D5" w14:textId="77777777" w:rsidTr="002D2752">
        <w:tc>
          <w:tcPr>
            <w:tcW w:w="1384" w:type="dxa"/>
          </w:tcPr>
          <w:p w14:paraId="276E2F7C" w14:textId="77777777" w:rsidR="004B0E4C" w:rsidRPr="00D05199" w:rsidRDefault="004B0E4C" w:rsidP="002D2752">
            <w:pPr>
              <w:rPr>
                <w:b/>
                <w:bCs/>
                <w:color w:val="FF0000"/>
              </w:rPr>
            </w:pPr>
            <w:r w:rsidRPr="00D05199">
              <w:rPr>
                <w:b/>
                <w:bCs/>
                <w:color w:val="FF0000"/>
              </w:rPr>
              <w:t xml:space="preserve">Item </w:t>
            </w:r>
          </w:p>
        </w:tc>
        <w:tc>
          <w:tcPr>
            <w:tcW w:w="3544" w:type="dxa"/>
          </w:tcPr>
          <w:p w14:paraId="49206CD5" w14:textId="77777777" w:rsidR="004B0E4C" w:rsidRPr="00D05199" w:rsidRDefault="004B0E4C" w:rsidP="002D2752">
            <w:pPr>
              <w:rPr>
                <w:b/>
                <w:bCs/>
                <w:color w:val="FF0000"/>
              </w:rPr>
            </w:pPr>
            <w:r w:rsidRPr="00D05199">
              <w:rPr>
                <w:b/>
                <w:bCs/>
                <w:color w:val="FF0000"/>
              </w:rPr>
              <w:t>Issue</w:t>
            </w:r>
          </w:p>
        </w:tc>
        <w:tc>
          <w:tcPr>
            <w:tcW w:w="3969" w:type="dxa"/>
          </w:tcPr>
          <w:p w14:paraId="7BFBF779" w14:textId="77777777" w:rsidR="004B0E4C" w:rsidRPr="00D05199" w:rsidRDefault="004B0E4C" w:rsidP="00174671">
            <w:pPr>
              <w:rPr>
                <w:b/>
                <w:bCs/>
                <w:color w:val="FF0000"/>
              </w:rPr>
            </w:pPr>
            <w:r w:rsidRPr="00D05199">
              <w:rPr>
                <w:b/>
                <w:bCs/>
                <w:color w:val="FF0000"/>
              </w:rPr>
              <w:t xml:space="preserve">IP </w:t>
            </w:r>
            <w:r w:rsidR="00174671" w:rsidRPr="00D05199">
              <w:rPr>
                <w:b/>
                <w:bCs/>
                <w:color w:val="FF0000"/>
              </w:rPr>
              <w:t>Comment</w:t>
            </w:r>
          </w:p>
        </w:tc>
      </w:tr>
      <w:tr w:rsidR="00D05199" w:rsidRPr="00D05199" w14:paraId="6AD718E2" w14:textId="77777777" w:rsidTr="002D2752">
        <w:tc>
          <w:tcPr>
            <w:tcW w:w="1384" w:type="dxa"/>
          </w:tcPr>
          <w:p w14:paraId="3C9E140F" w14:textId="77777777" w:rsidR="00924417" w:rsidRPr="00D05199" w:rsidRDefault="00C201F5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&lt;description&gt;</w:t>
            </w:r>
          </w:p>
        </w:tc>
        <w:tc>
          <w:tcPr>
            <w:tcW w:w="3544" w:type="dxa"/>
          </w:tcPr>
          <w:p w14:paraId="17744756" w14:textId="77777777" w:rsidR="00EB33B0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&lt;p&gt;Variant Disposition: As variants are of confusingly similar, albeit of a peculiar nature, it is proposed that they be considered of "blocking" nature. There is no preference among these variants. Whichever label…blocked .&lt;/p&gt;</w:t>
            </w:r>
          </w:p>
          <w:p w14:paraId="62E17772" w14:textId="77777777" w:rsidR="00C201F5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 xml:space="preserve">There are two issues. (1) It is unclear what “peculiar nature” implies and their </w:t>
            </w:r>
            <w:proofErr w:type="gramStart"/>
            <w:r w:rsidRPr="00D05199">
              <w:rPr>
                <w:rFonts w:eastAsia="Times New Roman" w:cs="Times New Roman"/>
                <w:color w:val="FF0000"/>
              </w:rPr>
              <w:t>natures has</w:t>
            </w:r>
            <w:proofErr w:type="gramEnd"/>
            <w:r w:rsidRPr="00D05199">
              <w:rPr>
                <w:rFonts w:eastAsia="Times New Roman" w:cs="Times New Roman"/>
                <w:color w:val="FF0000"/>
              </w:rPr>
              <w:t xml:space="preserve"> already been described in the paragraph prior.</w:t>
            </w:r>
          </w:p>
          <w:p w14:paraId="7EB03C02" w14:textId="77777777" w:rsidR="00C201F5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(2) The term used. “</w:t>
            </w:r>
            <w:proofErr w:type="gramStart"/>
            <w:r w:rsidRPr="00D05199">
              <w:rPr>
                <w:rFonts w:eastAsia="Times New Roman" w:cs="Times New Roman"/>
                <w:color w:val="FF0000"/>
              </w:rPr>
              <w:t>blocking</w:t>
            </w:r>
            <w:proofErr w:type="gramEnd"/>
            <w:r w:rsidRPr="00D05199">
              <w:rPr>
                <w:rFonts w:eastAsia="Times New Roman" w:cs="Times New Roman"/>
                <w:color w:val="FF0000"/>
              </w:rPr>
              <w:t xml:space="preserve">” is </w:t>
            </w:r>
            <w:r w:rsidRPr="00D05199">
              <w:rPr>
                <w:rFonts w:eastAsia="Times New Roman" w:cs="Times New Roman"/>
                <w:color w:val="FF0000"/>
              </w:rPr>
              <w:lastRenderedPageBreak/>
              <w:t>not defined, so it would be better to use phrasing that allows the term “blocked” to be used.</w:t>
            </w:r>
          </w:p>
          <w:p w14:paraId="49FB12A2" w14:textId="77777777" w:rsidR="00C201F5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Finally, it might be useful to gloss the meaning of “blocked”.</w:t>
            </w:r>
          </w:p>
          <w:p w14:paraId="4006BF12" w14:textId="77777777" w:rsidR="00C201F5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This change was already made in the 2017-12-07 LGR for Devanagari, but not propagated to any LGR that used the Devanagari LGR as template.</w:t>
            </w:r>
          </w:p>
          <w:p w14:paraId="5DDCF6CB" w14:textId="77777777" w:rsidR="00C201F5" w:rsidRPr="00D05199" w:rsidRDefault="00C201F5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THIS ISSUE APPLIES ACROSS A NUMBER OF NEO BRAHMI LGRS THAT USE THIS LANGUAGE</w:t>
            </w:r>
          </w:p>
        </w:tc>
        <w:tc>
          <w:tcPr>
            <w:tcW w:w="3969" w:type="dxa"/>
          </w:tcPr>
          <w:p w14:paraId="00F4C11C" w14:textId="3B8F3105" w:rsidR="00EB33B0" w:rsidRPr="00D05199" w:rsidRDefault="00605D4E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lastRenderedPageBreak/>
              <w:t xml:space="preserve">    &lt;p&gt;Variant Disposition: All variants are of type &amp;</w:t>
            </w:r>
            <w:proofErr w:type="spellStart"/>
            <w:r w:rsidRPr="00D05199">
              <w:rPr>
                <w:rFonts w:eastAsia="Times New Roman" w:cs="Times New Roman"/>
                <w:color w:val="FF0000"/>
              </w:rPr>
              <w:t>ldquo</w:t>
            </w:r>
            <w:proofErr w:type="gramStart"/>
            <w:r w:rsidRPr="00D05199">
              <w:rPr>
                <w:rFonts w:eastAsia="Times New Roman" w:cs="Times New Roman"/>
                <w:color w:val="FF0000"/>
              </w:rPr>
              <w:t>;blocked</w:t>
            </w:r>
            <w:proofErr w:type="gramEnd"/>
            <w:r w:rsidRPr="00D05199">
              <w:rPr>
                <w:rFonts w:eastAsia="Times New Roman" w:cs="Times New Roman"/>
                <w:color w:val="FF0000"/>
              </w:rPr>
              <w:t>&amp;rdquo</w:t>
            </w:r>
            <w:proofErr w:type="spellEnd"/>
            <w:r w:rsidRPr="00D05199">
              <w:rPr>
                <w:rFonts w:eastAsia="Times New Roman" w:cs="Times New Roman"/>
                <w:color w:val="FF0000"/>
              </w:rPr>
              <w:t>;, making labels that differ only by these variants mutually exclusive</w:t>
            </w:r>
            <w:r w:rsidR="00C201F5" w:rsidRPr="00D05199">
              <w:rPr>
                <w:rFonts w:eastAsia="Times New Roman" w:cs="Times New Roman"/>
                <w:color w:val="FF0000"/>
              </w:rPr>
              <w:t xml:space="preserve">:  </w:t>
            </w:r>
            <w:r w:rsidRPr="00D05199">
              <w:rPr>
                <w:rFonts w:eastAsia="Times New Roman" w:cs="Times New Roman"/>
                <w:color w:val="FF0000"/>
              </w:rPr>
              <w:t xml:space="preserve">whichever </w:t>
            </w:r>
            <w:r w:rsidR="00C201F5" w:rsidRPr="00D05199">
              <w:rPr>
                <w:rFonts w:eastAsia="Times New Roman" w:cs="Times New Roman"/>
                <w:color w:val="FF0000"/>
              </w:rPr>
              <w:t>… blocked. There is no</w:t>
            </w:r>
            <w:r w:rsidR="00E64422" w:rsidRPr="00D05199">
              <w:rPr>
                <w:rFonts w:eastAsia="Times New Roman" w:cs="Times New Roman"/>
                <w:color w:val="FF0000"/>
              </w:rPr>
              <w:t xml:space="preserve"> </w:t>
            </w:r>
            <w:r w:rsidR="00C201F5" w:rsidRPr="00D05199">
              <w:rPr>
                <w:rFonts w:eastAsia="Times New Roman" w:cs="Times New Roman"/>
                <w:color w:val="FF0000"/>
              </w:rPr>
              <w:t>preference among these variants.</w:t>
            </w:r>
            <w:r w:rsidRPr="00D05199">
              <w:rPr>
                <w:rFonts w:eastAsia="Times New Roman" w:cs="Times New Roman"/>
                <w:color w:val="FF0000"/>
              </w:rPr>
              <w:t>&lt;/p&gt;</w:t>
            </w:r>
          </w:p>
          <w:p w14:paraId="48A11036" w14:textId="77777777" w:rsidR="00C201F5" w:rsidRPr="00D05199" w:rsidRDefault="00C201F5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</w:p>
          <w:p w14:paraId="65F7B491" w14:textId="77777777" w:rsidR="00C201F5" w:rsidRPr="00D05199" w:rsidRDefault="00C201F5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</w:p>
        </w:tc>
      </w:tr>
      <w:tr w:rsidR="00D05199" w:rsidRPr="00D05199" w14:paraId="164A91A7" w14:textId="77777777" w:rsidTr="002D2752">
        <w:tc>
          <w:tcPr>
            <w:tcW w:w="1384" w:type="dxa"/>
          </w:tcPr>
          <w:p w14:paraId="58E279C1" w14:textId="77777777" w:rsidR="000C43D7" w:rsidRPr="00D05199" w:rsidRDefault="000C43D7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lastRenderedPageBreak/>
              <w:t>&lt;rules&gt;</w:t>
            </w:r>
          </w:p>
        </w:tc>
        <w:tc>
          <w:tcPr>
            <w:tcW w:w="3544" w:type="dxa"/>
          </w:tcPr>
          <w:p w14:paraId="0365D16F" w14:textId="77777777" w:rsidR="000C43D7" w:rsidRPr="00D05199" w:rsidRDefault="000C43D7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 xml:space="preserve">The named classes D and X are not used in any rules. </w:t>
            </w:r>
          </w:p>
        </w:tc>
        <w:tc>
          <w:tcPr>
            <w:tcW w:w="3969" w:type="dxa"/>
          </w:tcPr>
          <w:p w14:paraId="74204D83" w14:textId="77777777" w:rsidR="000C43D7" w:rsidRPr="00D05199" w:rsidRDefault="000C43D7" w:rsidP="009C126C">
            <w:pPr>
              <w:spacing w:after="240"/>
              <w:rPr>
                <w:rFonts w:eastAsia="Times New Roman" w:cs="Times New Roman"/>
                <w:color w:val="FF0000"/>
              </w:rPr>
            </w:pPr>
            <w:r w:rsidRPr="00D05199">
              <w:rPr>
                <w:rFonts w:eastAsia="Times New Roman" w:cs="Times New Roman"/>
                <w:color w:val="FF0000"/>
              </w:rPr>
              <w:t>Please remove the definitions; but it is strongly preferred to retain the tag values on the &lt;char&gt; element even if they are not used to define a named class.</w:t>
            </w:r>
          </w:p>
        </w:tc>
      </w:tr>
    </w:tbl>
    <w:p w14:paraId="45C27F45" w14:textId="77777777" w:rsidR="008042E5" w:rsidRDefault="008042E5"/>
    <w:p w14:paraId="51995E78" w14:textId="77777777" w:rsidR="00612914" w:rsidRPr="00612914" w:rsidRDefault="00612914" w:rsidP="00612914">
      <w:pPr>
        <w:pStyle w:val="Heading2"/>
      </w:pPr>
      <w:r w:rsidRPr="00612914">
        <w:t>Comments on Test Labels</w:t>
      </w:r>
    </w:p>
    <w:p w14:paraId="03CA0AB9" w14:textId="3722EBBC" w:rsidR="00B75B4C" w:rsidRPr="009C126C" w:rsidRDefault="009F7C1A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 xml:space="preserve">Various tools concur that in identifying </w:t>
      </w:r>
      <w:r w:rsidR="00B75B4C" w:rsidRPr="009C126C">
        <w:rPr>
          <w:rFonts w:eastAsia="Times New Roman" w:cs="Times New Roman"/>
        </w:rPr>
        <w:t>179 out of 12</w:t>
      </w:r>
      <w:r w:rsidR="009C126C">
        <w:rPr>
          <w:rFonts w:eastAsia="Times New Roman" w:cs="Times New Roman"/>
        </w:rPr>
        <w:t>0</w:t>
      </w:r>
      <w:r w:rsidR="00B75B4C" w:rsidRPr="009C126C">
        <w:rPr>
          <w:rFonts w:eastAsia="Times New Roman" w:cs="Times New Roman"/>
        </w:rPr>
        <w:t>K labels as invalid</w:t>
      </w:r>
      <w:r w:rsidRPr="009C126C">
        <w:rPr>
          <w:rFonts w:eastAsia="Times New Roman" w:cs="Times New Roman"/>
        </w:rPr>
        <w:t xml:space="preserve"> in the corpus file</w:t>
      </w:r>
      <w:r w:rsidR="00B75B4C" w:rsidRPr="009C126C">
        <w:rPr>
          <w:rFonts w:eastAsia="Times New Roman" w:cs="Times New Roman"/>
        </w:rPr>
        <w:t>. Almost all of these instances are "out-of-repertoire", leaving 20 instances across four context rules that were not matched.</w:t>
      </w:r>
    </w:p>
    <w:p w14:paraId="790A089C" w14:textId="77777777" w:rsidR="00B75B4C" w:rsidRPr="009C126C" w:rsidRDefault="00B75B4C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>Some of the out-of-repertoire code points are from the excluded set of Gujarati code points. [</w:t>
      </w:r>
      <w:proofErr w:type="gramStart"/>
      <w:r w:rsidRPr="009C126C">
        <w:rPr>
          <w:rFonts w:eastAsia="Times New Roman" w:cs="Times New Roman"/>
        </w:rPr>
        <w:t>which</w:t>
      </w:r>
      <w:proofErr w:type="gramEnd"/>
      <w:r w:rsidRPr="009C126C">
        <w:rPr>
          <w:rFonts w:eastAsia="Times New Roman" w:cs="Times New Roman"/>
        </w:rPr>
        <w:t xml:space="preserve"> is desirable</w:t>
      </w:r>
      <w:r w:rsidR="007E5E97" w:rsidRPr="009C126C">
        <w:rPr>
          <w:rFonts w:eastAsia="Times New Roman" w:cs="Times New Roman"/>
        </w:rPr>
        <w:t xml:space="preserve"> for a test file</w:t>
      </w:r>
      <w:r w:rsidRPr="009C126C">
        <w:rPr>
          <w:rFonts w:eastAsia="Times New Roman" w:cs="Times New Roman"/>
        </w:rPr>
        <w:t>].</w:t>
      </w:r>
    </w:p>
    <w:p w14:paraId="10F94BBA" w14:textId="77777777" w:rsidR="00B75B4C" w:rsidRPr="009C126C" w:rsidRDefault="00B75B4C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>Test coverage is generally good, but does not include 2 code points. However, all 8 named classes and tag values are covered as are all 4 context rules (each has at least one match and one fail). WLE rules: "leading-combining-mark" does not have a match case (i.e. no invalid label starts with one).</w:t>
      </w:r>
    </w:p>
    <w:p w14:paraId="46DAC635" w14:textId="77777777" w:rsidR="000C43D7" w:rsidRPr="009C126C" w:rsidRDefault="000C43D7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>There is no dedicated file of test labels. A test label file would contain a few hundred labels and attempt to cover most code points and combinations of context. This is used in regression testing by the IP, in contrast to a corpus file, which takes a long time to process and is used in understanding whether the WLE rules match the script.</w:t>
      </w:r>
    </w:p>
    <w:p w14:paraId="51F2BC77" w14:textId="77777777" w:rsidR="00B75B4C" w:rsidRPr="009C126C" w:rsidRDefault="00B75B4C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>Conclusion: high confidence that context/WLE rules are appropriate (definitely not too restrictive).</w:t>
      </w:r>
      <w:r w:rsidR="000C43D7" w:rsidRPr="009C126C">
        <w:rPr>
          <w:rFonts w:eastAsia="Times New Roman" w:cs="Times New Roman"/>
        </w:rPr>
        <w:t xml:space="preserve"> A test label file is missing.</w:t>
      </w:r>
    </w:p>
    <w:p w14:paraId="6834F992" w14:textId="77777777" w:rsidR="00B75B4C" w:rsidRPr="009C126C" w:rsidRDefault="00B75B4C" w:rsidP="009C126C">
      <w:pPr>
        <w:spacing w:after="240"/>
        <w:rPr>
          <w:rFonts w:eastAsia="Times New Roman" w:cs="Times New Roman"/>
        </w:rPr>
      </w:pPr>
      <w:r w:rsidRPr="009C126C">
        <w:rPr>
          <w:rFonts w:eastAsia="Times New Roman" w:cs="Times New Roman"/>
        </w:rPr>
        <w:t>A quick check of the XML indicates that all our comments appear to have been addressed.</w:t>
      </w:r>
    </w:p>
    <w:p w14:paraId="535735CC" w14:textId="77777777" w:rsidR="00B75B4C" w:rsidRPr="00612914" w:rsidRDefault="00B75B4C" w:rsidP="00B75B4C">
      <w:pPr>
        <w:pStyle w:val="Heading2"/>
      </w:pPr>
      <w:r w:rsidRPr="00612914">
        <w:lastRenderedPageBreak/>
        <w:t xml:space="preserve">Comments on </w:t>
      </w:r>
      <w:r>
        <w:t>Justification of terms Halanta/Virama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37"/>
        <w:gridCol w:w="2511"/>
        <w:gridCol w:w="3330"/>
        <w:gridCol w:w="2250"/>
      </w:tblGrid>
      <w:tr w:rsidR="002E34D0" w:rsidRPr="00EF2D99" w14:paraId="4F08628A" w14:textId="112513C6" w:rsidTr="002E34D0">
        <w:tc>
          <w:tcPr>
            <w:tcW w:w="1737" w:type="dxa"/>
          </w:tcPr>
          <w:p w14:paraId="53B7B231" w14:textId="77777777" w:rsidR="002E34D0" w:rsidRPr="00EF2D99" w:rsidRDefault="002E34D0" w:rsidP="00B75B4C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 xml:space="preserve">Item </w:t>
            </w:r>
          </w:p>
        </w:tc>
        <w:tc>
          <w:tcPr>
            <w:tcW w:w="2511" w:type="dxa"/>
          </w:tcPr>
          <w:p w14:paraId="493BEEE5" w14:textId="77777777" w:rsidR="002E34D0" w:rsidRPr="00EF2D99" w:rsidRDefault="002E34D0" w:rsidP="00B75B4C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>Issue</w:t>
            </w:r>
          </w:p>
        </w:tc>
        <w:tc>
          <w:tcPr>
            <w:tcW w:w="3330" w:type="dxa"/>
          </w:tcPr>
          <w:p w14:paraId="1B48B304" w14:textId="77777777" w:rsidR="002E34D0" w:rsidRPr="00EF2D99" w:rsidRDefault="002E34D0" w:rsidP="00B75B4C">
            <w:pPr>
              <w:rPr>
                <w:b/>
                <w:bCs/>
              </w:rPr>
            </w:pPr>
            <w:r w:rsidRPr="00EF2D99">
              <w:rPr>
                <w:b/>
                <w:bCs/>
              </w:rPr>
              <w:t xml:space="preserve">IP </w:t>
            </w:r>
            <w:r>
              <w:rPr>
                <w:b/>
                <w:bCs/>
              </w:rPr>
              <w:t>Comment</w:t>
            </w:r>
          </w:p>
        </w:tc>
        <w:tc>
          <w:tcPr>
            <w:tcW w:w="2250" w:type="dxa"/>
          </w:tcPr>
          <w:p w14:paraId="5674438F" w14:textId="1BB6D440" w:rsidR="002E34D0" w:rsidRPr="00EF2D99" w:rsidRDefault="002E34D0" w:rsidP="00B75B4C">
            <w:pPr>
              <w:rPr>
                <w:b/>
                <w:bCs/>
              </w:rPr>
            </w:pPr>
            <w:r>
              <w:rPr>
                <w:b/>
                <w:bCs/>
              </w:rPr>
              <w:t>NBGP Response</w:t>
            </w:r>
          </w:p>
        </w:tc>
      </w:tr>
      <w:tr w:rsidR="002E34D0" w:rsidRPr="00101EDC" w14:paraId="379967AE" w14:textId="45509A5E" w:rsidTr="002E34D0">
        <w:tc>
          <w:tcPr>
            <w:tcW w:w="1737" w:type="dxa"/>
          </w:tcPr>
          <w:p w14:paraId="0FB929EB" w14:textId="77777777" w:rsidR="002E34D0" w:rsidRDefault="002E34D0" w:rsidP="009C126C">
            <w:pPr>
              <w:spacing w:after="240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>Halanta/Virama</w:t>
            </w:r>
          </w:p>
        </w:tc>
        <w:tc>
          <w:tcPr>
            <w:tcW w:w="2511" w:type="dxa"/>
          </w:tcPr>
          <w:p w14:paraId="4D89D16B" w14:textId="77777777" w:rsidR="002E34D0" w:rsidRPr="009C126C" w:rsidRDefault="002E34D0" w:rsidP="009C126C">
            <w:pPr>
              <w:spacing w:before="100" w:beforeAutospacing="1" w:after="240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>GP statement:</w:t>
            </w:r>
          </w:p>
          <w:p w14:paraId="3B33E6CA" w14:textId="77777777" w:rsidR="002E34D0" w:rsidRPr="009C126C" w:rsidRDefault="002E34D0" w:rsidP="009C126C">
            <w:pPr>
              <w:spacing w:before="100" w:beforeAutospacing="1" w:after="240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 xml:space="preserve">Whether the community calls it Halant or Virama is dependent on </w:t>
            </w:r>
            <w:proofErr w:type="spellStart"/>
            <w:proofErr w:type="gramStart"/>
            <w:r w:rsidRPr="009C126C">
              <w:rPr>
                <w:rFonts w:eastAsia="Times New Roman" w:cs="Times New Roman"/>
              </w:rPr>
              <w:t>it's</w:t>
            </w:r>
            <w:proofErr w:type="spellEnd"/>
            <w:proofErr w:type="gramEnd"/>
            <w:r w:rsidRPr="009C126C">
              <w:rPr>
                <w:rFonts w:eastAsia="Times New Roman" w:cs="Times New Roman"/>
              </w:rPr>
              <w:t xml:space="preserve"> shape in the particular script.</w:t>
            </w:r>
          </w:p>
          <w:p w14:paraId="5129A2F5" w14:textId="77777777" w:rsidR="002E34D0" w:rsidRPr="009C126C" w:rsidRDefault="002E34D0" w:rsidP="009C126C">
            <w:pPr>
              <w:spacing w:before="100" w:beforeAutospacing="1" w:after="240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 xml:space="preserve">The word Halant is actually made up of </w:t>
            </w:r>
            <w:proofErr w:type="spellStart"/>
            <w:r w:rsidRPr="009C126C">
              <w:rPr>
                <w:rFonts w:eastAsia="Times New Roman" w:cs="Times New Roman"/>
              </w:rPr>
              <w:t>Hal+Ant</w:t>
            </w:r>
            <w:proofErr w:type="spellEnd"/>
            <w:r w:rsidRPr="009C126C">
              <w:rPr>
                <w:rFonts w:eastAsia="Times New Roman" w:cs="Times New Roman"/>
              </w:rPr>
              <w:t xml:space="preserve"> where Hal means Plough and Ant meant end. So it describes the shape of character like a plough. However in Tamil as an example languages it does not look like a plough so it is called as Virama which describes its functional aspect  (</w:t>
            </w:r>
            <w:proofErr w:type="spellStart"/>
            <w:r w:rsidRPr="009C126C">
              <w:rPr>
                <w:rFonts w:eastAsia="Times New Roman" w:cs="Times New Roman"/>
              </w:rPr>
              <w:t>Viram</w:t>
            </w:r>
            <w:proofErr w:type="spellEnd"/>
            <w:r w:rsidRPr="009C126C">
              <w:rPr>
                <w:rFonts w:eastAsia="Times New Roman" w:cs="Times New Roman"/>
              </w:rPr>
              <w:t xml:space="preserve"> i.e. Pause)</w:t>
            </w:r>
          </w:p>
        </w:tc>
        <w:tc>
          <w:tcPr>
            <w:tcW w:w="3330" w:type="dxa"/>
          </w:tcPr>
          <w:p w14:paraId="455D6719" w14:textId="77777777" w:rsidR="002E34D0" w:rsidRPr="009C126C" w:rsidRDefault="002E34D0" w:rsidP="009C126C">
            <w:pPr>
              <w:spacing w:after="240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 xml:space="preserve">The IP respectfully thinks this is wrong. If </w:t>
            </w:r>
            <w:proofErr w:type="spellStart"/>
            <w:r w:rsidRPr="009C126C">
              <w:rPr>
                <w:rFonts w:eastAsia="Times New Roman" w:cs="Times New Roman"/>
              </w:rPr>
              <w:t>halanta</w:t>
            </w:r>
            <w:proofErr w:type="spellEnd"/>
            <w:r w:rsidRPr="009C126C">
              <w:rPr>
                <w:rFonts w:eastAsia="Times New Roman" w:cs="Times New Roman"/>
              </w:rPr>
              <w:t xml:space="preserve"> were a derivative of Sanskrit </w:t>
            </w:r>
            <w:proofErr w:type="spellStart"/>
            <w:r w:rsidRPr="009C126C">
              <w:rPr>
                <w:rFonts w:eastAsia="Times New Roman" w:cs="Times New Roman"/>
              </w:rPr>
              <w:t>hala</w:t>
            </w:r>
            <w:proofErr w:type="spellEnd"/>
            <w:r w:rsidRPr="009C126C">
              <w:rPr>
                <w:rFonts w:eastAsia="Times New Roman" w:cs="Times New Roman"/>
              </w:rPr>
              <w:t xml:space="preserve"> "plough" (Therefore "</w:t>
            </w:r>
            <w:proofErr w:type="spellStart"/>
            <w:r w:rsidRPr="009C126C">
              <w:rPr>
                <w:rFonts w:eastAsia="Times New Roman" w:cs="Times New Roman"/>
              </w:rPr>
              <w:t>hala</w:t>
            </w:r>
            <w:proofErr w:type="spellEnd"/>
            <w:r w:rsidRPr="009C126C">
              <w:rPr>
                <w:rFonts w:eastAsia="Times New Roman" w:cs="Times New Roman"/>
              </w:rPr>
              <w:t>" + "anta"), the word would be "</w:t>
            </w:r>
            <w:proofErr w:type="spellStart"/>
            <w:r w:rsidRPr="009C126C">
              <w:rPr>
                <w:rFonts w:eastAsia="Times New Roman" w:cs="Times New Roman"/>
              </w:rPr>
              <w:t>halānta</w:t>
            </w:r>
            <w:proofErr w:type="spellEnd"/>
            <w:r w:rsidRPr="009C126C">
              <w:rPr>
                <w:rFonts w:eastAsia="Times New Roman" w:cs="Times New Roman"/>
              </w:rPr>
              <w:t xml:space="preserve">", with a long second a. </w:t>
            </w:r>
          </w:p>
          <w:p w14:paraId="2B48F89C" w14:textId="016499EC" w:rsidR="002E34D0" w:rsidRPr="009C126C" w:rsidRDefault="002E34D0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>As "</w:t>
            </w:r>
            <w:proofErr w:type="spellStart"/>
            <w:r w:rsidRPr="009C126C">
              <w:rPr>
                <w:rFonts w:eastAsia="Times New Roman" w:cs="Times New Roman"/>
              </w:rPr>
              <w:t>halanta</w:t>
            </w:r>
            <w:proofErr w:type="spellEnd"/>
            <w:r w:rsidRPr="009C126C">
              <w:rPr>
                <w:rFonts w:eastAsia="Times New Roman" w:cs="Times New Roman"/>
              </w:rPr>
              <w:t>" with a short second a, it is clearly "</w:t>
            </w:r>
            <w:proofErr w:type="spellStart"/>
            <w:r w:rsidRPr="009C126C">
              <w:rPr>
                <w:rFonts w:eastAsia="Times New Roman" w:cs="Times New Roman"/>
              </w:rPr>
              <w:t>hal</w:t>
            </w:r>
            <w:proofErr w:type="spellEnd"/>
            <w:r w:rsidRPr="009C126C">
              <w:rPr>
                <w:rFonts w:eastAsia="Times New Roman" w:cs="Times New Roman"/>
              </w:rPr>
              <w:t xml:space="preserve">" + "anta", where the former part is Panini's grammatical word for "consonant" (one of the </w:t>
            </w:r>
            <w:proofErr w:type="spellStart"/>
            <w:r w:rsidRPr="009C126C">
              <w:rPr>
                <w:rFonts w:eastAsia="Times New Roman" w:cs="Times New Roman"/>
              </w:rPr>
              <w:t>techncal</w:t>
            </w:r>
            <w:proofErr w:type="spellEnd"/>
            <w:r w:rsidRPr="009C126C">
              <w:rPr>
                <w:rFonts w:eastAsia="Times New Roman" w:cs="Times New Roman"/>
              </w:rPr>
              <w:t xml:space="preserve"> terms defined in the </w:t>
            </w:r>
            <w:proofErr w:type="spellStart"/>
            <w:r w:rsidRPr="009C126C">
              <w:rPr>
                <w:rFonts w:eastAsia="Times New Roman" w:cs="Times New Roman"/>
              </w:rPr>
              <w:t>Shivasūtras</w:t>
            </w:r>
            <w:proofErr w:type="spellEnd"/>
            <w:r w:rsidRPr="009C126C">
              <w:rPr>
                <w:rFonts w:eastAsia="Times New Roman" w:cs="Times New Roman"/>
              </w:rPr>
              <w:t>), and the second part the Sanskrit for "end". It means therefore "consonant-end", which is precisely the effect of "</w:t>
            </w:r>
            <w:proofErr w:type="spellStart"/>
            <w:r w:rsidRPr="009C126C">
              <w:rPr>
                <w:rFonts w:eastAsia="Times New Roman" w:cs="Times New Roman"/>
              </w:rPr>
              <w:t>halanta</w:t>
            </w:r>
            <w:proofErr w:type="spellEnd"/>
            <w:r w:rsidRPr="009C126C">
              <w:rPr>
                <w:rFonts w:eastAsia="Times New Roman" w:cs="Times New Roman"/>
              </w:rPr>
              <w:t>". It is appropriate as the name of a character which functions as a vowel-killer in any Indic script, and has nothing to do with the shape of the glyph. (</w:t>
            </w:r>
            <w:proofErr w:type="spellStart"/>
            <w:proofErr w:type="gramStart"/>
            <w:r w:rsidRPr="009C126C">
              <w:rPr>
                <w:rFonts w:eastAsia="Times New Roman" w:cs="Times New Roman"/>
              </w:rPr>
              <w:t>virāma</w:t>
            </w:r>
            <w:proofErr w:type="spellEnd"/>
            <w:proofErr w:type="gramEnd"/>
            <w:r w:rsidRPr="009C126C">
              <w:rPr>
                <w:rFonts w:eastAsia="Times New Roman" w:cs="Times New Roman"/>
              </w:rPr>
              <w:t xml:space="preserve"> does indeed mean literally cessation or pause.)</w:t>
            </w:r>
          </w:p>
          <w:p w14:paraId="297639F0" w14:textId="77777777" w:rsidR="002E34D0" w:rsidRPr="009C126C" w:rsidRDefault="002E34D0" w:rsidP="009C126C">
            <w:pPr>
              <w:spacing w:before="100" w:beforeAutospacing="1" w:after="240" w:afterAutospacing="1" w:line="240" w:lineRule="auto"/>
              <w:rPr>
                <w:rFonts w:eastAsia="Times New Roman" w:cs="Times New Roman"/>
              </w:rPr>
            </w:pPr>
            <w:r w:rsidRPr="009C126C">
              <w:rPr>
                <w:rFonts w:eastAsia="Times New Roman" w:cs="Times New Roman"/>
              </w:rPr>
              <w:t>However, in practice, IP can go along with the GP's approach to Gujarati; and in fact, to retain the word "</w:t>
            </w:r>
            <w:proofErr w:type="spellStart"/>
            <w:r w:rsidRPr="009C126C">
              <w:rPr>
                <w:rFonts w:eastAsia="Times New Roman" w:cs="Times New Roman"/>
              </w:rPr>
              <w:t>halanta</w:t>
            </w:r>
            <w:proofErr w:type="spellEnd"/>
            <w:r w:rsidRPr="009C126C">
              <w:rPr>
                <w:rFonts w:eastAsia="Times New Roman" w:cs="Times New Roman"/>
              </w:rPr>
              <w:t xml:space="preserve">" in any Indic script, for any letter with this function, as seems to be modern practice in India. It is clear to the users of the script, and non-users can be told that this is equivalent to "DEVANAGARI VIRAMA". (VIRAMA was originally used in Sanskrit at the end of a sentence, and hence never word-internally, but that is a dead letter nowadays.) </w:t>
            </w:r>
          </w:p>
        </w:tc>
        <w:tc>
          <w:tcPr>
            <w:tcW w:w="2250" w:type="dxa"/>
          </w:tcPr>
          <w:p w14:paraId="403EE4AF" w14:textId="0DA2DC0B" w:rsidR="002E34D0" w:rsidRPr="009C126C" w:rsidRDefault="002E34D0" w:rsidP="009C126C">
            <w:pPr>
              <w:spacing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NBGP acknowledges IP comments on the same.</w:t>
            </w:r>
            <w:r w:rsidR="000D5DC2">
              <w:rPr>
                <w:rFonts w:eastAsia="Times New Roman" w:cs="Times New Roman"/>
              </w:rPr>
              <w:t xml:space="preserve"> </w:t>
            </w:r>
            <w:r w:rsidR="00A87877">
              <w:rPr>
                <w:rFonts w:eastAsia="Times New Roman" w:cs="Times New Roman"/>
              </w:rPr>
              <w:t xml:space="preserve">A footnote has already been added which draws a parallel between the two terms. </w:t>
            </w:r>
          </w:p>
        </w:tc>
      </w:tr>
      <w:tr w:rsidR="002E34D0" w:rsidRPr="00101EDC" w14:paraId="3982D2F9" w14:textId="47D7F3ED" w:rsidTr="002E34D0">
        <w:tc>
          <w:tcPr>
            <w:tcW w:w="1737" w:type="dxa"/>
          </w:tcPr>
          <w:p w14:paraId="132B6098" w14:textId="77777777" w:rsidR="002E34D0" w:rsidRDefault="002E34D0" w:rsidP="00B75B4C"/>
        </w:tc>
        <w:tc>
          <w:tcPr>
            <w:tcW w:w="2511" w:type="dxa"/>
          </w:tcPr>
          <w:p w14:paraId="02256DA8" w14:textId="77777777" w:rsidR="002E34D0" w:rsidRDefault="002E34D0" w:rsidP="00B75B4C">
            <w:pPr>
              <w:spacing w:before="100" w:before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</w:tcPr>
          <w:p w14:paraId="70EC6F9D" w14:textId="77777777" w:rsidR="002E34D0" w:rsidRPr="00B75B4C" w:rsidRDefault="002E34D0" w:rsidP="00B75B4C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250" w:type="dxa"/>
          </w:tcPr>
          <w:p w14:paraId="42B5A995" w14:textId="77777777" w:rsidR="002E34D0" w:rsidRPr="00B75B4C" w:rsidRDefault="002E34D0" w:rsidP="00B75B4C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/>
              </w:rPr>
            </w:pPr>
          </w:p>
        </w:tc>
      </w:tr>
      <w:tr w:rsidR="002E34D0" w:rsidRPr="00101EDC" w14:paraId="4CF5E928" w14:textId="4E3794D7" w:rsidTr="002E34D0">
        <w:tc>
          <w:tcPr>
            <w:tcW w:w="1737" w:type="dxa"/>
          </w:tcPr>
          <w:p w14:paraId="6AE46B74" w14:textId="77777777" w:rsidR="002E34D0" w:rsidRDefault="002E34D0" w:rsidP="00B75B4C"/>
        </w:tc>
        <w:tc>
          <w:tcPr>
            <w:tcW w:w="2511" w:type="dxa"/>
          </w:tcPr>
          <w:p w14:paraId="57FB288A" w14:textId="77777777" w:rsidR="002E34D0" w:rsidRDefault="002E34D0" w:rsidP="00B75B4C">
            <w:pPr>
              <w:spacing w:before="100" w:before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</w:tcPr>
          <w:p w14:paraId="594F2972" w14:textId="77777777" w:rsidR="002E34D0" w:rsidRDefault="002E34D0" w:rsidP="00B75B4C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250" w:type="dxa"/>
          </w:tcPr>
          <w:p w14:paraId="4555E288" w14:textId="77777777" w:rsidR="002E34D0" w:rsidRDefault="002E34D0" w:rsidP="00B75B4C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10FE8F35" w14:textId="77777777" w:rsidR="00612914" w:rsidRPr="006B1274" w:rsidRDefault="00612914" w:rsidP="00C2248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sectPr w:rsidR="00612914" w:rsidRPr="006B127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23C"/>
    <w:multiLevelType w:val="hybridMultilevel"/>
    <w:tmpl w:val="747A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9"/>
    <w:rsid w:val="0001208C"/>
    <w:rsid w:val="00022F6E"/>
    <w:rsid w:val="00047888"/>
    <w:rsid w:val="000710D3"/>
    <w:rsid w:val="000730A1"/>
    <w:rsid w:val="000C43D7"/>
    <w:rsid w:val="000D5DC2"/>
    <w:rsid w:val="00101EDC"/>
    <w:rsid w:val="00103BC2"/>
    <w:rsid w:val="0013760A"/>
    <w:rsid w:val="00140E9F"/>
    <w:rsid w:val="001472A4"/>
    <w:rsid w:val="00174671"/>
    <w:rsid w:val="00185FFB"/>
    <w:rsid w:val="00191480"/>
    <w:rsid w:val="00196C5B"/>
    <w:rsid w:val="0019774B"/>
    <w:rsid w:val="001A4D8B"/>
    <w:rsid w:val="001A60AC"/>
    <w:rsid w:val="001B0B9B"/>
    <w:rsid w:val="001B2205"/>
    <w:rsid w:val="001B5B1B"/>
    <w:rsid w:val="00214126"/>
    <w:rsid w:val="00220F85"/>
    <w:rsid w:val="00250E9B"/>
    <w:rsid w:val="00252669"/>
    <w:rsid w:val="002803CC"/>
    <w:rsid w:val="002B44BB"/>
    <w:rsid w:val="002C5297"/>
    <w:rsid w:val="002C7E98"/>
    <w:rsid w:val="002D2752"/>
    <w:rsid w:val="002E34D0"/>
    <w:rsid w:val="002E690D"/>
    <w:rsid w:val="00356013"/>
    <w:rsid w:val="00367368"/>
    <w:rsid w:val="00382B41"/>
    <w:rsid w:val="00387987"/>
    <w:rsid w:val="003C4AE2"/>
    <w:rsid w:val="003D1891"/>
    <w:rsid w:val="00421047"/>
    <w:rsid w:val="00423675"/>
    <w:rsid w:val="00426E5D"/>
    <w:rsid w:val="00475341"/>
    <w:rsid w:val="004B0E4C"/>
    <w:rsid w:val="004B5588"/>
    <w:rsid w:val="004C5751"/>
    <w:rsid w:val="004E4D7B"/>
    <w:rsid w:val="004F316A"/>
    <w:rsid w:val="00504867"/>
    <w:rsid w:val="00524B6D"/>
    <w:rsid w:val="00545460"/>
    <w:rsid w:val="005510EF"/>
    <w:rsid w:val="005555E3"/>
    <w:rsid w:val="00560D6D"/>
    <w:rsid w:val="005708B8"/>
    <w:rsid w:val="00595218"/>
    <w:rsid w:val="005A7FBB"/>
    <w:rsid w:val="005B1AC8"/>
    <w:rsid w:val="00603194"/>
    <w:rsid w:val="00603706"/>
    <w:rsid w:val="00605D4E"/>
    <w:rsid w:val="00607616"/>
    <w:rsid w:val="00612914"/>
    <w:rsid w:val="00624CEC"/>
    <w:rsid w:val="0062660E"/>
    <w:rsid w:val="006376BB"/>
    <w:rsid w:val="00677226"/>
    <w:rsid w:val="00691179"/>
    <w:rsid w:val="006A27C6"/>
    <w:rsid w:val="006B1274"/>
    <w:rsid w:val="006B5448"/>
    <w:rsid w:val="006E7B8E"/>
    <w:rsid w:val="0071303F"/>
    <w:rsid w:val="00724CF9"/>
    <w:rsid w:val="00764DA7"/>
    <w:rsid w:val="00767C09"/>
    <w:rsid w:val="00784CD1"/>
    <w:rsid w:val="007A3142"/>
    <w:rsid w:val="007C1706"/>
    <w:rsid w:val="007C6B96"/>
    <w:rsid w:val="007D5F22"/>
    <w:rsid w:val="007E5E97"/>
    <w:rsid w:val="00804110"/>
    <w:rsid w:val="008042E5"/>
    <w:rsid w:val="0087529F"/>
    <w:rsid w:val="008901D1"/>
    <w:rsid w:val="008919A4"/>
    <w:rsid w:val="0089592B"/>
    <w:rsid w:val="008A05FA"/>
    <w:rsid w:val="008B10F2"/>
    <w:rsid w:val="008B6808"/>
    <w:rsid w:val="008C6446"/>
    <w:rsid w:val="008D2622"/>
    <w:rsid w:val="008D6AF7"/>
    <w:rsid w:val="008E7605"/>
    <w:rsid w:val="008F4B47"/>
    <w:rsid w:val="009144F8"/>
    <w:rsid w:val="00924417"/>
    <w:rsid w:val="00931129"/>
    <w:rsid w:val="0093237E"/>
    <w:rsid w:val="00936989"/>
    <w:rsid w:val="00972EE7"/>
    <w:rsid w:val="009820A3"/>
    <w:rsid w:val="00993B99"/>
    <w:rsid w:val="009A04A2"/>
    <w:rsid w:val="009B567A"/>
    <w:rsid w:val="009C126C"/>
    <w:rsid w:val="009C66F4"/>
    <w:rsid w:val="009C7FC5"/>
    <w:rsid w:val="009D0D9F"/>
    <w:rsid w:val="009D6FEB"/>
    <w:rsid w:val="009E25FE"/>
    <w:rsid w:val="009F0F96"/>
    <w:rsid w:val="009F7C1A"/>
    <w:rsid w:val="00A005C7"/>
    <w:rsid w:val="00A04D1A"/>
    <w:rsid w:val="00A17DE3"/>
    <w:rsid w:val="00A60FC2"/>
    <w:rsid w:val="00A61594"/>
    <w:rsid w:val="00A66A04"/>
    <w:rsid w:val="00A87877"/>
    <w:rsid w:val="00A97DA2"/>
    <w:rsid w:val="00AD2758"/>
    <w:rsid w:val="00AD6904"/>
    <w:rsid w:val="00AE1CAC"/>
    <w:rsid w:val="00AF1F44"/>
    <w:rsid w:val="00B21DA0"/>
    <w:rsid w:val="00B53A6B"/>
    <w:rsid w:val="00B550DD"/>
    <w:rsid w:val="00B55C26"/>
    <w:rsid w:val="00B61962"/>
    <w:rsid w:val="00B75B4C"/>
    <w:rsid w:val="00B9054A"/>
    <w:rsid w:val="00BC73CE"/>
    <w:rsid w:val="00C072E6"/>
    <w:rsid w:val="00C15175"/>
    <w:rsid w:val="00C201F5"/>
    <w:rsid w:val="00C2248C"/>
    <w:rsid w:val="00C469EA"/>
    <w:rsid w:val="00C67780"/>
    <w:rsid w:val="00C82846"/>
    <w:rsid w:val="00C921F7"/>
    <w:rsid w:val="00C95812"/>
    <w:rsid w:val="00C972F5"/>
    <w:rsid w:val="00C978EF"/>
    <w:rsid w:val="00CA12DA"/>
    <w:rsid w:val="00CB05E5"/>
    <w:rsid w:val="00CB126F"/>
    <w:rsid w:val="00CB2270"/>
    <w:rsid w:val="00CB5DDA"/>
    <w:rsid w:val="00CD4B60"/>
    <w:rsid w:val="00CE246B"/>
    <w:rsid w:val="00D01F2D"/>
    <w:rsid w:val="00D02949"/>
    <w:rsid w:val="00D0371D"/>
    <w:rsid w:val="00D0443B"/>
    <w:rsid w:val="00D05199"/>
    <w:rsid w:val="00D32AED"/>
    <w:rsid w:val="00D44FAC"/>
    <w:rsid w:val="00D56FA3"/>
    <w:rsid w:val="00D870DD"/>
    <w:rsid w:val="00D9364B"/>
    <w:rsid w:val="00D96A78"/>
    <w:rsid w:val="00DC2867"/>
    <w:rsid w:val="00DC602E"/>
    <w:rsid w:val="00DE3D32"/>
    <w:rsid w:val="00DE60F9"/>
    <w:rsid w:val="00DE62A9"/>
    <w:rsid w:val="00E04BDA"/>
    <w:rsid w:val="00E2608C"/>
    <w:rsid w:val="00E3747F"/>
    <w:rsid w:val="00E37FE2"/>
    <w:rsid w:val="00E46CD3"/>
    <w:rsid w:val="00E4791E"/>
    <w:rsid w:val="00E517EE"/>
    <w:rsid w:val="00E64422"/>
    <w:rsid w:val="00E728DA"/>
    <w:rsid w:val="00E76B85"/>
    <w:rsid w:val="00E90842"/>
    <w:rsid w:val="00EB33B0"/>
    <w:rsid w:val="00ED5DB1"/>
    <w:rsid w:val="00EF2D99"/>
    <w:rsid w:val="00F10F6D"/>
    <w:rsid w:val="00F5456D"/>
    <w:rsid w:val="00F55ECB"/>
    <w:rsid w:val="00F569F1"/>
    <w:rsid w:val="00F65833"/>
    <w:rsid w:val="00F669A0"/>
    <w:rsid w:val="00F8317D"/>
    <w:rsid w:val="00F83874"/>
    <w:rsid w:val="00F8484A"/>
    <w:rsid w:val="00F901AD"/>
    <w:rsid w:val="00F92704"/>
    <w:rsid w:val="00FA2AA6"/>
    <w:rsid w:val="00FC1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577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12"/>
  </w:style>
  <w:style w:type="paragraph" w:styleId="Heading1">
    <w:name w:val="heading 1"/>
    <w:basedOn w:val="Normal"/>
    <w:next w:val="Normal"/>
    <w:link w:val="Heading1Char"/>
    <w:uiPriority w:val="9"/>
    <w:qFormat/>
    <w:rsid w:val="00B5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6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A9"/>
    <w:rPr>
      <w:rFonts w:ascii="Times" w:hAnsi="Time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2A9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62A9"/>
    <w:rPr>
      <w:color w:val="0000FF"/>
      <w:u w:val="single"/>
    </w:rPr>
  </w:style>
  <w:style w:type="paragraph" w:customStyle="1" w:styleId="instruction">
    <w:name w:val="instruction"/>
    <w:basedOn w:val="Normal"/>
    <w:rsid w:val="00DE62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E62A9"/>
  </w:style>
  <w:style w:type="table" w:styleId="TableGrid">
    <w:name w:val="Table Grid"/>
    <w:basedOn w:val="TableNormal"/>
    <w:uiPriority w:val="59"/>
    <w:rsid w:val="00CD4B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5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55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55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55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5C26"/>
    <w:rPr>
      <w:b/>
      <w:bCs/>
    </w:rPr>
  </w:style>
  <w:style w:type="character" w:styleId="Emphasis">
    <w:name w:val="Emphasis"/>
    <w:basedOn w:val="DefaultParagraphFont"/>
    <w:uiPriority w:val="20"/>
    <w:qFormat/>
    <w:rsid w:val="00B55C26"/>
    <w:rPr>
      <w:i/>
      <w:iCs/>
    </w:rPr>
  </w:style>
  <w:style w:type="paragraph" w:styleId="NoSpacing">
    <w:name w:val="No Spacing"/>
    <w:uiPriority w:val="1"/>
    <w:qFormat/>
    <w:rsid w:val="00B5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C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5C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C2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5C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5C2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5C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5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5C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C26"/>
    <w:pPr>
      <w:outlineLvl w:val="9"/>
    </w:pPr>
  </w:style>
  <w:style w:type="character" w:customStyle="1" w:styleId="msoins0">
    <w:name w:val="msoins"/>
    <w:basedOn w:val="DefaultParagraphFont"/>
    <w:rsid w:val="002E690D"/>
  </w:style>
  <w:style w:type="character" w:styleId="CommentReference">
    <w:name w:val="annotation reference"/>
    <w:basedOn w:val="DefaultParagraphFont"/>
    <w:uiPriority w:val="99"/>
    <w:semiHidden/>
    <w:unhideWhenUsed/>
    <w:rsid w:val="000120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8C"/>
    <w:pPr>
      <w:spacing w:before="0" w:beforeAutospacing="0" w:after="200" w:afterAutospacing="0"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8C"/>
    <w:rPr>
      <w:rFonts w:ascii="Times" w:hAnsi="Times"/>
      <w:b/>
      <w:bCs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B75B4C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12"/>
  </w:style>
  <w:style w:type="paragraph" w:styleId="Heading1">
    <w:name w:val="heading 1"/>
    <w:basedOn w:val="Normal"/>
    <w:next w:val="Normal"/>
    <w:link w:val="Heading1Char"/>
    <w:uiPriority w:val="9"/>
    <w:qFormat/>
    <w:rsid w:val="00B5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6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A9"/>
    <w:rPr>
      <w:rFonts w:ascii="Times" w:hAnsi="Time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2A9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62A9"/>
    <w:rPr>
      <w:color w:val="0000FF"/>
      <w:u w:val="single"/>
    </w:rPr>
  </w:style>
  <w:style w:type="paragraph" w:customStyle="1" w:styleId="instruction">
    <w:name w:val="instruction"/>
    <w:basedOn w:val="Normal"/>
    <w:rsid w:val="00DE62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E62A9"/>
  </w:style>
  <w:style w:type="table" w:styleId="TableGrid">
    <w:name w:val="Table Grid"/>
    <w:basedOn w:val="TableNormal"/>
    <w:uiPriority w:val="59"/>
    <w:rsid w:val="00CD4B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5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55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55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55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5C26"/>
    <w:rPr>
      <w:b/>
      <w:bCs/>
    </w:rPr>
  </w:style>
  <w:style w:type="character" w:styleId="Emphasis">
    <w:name w:val="Emphasis"/>
    <w:basedOn w:val="DefaultParagraphFont"/>
    <w:uiPriority w:val="20"/>
    <w:qFormat/>
    <w:rsid w:val="00B55C26"/>
    <w:rPr>
      <w:i/>
      <w:iCs/>
    </w:rPr>
  </w:style>
  <w:style w:type="paragraph" w:styleId="NoSpacing">
    <w:name w:val="No Spacing"/>
    <w:uiPriority w:val="1"/>
    <w:qFormat/>
    <w:rsid w:val="00B5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C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5C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C2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5C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5C2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5C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5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5C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C26"/>
    <w:pPr>
      <w:outlineLvl w:val="9"/>
    </w:pPr>
  </w:style>
  <w:style w:type="character" w:customStyle="1" w:styleId="msoins0">
    <w:name w:val="msoins"/>
    <w:basedOn w:val="DefaultParagraphFont"/>
    <w:rsid w:val="002E690D"/>
  </w:style>
  <w:style w:type="character" w:styleId="CommentReference">
    <w:name w:val="annotation reference"/>
    <w:basedOn w:val="DefaultParagraphFont"/>
    <w:uiPriority w:val="99"/>
    <w:semiHidden/>
    <w:unhideWhenUsed/>
    <w:rsid w:val="000120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8C"/>
    <w:pPr>
      <w:spacing w:before="0" w:beforeAutospacing="0" w:after="200" w:afterAutospacing="0"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8C"/>
    <w:rPr>
      <w:rFonts w:ascii="Times" w:hAnsi="Times"/>
      <w:b/>
      <w:bCs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B75B4C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79F1-A7FA-4F80-9D2F-1AAA93AE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2018-03-30T23:01:00Z</dcterms:created>
  <dcterms:modified xsi:type="dcterms:W3CDTF">2018-04-20T13:09:00Z</dcterms:modified>
</cp:coreProperties>
</file>