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EC" w:rsidRDefault="00E23C0E" w:rsidP="00E23C0E">
      <w:pPr>
        <w:pStyle w:val="Title"/>
      </w:pPr>
      <w:r>
        <w:t xml:space="preserve">Response of IP on </w:t>
      </w:r>
      <w:r w:rsidR="006738E9">
        <w:t>Oriya</w:t>
      </w:r>
      <w:r>
        <w:t xml:space="preserve"> LGR </w:t>
      </w:r>
      <w:r w:rsidR="004D6FD1">
        <w:t>Proposal of 2018-05-29</w:t>
      </w:r>
    </w:p>
    <w:p w:rsidR="00E23C0E" w:rsidRDefault="00E23C0E" w:rsidP="00E23C0E">
      <w:r>
        <w:t xml:space="preserve">DATE: </w:t>
      </w:r>
      <w:r w:rsidR="004D6FD1">
        <w:t>2018-06-25</w:t>
      </w:r>
    </w:p>
    <w:p w:rsidR="00E23C0E" w:rsidRDefault="00E23C0E" w:rsidP="00E23C0E">
      <w:pPr>
        <w:pStyle w:val="Heading1"/>
      </w:pPr>
      <w:r>
        <w:t>Overview</w:t>
      </w:r>
    </w:p>
    <w:p w:rsidR="00E23C0E" w:rsidRDefault="00582BE0" w:rsidP="00E23C0E">
      <w:r>
        <w:t>Although the previous version of the Oriya proposal was said to be “an early draft”, the NBGP have responded actively to all suggestions of the IP, so that the proposal appears substantially complete.</w:t>
      </w:r>
    </w:p>
    <w:p w:rsidR="00582BE0" w:rsidRDefault="00582BE0" w:rsidP="00E23C0E">
      <w:r>
        <w:t>The GP for Oriya was not able to provide an authoritative BNF model of the Oriya akshara, but has provided a minimal set of WLE for significant classes of CP.</w:t>
      </w:r>
    </w:p>
    <w:p w:rsidR="00E23C0E" w:rsidRDefault="00E23C0E" w:rsidP="00E23C0E">
      <w:pPr>
        <w:pStyle w:val="Heading1"/>
      </w:pPr>
      <w:r>
        <w:t>Conclusion</w:t>
      </w:r>
    </w:p>
    <w:p w:rsidR="00E23C0E" w:rsidRDefault="00582BE0" w:rsidP="00E23C0E">
      <w:r>
        <w:t>The proposal appears substantially complete.</w:t>
      </w:r>
    </w:p>
    <w:p w:rsidR="008616D4" w:rsidRDefault="008616D4" w:rsidP="008616D4">
      <w:pPr>
        <w:pStyle w:val="Heading1"/>
      </w:pPr>
      <w:r>
        <w:t>Comments on main document (.docx)</w:t>
      </w:r>
    </w:p>
    <w:p w:rsidR="008616D4" w:rsidRDefault="008616D4" w:rsidP="008616D4"/>
    <w:tbl>
      <w:tblPr>
        <w:tblStyle w:val="TableGrid"/>
        <w:tblW w:w="9108" w:type="dxa"/>
        <w:tblLayout w:type="fixed"/>
        <w:tblLook w:val="04A0"/>
      </w:tblPr>
      <w:tblGrid>
        <w:gridCol w:w="758"/>
        <w:gridCol w:w="4840"/>
        <w:gridCol w:w="1350"/>
        <w:gridCol w:w="2160"/>
      </w:tblGrid>
      <w:tr w:rsidR="00490F51" w:rsidRPr="005D0DFC" w:rsidTr="00A53FB3">
        <w:tc>
          <w:tcPr>
            <w:tcW w:w="758" w:type="dxa"/>
          </w:tcPr>
          <w:p w:rsidR="00490F51" w:rsidRPr="005D0DFC" w:rsidRDefault="00490F51" w:rsidP="00AE1B99">
            <w:pPr>
              <w:rPr>
                <w:b/>
              </w:rPr>
            </w:pPr>
            <w:r w:rsidRPr="005D0DFC">
              <w:rPr>
                <w:b/>
              </w:rPr>
              <w:t>Item</w:t>
            </w:r>
          </w:p>
        </w:tc>
        <w:tc>
          <w:tcPr>
            <w:tcW w:w="4840" w:type="dxa"/>
          </w:tcPr>
          <w:p w:rsidR="00490F51" w:rsidRPr="005D0DFC" w:rsidRDefault="00490F51" w:rsidP="00AE1B99">
            <w:pPr>
              <w:rPr>
                <w:b/>
              </w:rPr>
            </w:pPr>
            <w:r w:rsidRPr="005D0DFC">
              <w:rPr>
                <w:b/>
              </w:rPr>
              <w:t>Issue</w:t>
            </w:r>
          </w:p>
        </w:tc>
        <w:tc>
          <w:tcPr>
            <w:tcW w:w="1350" w:type="dxa"/>
          </w:tcPr>
          <w:p w:rsidR="00490F51" w:rsidRPr="005D0DFC" w:rsidRDefault="00490F51" w:rsidP="00AE1B99">
            <w:pPr>
              <w:rPr>
                <w:b/>
              </w:rPr>
            </w:pPr>
            <w:r w:rsidRPr="005D0DFC">
              <w:rPr>
                <w:b/>
              </w:rPr>
              <w:t>IP Comment</w:t>
            </w:r>
          </w:p>
        </w:tc>
        <w:tc>
          <w:tcPr>
            <w:tcW w:w="2160" w:type="dxa"/>
          </w:tcPr>
          <w:p w:rsidR="00490F51" w:rsidRPr="005D0DFC" w:rsidRDefault="00490F51" w:rsidP="00AE1B99">
            <w:pPr>
              <w:rPr>
                <w:b/>
              </w:rPr>
            </w:pPr>
          </w:p>
        </w:tc>
      </w:tr>
      <w:tr w:rsidR="00490F51" w:rsidRPr="00E23C0E" w:rsidTr="00A53FB3">
        <w:tc>
          <w:tcPr>
            <w:tcW w:w="758" w:type="dxa"/>
          </w:tcPr>
          <w:p w:rsidR="00490F51" w:rsidRPr="00E23C0E" w:rsidRDefault="00490F51" w:rsidP="00AE1B99">
            <w:r>
              <w:t>1</w:t>
            </w:r>
          </w:p>
        </w:tc>
        <w:tc>
          <w:tcPr>
            <w:tcW w:w="4840" w:type="dxa"/>
          </w:tcPr>
          <w:p w:rsidR="00490F51" w:rsidRDefault="00490F51" w:rsidP="00AE1B99">
            <w:r>
              <w:t xml:space="preserve">In section 6.2 (Table 6) a single cross-script variant is proposed with a code point in Malayalam. </w:t>
            </w:r>
          </w:p>
          <w:p w:rsidR="00490F51" w:rsidRDefault="00490F51" w:rsidP="004D6FD1">
            <w:r>
              <w:t xml:space="preserve">The similar glyph to which they are rendered is a circle. </w:t>
            </w:r>
          </w:p>
          <w:p w:rsidR="00490F51" w:rsidRDefault="00490F51" w:rsidP="004D6FD1"/>
          <w:p w:rsidR="00490F51" w:rsidRDefault="00490F51" w:rsidP="004D6FD1">
            <w:r>
              <w:t xml:space="preserve">Since Oriya and Malayalam are not similar scripts, and there are no other potential cross-script confusables, this does not appear sufficient to motivate a cross-script variant, even on security grounds. </w:t>
            </w:r>
          </w:p>
          <w:p w:rsidR="00490F51" w:rsidRDefault="00490F51" w:rsidP="004D6FD1"/>
          <w:p w:rsidR="00490F51" w:rsidRDefault="00490F51" w:rsidP="004D6FD1">
            <w:r>
              <w:t>A CP rendered as a circular glyph is in fact present in most of the scripts of the world and the IP’s general view is that, by itself, such circle homoglyphs aren’t a sufficient issue to warrant a variant definition.</w:t>
            </w:r>
          </w:p>
          <w:p w:rsidR="00490F51" w:rsidRDefault="00490F51" w:rsidP="004D6FD1"/>
          <w:p w:rsidR="00490F51" w:rsidRDefault="00490F51" w:rsidP="004D6FD1">
            <w:r>
              <w:t>The situation changes for graphically similar scripts that share a more diverse set of variants.</w:t>
            </w:r>
          </w:p>
          <w:p w:rsidR="00A53FB3" w:rsidRDefault="00A53FB3" w:rsidP="004D6FD1"/>
          <w:p w:rsidR="008159E7" w:rsidRPr="00E23C0E" w:rsidRDefault="008159E7" w:rsidP="004D6FD1"/>
        </w:tc>
        <w:tc>
          <w:tcPr>
            <w:tcW w:w="1350" w:type="dxa"/>
          </w:tcPr>
          <w:p w:rsidR="00490F51" w:rsidRPr="00E23C0E" w:rsidRDefault="00490F51" w:rsidP="00AE1B99">
            <w:r>
              <w:lastRenderedPageBreak/>
              <w:t>Consider removing this lone variant.</w:t>
            </w:r>
          </w:p>
        </w:tc>
        <w:tc>
          <w:tcPr>
            <w:tcW w:w="2160" w:type="dxa"/>
          </w:tcPr>
          <w:p w:rsidR="00EF6C5F" w:rsidRPr="00660B9E" w:rsidRDefault="00EF6C5F" w:rsidP="00AE1B99">
            <w:pPr>
              <w:rPr>
                <w:color w:val="0000FF"/>
              </w:rPr>
            </w:pPr>
            <w:r w:rsidRPr="00660B9E">
              <w:rPr>
                <w:color w:val="0000FF"/>
              </w:rPr>
              <w:t>Under Discussion Among NBGP</w:t>
            </w:r>
            <w:r w:rsidR="00F477D1">
              <w:rPr>
                <w:color w:val="0000FF"/>
              </w:rPr>
              <w:t xml:space="preserve"> to make final decision</w:t>
            </w:r>
            <w:r w:rsidRPr="00660B9E">
              <w:rPr>
                <w:color w:val="0000FF"/>
              </w:rPr>
              <w:t xml:space="preserve"> </w:t>
            </w:r>
          </w:p>
        </w:tc>
      </w:tr>
      <w:tr w:rsidR="00490F51" w:rsidRPr="00E23C0E" w:rsidTr="00A53FB3">
        <w:tc>
          <w:tcPr>
            <w:tcW w:w="758" w:type="dxa"/>
          </w:tcPr>
          <w:p w:rsidR="00490F51" w:rsidRDefault="00490F51" w:rsidP="00AE1B99">
            <w:r>
              <w:lastRenderedPageBreak/>
              <w:t>2</w:t>
            </w:r>
          </w:p>
        </w:tc>
        <w:tc>
          <w:tcPr>
            <w:tcW w:w="4840" w:type="dxa"/>
          </w:tcPr>
          <w:p w:rsidR="00490F51" w:rsidRDefault="00490F51" w:rsidP="00942E86">
            <w:r>
              <w:t>In section 3.3 ‘</w:t>
            </w:r>
            <w:r w:rsidRPr="00AF2FBC">
              <w:t>According to Wikipedia, https://en.wikipedia.org/wiki/Odia_languagethe Oriya (Odia) diaspora</w:t>
            </w:r>
            <w:r>
              <w:t>’</w:t>
            </w:r>
          </w:p>
        </w:tc>
        <w:tc>
          <w:tcPr>
            <w:tcW w:w="1350" w:type="dxa"/>
          </w:tcPr>
          <w:p w:rsidR="00490F51" w:rsidRDefault="00490F51" w:rsidP="00942E86">
            <w:r>
              <w:t>Add a space between ‘language’ and ‘the’</w:t>
            </w:r>
          </w:p>
        </w:tc>
        <w:tc>
          <w:tcPr>
            <w:tcW w:w="2160" w:type="dxa"/>
          </w:tcPr>
          <w:p w:rsidR="00490F51" w:rsidRDefault="00490F51" w:rsidP="00942E86">
            <w:r>
              <w:t>Done</w:t>
            </w:r>
          </w:p>
        </w:tc>
      </w:tr>
      <w:tr w:rsidR="00490F51" w:rsidRPr="00E23C0E" w:rsidTr="00A53FB3">
        <w:tc>
          <w:tcPr>
            <w:tcW w:w="758" w:type="dxa"/>
          </w:tcPr>
          <w:p w:rsidR="00490F51" w:rsidRDefault="00490F51" w:rsidP="00AE1B99">
            <w:r>
              <w:t>3</w:t>
            </w:r>
          </w:p>
        </w:tc>
        <w:tc>
          <w:tcPr>
            <w:tcW w:w="4840" w:type="dxa"/>
          </w:tcPr>
          <w:p w:rsidR="00490F51" w:rsidRDefault="00490F51" w:rsidP="00942E86">
            <w:r>
              <w:t>In section 3.5, IAST is not defined</w:t>
            </w:r>
          </w:p>
        </w:tc>
        <w:tc>
          <w:tcPr>
            <w:tcW w:w="1350" w:type="dxa"/>
          </w:tcPr>
          <w:p w:rsidR="00490F51" w:rsidRDefault="00490F51" w:rsidP="00942E86">
            <w:r>
              <w:t>Please explain acronym</w:t>
            </w:r>
          </w:p>
        </w:tc>
        <w:tc>
          <w:tcPr>
            <w:tcW w:w="2160" w:type="dxa"/>
          </w:tcPr>
          <w:p w:rsidR="00490F51" w:rsidRDefault="00D81DE5" w:rsidP="00D81DE5">
            <w:r>
              <w:t xml:space="preserve">Added it in the Proposal. </w:t>
            </w:r>
            <w:r w:rsidR="00490F51" w:rsidRPr="00490F51">
              <w:t>International Alphabet of Sanskrit Transliteration (I.A.S.T.) is a transliteration scheme that allows the lossless romanization of Indic scripts as employed by Sanskrit and related Indic languages.</w:t>
            </w:r>
            <w:r w:rsidR="00490F51">
              <w:t xml:space="preserve"> </w:t>
            </w:r>
            <w:r w:rsidR="00490F51" w:rsidRPr="00490F51">
              <w:t>IAST makes it possible for the reader to read the Indic text unambiguously, exactly as if it were in the original Indic script.</w:t>
            </w:r>
            <w:r w:rsidR="00CD7F31">
              <w:t xml:space="preserve"> Example:</w:t>
            </w:r>
            <w:r w:rsidR="008D57CB">
              <w:rPr>
                <w:rFonts w:ascii="Kalinga" w:hAnsi="Kalinga" w:cs="Kalinga"/>
              </w:rPr>
              <w:t xml:space="preserve"> </w:t>
            </w:r>
            <w:r w:rsidR="008D57CB" w:rsidRPr="008D57CB">
              <w:rPr>
                <w:rFonts w:ascii="Kalinga" w:hAnsi="Kalinga" w:cs="Kalinga"/>
              </w:rPr>
              <w:t>କ</w:t>
            </w:r>
            <w:r w:rsidR="008D57CB" w:rsidRPr="008D57CB">
              <w:t xml:space="preserve"> </w:t>
            </w:r>
            <w:r w:rsidR="008D57CB" w:rsidRPr="00243F49">
              <w:t>0B15</w:t>
            </w:r>
            <w:r w:rsidR="008D57CB" w:rsidRPr="008D57CB">
              <w:t xml:space="preserve"> (</w:t>
            </w:r>
            <w:r w:rsidR="008D57CB" w:rsidRPr="008D57CB">
              <w:rPr>
                <w:color w:val="0000FF"/>
              </w:rPr>
              <w:t>ka</w:t>
            </w:r>
            <w:r w:rsidR="008D57CB" w:rsidRPr="008D57CB">
              <w:t>)</w:t>
            </w:r>
            <w:r w:rsidR="008D57CB">
              <w:t>,</w:t>
            </w:r>
            <w:r w:rsidR="00CD7F31">
              <w:t xml:space="preserve">  </w:t>
            </w:r>
            <w:r w:rsidR="008D57CB" w:rsidRPr="00243F49">
              <w:rPr>
                <w:rFonts w:cs="Kalinga" w:hint="cs"/>
                <w:cs/>
                <w:lang w:bidi="or-IN"/>
              </w:rPr>
              <w:t>ଖ</w:t>
            </w:r>
            <w:r w:rsidR="008D57CB" w:rsidRPr="00243F49">
              <w:rPr>
                <w:rFonts w:cs="Kalinga"/>
                <w:cs/>
                <w:lang w:bidi="or-IN"/>
              </w:rPr>
              <w:t xml:space="preserve"> </w:t>
            </w:r>
            <w:r w:rsidR="008D57CB" w:rsidRPr="00243F49">
              <w:t>0B16</w:t>
            </w:r>
            <w:r w:rsidR="008D57CB">
              <w:t xml:space="preserve"> (</w:t>
            </w:r>
            <w:r w:rsidR="008D57CB" w:rsidRPr="008D57CB">
              <w:rPr>
                <w:color w:val="0000FF"/>
              </w:rPr>
              <w:t>kha</w:t>
            </w:r>
            <w:r w:rsidR="008D57CB" w:rsidRPr="008D57CB">
              <w:t>)</w:t>
            </w:r>
            <w:r w:rsidR="008D57CB">
              <w:t xml:space="preserve"> etc</w:t>
            </w:r>
          </w:p>
        </w:tc>
      </w:tr>
      <w:tr w:rsidR="00490F51" w:rsidRPr="00E23C0E" w:rsidTr="00A53FB3">
        <w:tc>
          <w:tcPr>
            <w:tcW w:w="758" w:type="dxa"/>
          </w:tcPr>
          <w:p w:rsidR="00490F51" w:rsidRDefault="00490F51" w:rsidP="00AE1B99">
            <w:r>
              <w:t>4</w:t>
            </w:r>
          </w:p>
        </w:tc>
        <w:tc>
          <w:tcPr>
            <w:tcW w:w="4840" w:type="dxa"/>
          </w:tcPr>
          <w:p w:rsidR="00490F51" w:rsidRDefault="00490F51" w:rsidP="00942E86">
            <w:r>
              <w:t>In section 4.1, the term ‘ambit’ is not a common term.</w:t>
            </w:r>
          </w:p>
        </w:tc>
        <w:tc>
          <w:tcPr>
            <w:tcW w:w="1350" w:type="dxa"/>
          </w:tcPr>
          <w:p w:rsidR="00490F51" w:rsidRDefault="00490F51" w:rsidP="00942E86">
            <w:r>
              <w:t>Suggest replace by ‘scope’.</w:t>
            </w:r>
          </w:p>
        </w:tc>
        <w:tc>
          <w:tcPr>
            <w:tcW w:w="2160" w:type="dxa"/>
          </w:tcPr>
          <w:p w:rsidR="00490F51" w:rsidRDefault="00490F51" w:rsidP="00490F51">
            <w:r>
              <w:t xml:space="preserve">Ambit is  Replaced with Scope </w:t>
            </w:r>
          </w:p>
        </w:tc>
      </w:tr>
      <w:tr w:rsidR="00490F51" w:rsidRPr="00E23C0E" w:rsidTr="00A53FB3">
        <w:tc>
          <w:tcPr>
            <w:tcW w:w="758" w:type="dxa"/>
          </w:tcPr>
          <w:p w:rsidR="00490F51" w:rsidRDefault="00490F51" w:rsidP="00AE1B99">
            <w:r>
              <w:t>5</w:t>
            </w:r>
          </w:p>
        </w:tc>
        <w:tc>
          <w:tcPr>
            <w:tcW w:w="4840" w:type="dxa"/>
          </w:tcPr>
          <w:p w:rsidR="00490F51" w:rsidRDefault="00490F51" w:rsidP="00942E86">
            <w:r>
              <w:t>In section 7 definition of C1 ‘</w:t>
            </w:r>
            <w:r w:rsidRPr="00243F49">
              <w:rPr>
                <w:rFonts w:cs="Kalinga" w:hint="cs"/>
                <w:cs/>
                <w:lang w:bidi="or-IN"/>
              </w:rPr>
              <w:t>ଡ</w:t>
            </w:r>
            <w:r w:rsidRPr="00243F49">
              <w:t xml:space="preserve">0B21, </w:t>
            </w:r>
            <w:r w:rsidRPr="00243F49">
              <w:rPr>
                <w:rFonts w:cs="Kalinga" w:hint="cs"/>
                <w:cs/>
                <w:lang w:bidi="or-IN"/>
              </w:rPr>
              <w:t>ଢ</w:t>
            </w:r>
            <w:r w:rsidRPr="00243F49">
              <w:t xml:space="preserve">0B22, </w:t>
            </w:r>
            <w:r w:rsidRPr="00243F49">
              <w:rPr>
                <w:rFonts w:cs="Kalinga" w:hint="cs"/>
                <w:cs/>
                <w:lang w:bidi="or-IN"/>
              </w:rPr>
              <w:t>କ</w:t>
            </w:r>
            <w:r w:rsidRPr="00243F49">
              <w:rPr>
                <w:rFonts w:cs="Kalinga"/>
                <w:cs/>
                <w:lang w:bidi="or-IN"/>
              </w:rPr>
              <w:t xml:space="preserve"> </w:t>
            </w:r>
            <w:r w:rsidRPr="00243F49">
              <w:t xml:space="preserve">0B15, </w:t>
            </w:r>
            <w:r w:rsidRPr="00243F49">
              <w:rPr>
                <w:rFonts w:cs="Kalinga" w:hint="cs"/>
                <w:cs/>
                <w:lang w:bidi="or-IN"/>
              </w:rPr>
              <w:t>ଖ</w:t>
            </w:r>
            <w:r w:rsidRPr="00243F49">
              <w:rPr>
                <w:rFonts w:cs="Kalinga"/>
                <w:cs/>
                <w:lang w:bidi="or-IN"/>
              </w:rPr>
              <w:t xml:space="preserve"> </w:t>
            </w:r>
            <w:r w:rsidRPr="00243F49">
              <w:t xml:space="preserve">0B16, </w:t>
            </w:r>
            <w:r w:rsidRPr="00243F49">
              <w:rPr>
                <w:rFonts w:cs="Kalinga" w:hint="cs"/>
                <w:cs/>
                <w:lang w:bidi="or-IN"/>
              </w:rPr>
              <w:t>ଗ</w:t>
            </w:r>
            <w:r w:rsidRPr="00243F49">
              <w:rPr>
                <w:rFonts w:cs="Kalinga"/>
                <w:cs/>
                <w:lang w:bidi="or-IN"/>
              </w:rPr>
              <w:t xml:space="preserve"> </w:t>
            </w:r>
            <w:r w:rsidRPr="00243F49">
              <w:t xml:space="preserve">0B17, </w:t>
            </w:r>
            <w:r w:rsidRPr="00243F49">
              <w:rPr>
                <w:rFonts w:cs="Kalinga" w:hint="cs"/>
                <w:cs/>
                <w:lang w:bidi="or-IN"/>
              </w:rPr>
              <w:t>ଚ</w:t>
            </w:r>
            <w:r w:rsidRPr="00243F49">
              <w:rPr>
                <w:rFonts w:cs="Kalinga"/>
                <w:cs/>
                <w:lang w:bidi="or-IN"/>
              </w:rPr>
              <w:t xml:space="preserve"> </w:t>
            </w:r>
            <w:r w:rsidRPr="00243F49">
              <w:t xml:space="preserve">0B1A, </w:t>
            </w:r>
            <w:r w:rsidRPr="00243F49">
              <w:rPr>
                <w:rFonts w:cs="Kalinga" w:hint="cs"/>
                <w:cs/>
                <w:lang w:bidi="or-IN"/>
              </w:rPr>
              <w:t>ଜ</w:t>
            </w:r>
            <w:r w:rsidRPr="00243F49">
              <w:rPr>
                <w:rFonts w:cs="Kalinga"/>
                <w:cs/>
                <w:lang w:bidi="or-IN"/>
              </w:rPr>
              <w:t xml:space="preserve"> </w:t>
            </w:r>
            <w:r w:rsidRPr="00243F49">
              <w:t xml:space="preserve">0B1C, </w:t>
            </w:r>
            <w:r w:rsidRPr="00243F49">
              <w:rPr>
                <w:rFonts w:cs="Kalinga" w:hint="cs"/>
                <w:cs/>
                <w:lang w:bidi="or-IN"/>
              </w:rPr>
              <w:t>ଫ</w:t>
            </w:r>
            <w:r w:rsidRPr="00243F49">
              <w:rPr>
                <w:rFonts w:cs="Kalinga"/>
                <w:cs/>
                <w:lang w:bidi="or-IN"/>
              </w:rPr>
              <w:t xml:space="preserve"> </w:t>
            </w:r>
            <w:r w:rsidRPr="00243F49">
              <w:t>0B2B}</w:t>
            </w:r>
            <w:r>
              <w:t>’</w:t>
            </w:r>
          </w:p>
        </w:tc>
        <w:tc>
          <w:tcPr>
            <w:tcW w:w="1350" w:type="dxa"/>
          </w:tcPr>
          <w:p w:rsidR="00490F51" w:rsidRDefault="00490F51" w:rsidP="00942E86">
            <w:r>
              <w:t xml:space="preserve">Please order C1 </w:t>
            </w:r>
            <w:bookmarkStart w:id="4" w:name="_GoBack"/>
            <w:bookmarkEnd w:id="4"/>
            <w:r>
              <w:t>in increasing order</w:t>
            </w:r>
          </w:p>
        </w:tc>
        <w:tc>
          <w:tcPr>
            <w:tcW w:w="2160" w:type="dxa"/>
          </w:tcPr>
          <w:p w:rsidR="00490F51" w:rsidRDefault="00F8270B" w:rsidP="00942E86">
            <w:r>
              <w:t>Arranged in increasing order</w:t>
            </w:r>
          </w:p>
        </w:tc>
      </w:tr>
      <w:tr w:rsidR="00490F51" w:rsidRPr="00E23C0E" w:rsidTr="00A53FB3">
        <w:tc>
          <w:tcPr>
            <w:tcW w:w="758" w:type="dxa"/>
          </w:tcPr>
          <w:p w:rsidR="00490F51" w:rsidRDefault="00490F51" w:rsidP="001C7A60">
            <w:r>
              <w:t>6</w:t>
            </w:r>
          </w:p>
        </w:tc>
        <w:tc>
          <w:tcPr>
            <w:tcW w:w="4840" w:type="dxa"/>
          </w:tcPr>
          <w:p w:rsidR="00490F51" w:rsidRDefault="00490F51" w:rsidP="001C7A60">
            <w:r>
              <w:t>Section 7: Use of modals (“must”, “may”) in specifying separate WLE cases.</w:t>
            </w:r>
          </w:p>
        </w:tc>
        <w:tc>
          <w:tcPr>
            <w:tcW w:w="1350" w:type="dxa"/>
          </w:tcPr>
          <w:p w:rsidR="00490F51" w:rsidRDefault="00490F51" w:rsidP="001C7A60">
            <w:r>
              <w:t xml:space="preserve">For each character mentioned, there MUST be a context made up of a </w:t>
            </w:r>
            <w:r>
              <w:lastRenderedPageBreak/>
              <w:t>number  (&gt;1) of distinct alternatives. Therefore each of these alternatives MAY (not MUST) be the context for that character.</w:t>
            </w:r>
          </w:p>
        </w:tc>
        <w:tc>
          <w:tcPr>
            <w:tcW w:w="2160" w:type="dxa"/>
          </w:tcPr>
          <w:p w:rsidR="00490F51" w:rsidRDefault="00CD7F31" w:rsidP="00097CF3">
            <w:r>
              <w:lastRenderedPageBreak/>
              <w:t>Agreed</w:t>
            </w:r>
            <w:r w:rsidR="00097CF3">
              <w:t xml:space="preserve"> with this suggesion</w:t>
            </w:r>
          </w:p>
        </w:tc>
      </w:tr>
      <w:tr w:rsidR="00490F51" w:rsidRPr="00E23C0E" w:rsidTr="00A53FB3">
        <w:tc>
          <w:tcPr>
            <w:tcW w:w="758" w:type="dxa"/>
          </w:tcPr>
          <w:p w:rsidR="00490F51" w:rsidRDefault="00490F51" w:rsidP="001C7A60">
            <w:r>
              <w:lastRenderedPageBreak/>
              <w:t>7</w:t>
            </w:r>
          </w:p>
        </w:tc>
        <w:tc>
          <w:tcPr>
            <w:tcW w:w="4840" w:type="dxa"/>
          </w:tcPr>
          <w:p w:rsidR="00490F51" w:rsidRDefault="00490F51" w:rsidP="001C7A60">
            <w:r>
              <w:t>Some other details are adjusted in the text for the Proposal  .docx attached.</w:t>
            </w:r>
          </w:p>
        </w:tc>
        <w:tc>
          <w:tcPr>
            <w:tcW w:w="1350" w:type="dxa"/>
          </w:tcPr>
          <w:p w:rsidR="00490F51" w:rsidRDefault="00490F51" w:rsidP="001C7A60">
            <w:r>
              <w:t>As attached.</w:t>
            </w:r>
          </w:p>
        </w:tc>
        <w:tc>
          <w:tcPr>
            <w:tcW w:w="2160" w:type="dxa"/>
          </w:tcPr>
          <w:p w:rsidR="00490F51" w:rsidRDefault="00490F51" w:rsidP="001C7A60"/>
        </w:tc>
      </w:tr>
    </w:tbl>
    <w:p w:rsidR="008616D4" w:rsidRPr="00E23C0E" w:rsidRDefault="008616D4" w:rsidP="008616D4"/>
    <w:p w:rsidR="008616D4" w:rsidRDefault="008616D4" w:rsidP="008616D4">
      <w:pPr>
        <w:pStyle w:val="Heading1"/>
      </w:pPr>
      <w:r>
        <w:t>Comments on LGR specification (.xml)</w:t>
      </w:r>
    </w:p>
    <w:p w:rsidR="008616D4" w:rsidRDefault="008616D4" w:rsidP="008616D4"/>
    <w:tbl>
      <w:tblPr>
        <w:tblStyle w:val="TableGrid"/>
        <w:tblW w:w="0" w:type="auto"/>
        <w:tblLook w:val="04A0"/>
      </w:tblPr>
      <w:tblGrid>
        <w:gridCol w:w="817"/>
        <w:gridCol w:w="3827"/>
        <w:gridCol w:w="3872"/>
      </w:tblGrid>
      <w:tr w:rsidR="008616D4" w:rsidRPr="005D0DFC" w:rsidTr="00AE1B99">
        <w:tc>
          <w:tcPr>
            <w:tcW w:w="817" w:type="dxa"/>
          </w:tcPr>
          <w:p w:rsidR="008616D4" w:rsidRPr="005D0DFC" w:rsidRDefault="008616D4" w:rsidP="00AE1B99">
            <w:pPr>
              <w:rPr>
                <w:b/>
              </w:rPr>
            </w:pPr>
            <w:r w:rsidRPr="005D0DFC">
              <w:rPr>
                <w:b/>
              </w:rPr>
              <w:t>Item</w:t>
            </w:r>
          </w:p>
        </w:tc>
        <w:tc>
          <w:tcPr>
            <w:tcW w:w="3827" w:type="dxa"/>
          </w:tcPr>
          <w:p w:rsidR="008616D4" w:rsidRPr="005D0DFC" w:rsidRDefault="008616D4" w:rsidP="00AE1B99">
            <w:pPr>
              <w:rPr>
                <w:b/>
              </w:rPr>
            </w:pPr>
            <w:r w:rsidRPr="005D0DFC">
              <w:rPr>
                <w:b/>
              </w:rPr>
              <w:t>Issue</w:t>
            </w:r>
          </w:p>
        </w:tc>
        <w:tc>
          <w:tcPr>
            <w:tcW w:w="3872" w:type="dxa"/>
          </w:tcPr>
          <w:p w:rsidR="008616D4" w:rsidRPr="005D0DFC" w:rsidRDefault="008616D4" w:rsidP="00AE1B99">
            <w:pPr>
              <w:rPr>
                <w:b/>
              </w:rPr>
            </w:pPr>
            <w:r w:rsidRPr="005D0DFC">
              <w:rPr>
                <w:b/>
              </w:rPr>
              <w:t>IP Comment</w:t>
            </w:r>
          </w:p>
        </w:tc>
      </w:tr>
      <w:tr w:rsidR="008616D4" w:rsidRPr="00E23C0E" w:rsidTr="00AE1B99">
        <w:tc>
          <w:tcPr>
            <w:tcW w:w="817" w:type="dxa"/>
          </w:tcPr>
          <w:p w:rsidR="008616D4" w:rsidRPr="00E23C0E" w:rsidRDefault="00CE515C" w:rsidP="00AE1B99">
            <w:r>
              <w:t>1</w:t>
            </w:r>
          </w:p>
        </w:tc>
        <w:tc>
          <w:tcPr>
            <w:tcW w:w="3827" w:type="dxa"/>
          </w:tcPr>
          <w:p w:rsidR="008616D4" w:rsidRDefault="00CE515C" w:rsidP="00AE1B99">
            <w:r>
              <w:t>Comments for class names</w:t>
            </w:r>
          </w:p>
          <w:p w:rsidR="00CE515C" w:rsidRPr="00E23C0E" w:rsidRDefault="00CE515C" w:rsidP="00AE1B99">
            <w:r>
              <w:t xml:space="preserve">Named classes should have a “comment” attribute with a reminder of their content. </w:t>
            </w:r>
          </w:p>
        </w:tc>
        <w:tc>
          <w:tcPr>
            <w:tcW w:w="3872" w:type="dxa"/>
          </w:tcPr>
          <w:p w:rsidR="008616D4" w:rsidRPr="00E23C0E" w:rsidRDefault="00CE515C" w:rsidP="00AE1B99">
            <w:r>
              <w:t>Please see suggested comments</w:t>
            </w:r>
          </w:p>
        </w:tc>
      </w:tr>
      <w:tr w:rsidR="008616D4" w:rsidRPr="00E23C0E" w:rsidTr="00AE1B99">
        <w:tc>
          <w:tcPr>
            <w:tcW w:w="817" w:type="dxa"/>
          </w:tcPr>
          <w:p w:rsidR="008616D4" w:rsidRPr="00E23C0E" w:rsidRDefault="00CE515C" w:rsidP="00AE1B99">
            <w:r>
              <w:t>2</w:t>
            </w:r>
          </w:p>
        </w:tc>
        <w:tc>
          <w:tcPr>
            <w:tcW w:w="3827" w:type="dxa"/>
          </w:tcPr>
          <w:p w:rsidR="008616D4" w:rsidRDefault="00CE515C" w:rsidP="00AE1B99">
            <w:r>
              <w:t>Reference to Unicode 1.0.1, numbering of references.</w:t>
            </w:r>
          </w:p>
          <w:p w:rsidR="00CE515C" w:rsidRDefault="00CE515C" w:rsidP="00AE1B99"/>
          <w:p w:rsidR="00CE515C" w:rsidRDefault="00CE515C" w:rsidP="00AE1B99">
            <w:r>
              <w:t>For the integrated LGR, the Unicode version references are mechanically re-generated from the Unicode Character Database. That database only reliably goes back to Unicode 1.1, therefore, we do not distinguish between Unicode 1.0, 1.0.1 and 1.1.</w:t>
            </w:r>
          </w:p>
          <w:p w:rsidR="00CE515C" w:rsidRDefault="00CE515C" w:rsidP="00AE1B99"/>
          <w:p w:rsidR="00CE515C" w:rsidRDefault="00CE515C" w:rsidP="00AE1B99">
            <w:r>
              <w:t>The numbering should match that used in MSR-3, with 1.1 having [0]</w:t>
            </w:r>
          </w:p>
          <w:p w:rsidR="00CE515C" w:rsidRDefault="00CE515C" w:rsidP="00AE1B99"/>
          <w:p w:rsidR="00CE515C" w:rsidRPr="00E23C0E" w:rsidRDefault="00CE515C" w:rsidP="00AE1B99">
            <w:r>
              <w:t>Also, note use of “comment” attribute for references in the XML.</w:t>
            </w:r>
          </w:p>
        </w:tc>
        <w:tc>
          <w:tcPr>
            <w:tcW w:w="3872" w:type="dxa"/>
          </w:tcPr>
          <w:p w:rsidR="008616D4" w:rsidRDefault="00CE515C" w:rsidP="00AE1B99">
            <w:r>
              <w:t>Change version numbering to match MSR-3 and coming LGR-3</w:t>
            </w:r>
          </w:p>
          <w:p w:rsidR="00CE515C" w:rsidRDefault="00CE515C" w:rsidP="00AE1B99"/>
          <w:p w:rsidR="00CE515C" w:rsidRPr="00E23C0E" w:rsidRDefault="00CE515C" w:rsidP="00AE1B99">
            <w:r>
              <w:t>(Review XML and also see whether document needs to change to match XML).</w:t>
            </w:r>
          </w:p>
        </w:tc>
      </w:tr>
      <w:tr w:rsidR="004D6FD1" w:rsidRPr="00E23C0E" w:rsidTr="004D6FD1">
        <w:tc>
          <w:tcPr>
            <w:tcW w:w="817" w:type="dxa"/>
          </w:tcPr>
          <w:p w:rsidR="004D6FD1" w:rsidRPr="00E23C0E" w:rsidRDefault="00CE515C" w:rsidP="001C7A60">
            <w:r>
              <w:t>3</w:t>
            </w:r>
          </w:p>
        </w:tc>
        <w:tc>
          <w:tcPr>
            <w:tcW w:w="3827" w:type="dxa"/>
          </w:tcPr>
          <w:p w:rsidR="004D6FD1" w:rsidRDefault="004D6FD1" w:rsidP="004D6FD1">
            <w:r>
              <w:t xml:space="preserve">There are a number of minor details where Oriya GP are following some editorial conventions that play poorly with </w:t>
            </w:r>
            <w:r>
              <w:lastRenderedPageBreak/>
              <w:t>our toolset (for example, enclosing the URL in a reference in parens).</w:t>
            </w:r>
          </w:p>
          <w:p w:rsidR="004D6FD1" w:rsidRDefault="004D6FD1" w:rsidP="004D6FD1"/>
          <w:p w:rsidR="004D6FD1" w:rsidRDefault="004D6FD1" w:rsidP="004D6FD1">
            <w:r>
              <w:t>It would be best if those could be fixed now, as much as is feasible, or IP will have to do more extensive editorial prep before we can merge the LGRs.</w:t>
            </w:r>
          </w:p>
          <w:p w:rsidR="004D6FD1" w:rsidRDefault="004D6FD1" w:rsidP="001C7A60"/>
          <w:p w:rsidR="004D6FD1" w:rsidRPr="00E23C0E" w:rsidRDefault="004D6FD1" w:rsidP="001C7A60"/>
        </w:tc>
        <w:tc>
          <w:tcPr>
            <w:tcW w:w="3872" w:type="dxa"/>
          </w:tcPr>
          <w:p w:rsidR="004D6FD1" w:rsidRDefault="004D6FD1" w:rsidP="001C7A60">
            <w:r>
              <w:lastRenderedPageBreak/>
              <w:t xml:space="preserve">The IP has attached an edited version of the XML that addresses most of these issues and recommends the GP to review this </w:t>
            </w:r>
            <w:r>
              <w:lastRenderedPageBreak/>
              <w:t>and base any further work on the XML on it.</w:t>
            </w:r>
          </w:p>
          <w:p w:rsidR="004D6FD1" w:rsidRDefault="004D6FD1" w:rsidP="001C7A60"/>
          <w:p w:rsidR="004D6FD1" w:rsidRDefault="004D6FD1" w:rsidP="001C7A60">
            <w:r>
              <w:t>(As many suggested fixes as feasible were added to the attached XML file – please review, adopt or make further changes).</w:t>
            </w:r>
          </w:p>
          <w:p w:rsidR="004D6FD1" w:rsidRPr="00E23C0E" w:rsidRDefault="004D6FD1" w:rsidP="001C7A60"/>
        </w:tc>
      </w:tr>
    </w:tbl>
    <w:p w:rsidR="008616D4" w:rsidRPr="00E23C0E" w:rsidRDefault="008616D4" w:rsidP="008616D4"/>
    <w:p w:rsidR="002B7ECF" w:rsidRDefault="008616D4" w:rsidP="008616D4">
      <w:pPr>
        <w:pStyle w:val="Heading1"/>
      </w:pPr>
      <w:r>
        <w:t>Comments on Test Labels</w:t>
      </w:r>
    </w:p>
    <w:p w:rsidR="008616D4" w:rsidRDefault="008616D4" w:rsidP="008616D4"/>
    <w:tbl>
      <w:tblPr>
        <w:tblStyle w:val="TableGrid"/>
        <w:tblW w:w="0" w:type="auto"/>
        <w:tblLook w:val="04A0"/>
      </w:tblPr>
      <w:tblGrid>
        <w:gridCol w:w="817"/>
        <w:gridCol w:w="3827"/>
        <w:gridCol w:w="3872"/>
      </w:tblGrid>
      <w:tr w:rsidR="008616D4" w:rsidRPr="005D0DFC" w:rsidTr="00AE1B99">
        <w:tc>
          <w:tcPr>
            <w:tcW w:w="817" w:type="dxa"/>
          </w:tcPr>
          <w:p w:rsidR="008616D4" w:rsidRPr="005D0DFC" w:rsidRDefault="008616D4" w:rsidP="00AE1B99">
            <w:pPr>
              <w:rPr>
                <w:b/>
              </w:rPr>
            </w:pPr>
            <w:r w:rsidRPr="005D0DFC">
              <w:rPr>
                <w:b/>
              </w:rPr>
              <w:t>Item</w:t>
            </w:r>
          </w:p>
        </w:tc>
        <w:tc>
          <w:tcPr>
            <w:tcW w:w="3827" w:type="dxa"/>
          </w:tcPr>
          <w:p w:rsidR="008616D4" w:rsidRPr="005D0DFC" w:rsidRDefault="008616D4" w:rsidP="00AE1B99">
            <w:pPr>
              <w:rPr>
                <w:b/>
              </w:rPr>
            </w:pPr>
            <w:r w:rsidRPr="005D0DFC">
              <w:rPr>
                <w:b/>
              </w:rPr>
              <w:t>Issue</w:t>
            </w:r>
          </w:p>
        </w:tc>
        <w:tc>
          <w:tcPr>
            <w:tcW w:w="3872" w:type="dxa"/>
          </w:tcPr>
          <w:p w:rsidR="008616D4" w:rsidRPr="005D0DFC" w:rsidRDefault="008616D4" w:rsidP="00AE1B99">
            <w:pPr>
              <w:rPr>
                <w:b/>
              </w:rPr>
            </w:pPr>
            <w:r w:rsidRPr="005D0DFC">
              <w:rPr>
                <w:b/>
              </w:rPr>
              <w:t>IP Comment</w:t>
            </w:r>
          </w:p>
        </w:tc>
      </w:tr>
      <w:tr w:rsidR="008616D4" w:rsidRPr="00E23C0E" w:rsidTr="00AE1B99">
        <w:tc>
          <w:tcPr>
            <w:tcW w:w="817" w:type="dxa"/>
          </w:tcPr>
          <w:p w:rsidR="008616D4" w:rsidRPr="00E23C0E" w:rsidRDefault="008616D4" w:rsidP="00AE1B99"/>
        </w:tc>
        <w:tc>
          <w:tcPr>
            <w:tcW w:w="3827" w:type="dxa"/>
          </w:tcPr>
          <w:p w:rsidR="008616D4" w:rsidRPr="00E23C0E" w:rsidRDefault="008616D4" w:rsidP="00AE1B99"/>
        </w:tc>
        <w:tc>
          <w:tcPr>
            <w:tcW w:w="3872" w:type="dxa"/>
          </w:tcPr>
          <w:p w:rsidR="008616D4" w:rsidRPr="00E23C0E" w:rsidRDefault="008616D4" w:rsidP="00AE1B99"/>
        </w:tc>
      </w:tr>
      <w:tr w:rsidR="008616D4" w:rsidRPr="00E23C0E" w:rsidTr="00AE1B99">
        <w:tc>
          <w:tcPr>
            <w:tcW w:w="817" w:type="dxa"/>
          </w:tcPr>
          <w:p w:rsidR="008616D4" w:rsidRPr="00E23C0E" w:rsidRDefault="008616D4" w:rsidP="00AE1B99"/>
        </w:tc>
        <w:tc>
          <w:tcPr>
            <w:tcW w:w="3827" w:type="dxa"/>
          </w:tcPr>
          <w:p w:rsidR="008616D4" w:rsidRPr="00E23C0E" w:rsidRDefault="008616D4" w:rsidP="00AE1B99"/>
        </w:tc>
        <w:tc>
          <w:tcPr>
            <w:tcW w:w="3872" w:type="dxa"/>
          </w:tcPr>
          <w:p w:rsidR="008616D4" w:rsidRPr="00E23C0E" w:rsidRDefault="008616D4" w:rsidP="00AE1B99"/>
        </w:tc>
      </w:tr>
    </w:tbl>
    <w:p w:rsidR="008616D4" w:rsidRPr="00E23C0E" w:rsidRDefault="008616D4" w:rsidP="008616D4"/>
    <w:p w:rsidR="008616D4" w:rsidRPr="008616D4" w:rsidRDefault="008616D4" w:rsidP="008616D4"/>
    <w:sectPr w:rsidR="008616D4" w:rsidRPr="008616D4" w:rsidSect="00D9364B">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C14" w:rsidRDefault="00742C14">
      <w:pPr>
        <w:spacing w:after="0"/>
        <w:pPrChange w:id="2" w:author="Author">
          <w:pPr/>
        </w:pPrChange>
      </w:pPr>
      <w:r>
        <w:separator/>
      </w:r>
    </w:p>
  </w:endnote>
  <w:endnote w:type="continuationSeparator" w:id="1">
    <w:p w:rsidR="00742C14" w:rsidRDefault="00742C14">
      <w:pPr>
        <w:spacing w:after="0"/>
        <w:pPrChange w:id="3" w:author="Author">
          <w:pPr/>
        </w:pPrChange>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Segoe UI"/>
    <w:charset w:val="00"/>
    <w:family w:val="swiss"/>
    <w:pitch w:val="variable"/>
    <w:sig w:usb0="E1000AEF" w:usb1="5000A1FF" w:usb2="00000000" w:usb3="00000000" w:csb0="000001BF" w:csb1="00000000"/>
  </w:font>
  <w:font w:name="Kalinga">
    <w:panose1 w:val="020B0502040204020203"/>
    <w:charset w:val="00"/>
    <w:family w:val="swiss"/>
    <w:pitch w:val="variable"/>
    <w:sig w:usb0="0008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C14" w:rsidRDefault="00742C14">
      <w:pPr>
        <w:spacing w:after="0"/>
        <w:pPrChange w:id="0" w:author="Author">
          <w:pPr/>
        </w:pPrChange>
      </w:pPr>
      <w:r>
        <w:separator/>
      </w:r>
    </w:p>
  </w:footnote>
  <w:footnote w:type="continuationSeparator" w:id="1">
    <w:p w:rsidR="00742C14" w:rsidRDefault="00742C14">
      <w:pPr>
        <w:spacing w:after="0"/>
        <w:pPrChange w:id="1" w:author="Author">
          <w:pPr/>
        </w:pPrChange>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movePersonalInformation/>
  <w:removeDateAndTime/>
  <w:doNotDisplayPageBoundaries/>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FELayout/>
  </w:compat>
  <w:rsids>
    <w:rsidRoot w:val="00E23C0E"/>
    <w:rsid w:val="00097CF3"/>
    <w:rsid w:val="00243F49"/>
    <w:rsid w:val="002A54E3"/>
    <w:rsid w:val="002B7ECF"/>
    <w:rsid w:val="00363B33"/>
    <w:rsid w:val="003816A2"/>
    <w:rsid w:val="00490F51"/>
    <w:rsid w:val="004D6FD1"/>
    <w:rsid w:val="00582BE0"/>
    <w:rsid w:val="005C4A65"/>
    <w:rsid w:val="005D0DFC"/>
    <w:rsid w:val="00624CEC"/>
    <w:rsid w:val="00660B9E"/>
    <w:rsid w:val="00665F70"/>
    <w:rsid w:val="006738E9"/>
    <w:rsid w:val="00742C14"/>
    <w:rsid w:val="008159E7"/>
    <w:rsid w:val="008616D4"/>
    <w:rsid w:val="008B2271"/>
    <w:rsid w:val="008D57CB"/>
    <w:rsid w:val="008E26E0"/>
    <w:rsid w:val="00942E86"/>
    <w:rsid w:val="00945A88"/>
    <w:rsid w:val="00A53FB3"/>
    <w:rsid w:val="00AF2FBC"/>
    <w:rsid w:val="00CA12DA"/>
    <w:rsid w:val="00CD7F31"/>
    <w:rsid w:val="00CE515C"/>
    <w:rsid w:val="00D81DE5"/>
    <w:rsid w:val="00D9364B"/>
    <w:rsid w:val="00E23C0E"/>
    <w:rsid w:val="00E95B9B"/>
    <w:rsid w:val="00EF61D3"/>
    <w:rsid w:val="00EF6C5F"/>
    <w:rsid w:val="00F477D1"/>
    <w:rsid w:val="00F8270B"/>
    <w:rsid w:val="00F8317D"/>
    <w:rsid w:val="00FD0D4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33"/>
    <w:rPr>
      <w:sz w:val="24"/>
      <w:szCs w:val="24"/>
    </w:rPr>
  </w:style>
  <w:style w:type="paragraph" w:styleId="Heading1">
    <w:name w:val="heading 1"/>
    <w:basedOn w:val="Normal"/>
    <w:next w:val="Normal"/>
    <w:link w:val="Heading1Char"/>
    <w:uiPriority w:val="9"/>
    <w:qFormat/>
    <w:rsid w:val="00E23C0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2DA"/>
    <w:rPr>
      <w:rFonts w:ascii="Lucida Grande" w:hAnsi="Lucida Grande" w:cs="Lucida Grande"/>
      <w:sz w:val="18"/>
      <w:szCs w:val="18"/>
    </w:rPr>
  </w:style>
  <w:style w:type="paragraph" w:styleId="Title">
    <w:name w:val="Title"/>
    <w:basedOn w:val="Normal"/>
    <w:next w:val="Normal"/>
    <w:link w:val="TitleChar"/>
    <w:uiPriority w:val="10"/>
    <w:qFormat/>
    <w:rsid w:val="00E23C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C0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3C0E"/>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2B7EC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D6FD1"/>
    <w:pPr>
      <w:tabs>
        <w:tab w:val="center" w:pos="4680"/>
        <w:tab w:val="right" w:pos="9360"/>
      </w:tabs>
      <w:spacing w:after="0"/>
    </w:pPr>
  </w:style>
  <w:style w:type="character" w:customStyle="1" w:styleId="HeaderChar">
    <w:name w:val="Header Char"/>
    <w:basedOn w:val="DefaultParagraphFont"/>
    <w:link w:val="Header"/>
    <w:uiPriority w:val="99"/>
    <w:semiHidden/>
    <w:rsid w:val="004D6FD1"/>
    <w:rPr>
      <w:sz w:val="24"/>
      <w:szCs w:val="24"/>
    </w:rPr>
  </w:style>
  <w:style w:type="paragraph" w:styleId="Footer">
    <w:name w:val="footer"/>
    <w:basedOn w:val="Normal"/>
    <w:link w:val="FooterChar"/>
    <w:uiPriority w:val="99"/>
    <w:semiHidden/>
    <w:unhideWhenUsed/>
    <w:rsid w:val="004D6FD1"/>
    <w:pPr>
      <w:tabs>
        <w:tab w:val="center" w:pos="4680"/>
        <w:tab w:val="right" w:pos="9360"/>
      </w:tabs>
      <w:spacing w:after="0"/>
    </w:pPr>
  </w:style>
  <w:style w:type="character" w:customStyle="1" w:styleId="FooterChar">
    <w:name w:val="Footer Char"/>
    <w:basedOn w:val="DefaultParagraphFont"/>
    <w:link w:val="Footer"/>
    <w:uiPriority w:val="99"/>
    <w:semiHidden/>
    <w:rsid w:val="004D6FD1"/>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CCF5F-FCC7-4724-98BD-77C6F813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2018-06-26T02:52:00Z</dcterms:created>
  <dcterms:modified xsi:type="dcterms:W3CDTF">2018-07-02T17:17:00Z</dcterms:modified>
</cp:coreProperties>
</file>