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CEC" w:rsidRDefault="00E23C0E" w:rsidP="00E23C0E">
      <w:pPr>
        <w:pStyle w:val="Title"/>
      </w:pPr>
      <w:r>
        <w:t xml:space="preserve">Response of IP on </w:t>
      </w:r>
      <w:r w:rsidR="00C97B0C">
        <w:t>Telugu</w:t>
      </w:r>
      <w:r w:rsidR="00722E6F">
        <w:t xml:space="preserve"> LGR</w:t>
      </w:r>
      <w:r>
        <w:t xml:space="preserve"> (Proposal of </w:t>
      </w:r>
      <w:r w:rsidR="00C97B0C">
        <w:t>2008-0</w:t>
      </w:r>
      <w:r w:rsidR="00A448F3">
        <w:t>7</w:t>
      </w:r>
      <w:r w:rsidR="00C97B0C">
        <w:t>-25</w:t>
      </w:r>
      <w:r w:rsidR="00116388">
        <w:t>)</w:t>
      </w:r>
    </w:p>
    <w:p w:rsidR="00E23C0E" w:rsidRDefault="00E23C0E" w:rsidP="00E23C0E">
      <w:r>
        <w:t xml:space="preserve">DATE: </w:t>
      </w:r>
      <w:r w:rsidR="00060F24">
        <w:t>2018-08-02</w:t>
      </w:r>
    </w:p>
    <w:p w:rsidR="00E23C0E" w:rsidRDefault="00E23C0E" w:rsidP="00E23C0E">
      <w:pPr>
        <w:pStyle w:val="Heading1"/>
      </w:pPr>
      <w:r>
        <w:t>Overview</w:t>
      </w:r>
    </w:p>
    <w:p w:rsidR="0070071E" w:rsidRDefault="00A448F3" w:rsidP="00E23C0E">
      <w:pPr>
        <w:pStyle w:val="Heading1"/>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All but two</w:t>
      </w:r>
      <w:r w:rsidR="0070071E" w:rsidRPr="0070071E">
        <w:rPr>
          <w:rFonts w:asciiTheme="minorHAnsi" w:eastAsiaTheme="minorEastAsia" w:hAnsiTheme="minorHAnsi" w:cstheme="minorBidi"/>
          <w:b w:val="0"/>
          <w:bCs w:val="0"/>
          <w:color w:val="auto"/>
          <w:sz w:val="24"/>
          <w:szCs w:val="24"/>
        </w:rPr>
        <w:t xml:space="preserve"> issues raised in previous IP response appear to </w:t>
      </w:r>
      <w:proofErr w:type="gramStart"/>
      <w:r w:rsidR="0070071E" w:rsidRPr="0070071E">
        <w:rPr>
          <w:rFonts w:asciiTheme="minorHAnsi" w:eastAsiaTheme="minorEastAsia" w:hAnsiTheme="minorHAnsi" w:cstheme="minorBidi"/>
          <w:b w:val="0"/>
          <w:bCs w:val="0"/>
          <w:color w:val="auto"/>
          <w:sz w:val="24"/>
          <w:szCs w:val="24"/>
        </w:rPr>
        <w:t>have been incorporated</w:t>
      </w:r>
      <w:proofErr w:type="gramEnd"/>
      <w:r w:rsidR="0070071E" w:rsidRPr="0070071E">
        <w:rPr>
          <w:rFonts w:asciiTheme="minorHAnsi" w:eastAsiaTheme="minorEastAsia" w:hAnsiTheme="minorHAnsi" w:cstheme="minorBidi"/>
          <w:b w:val="0"/>
          <w:bCs w:val="0"/>
          <w:color w:val="auto"/>
          <w:sz w:val="24"/>
          <w:szCs w:val="24"/>
        </w:rPr>
        <w:t>.</w:t>
      </w:r>
      <w:r>
        <w:rPr>
          <w:rFonts w:asciiTheme="minorHAnsi" w:eastAsiaTheme="minorEastAsia" w:hAnsiTheme="minorHAnsi" w:cstheme="minorBidi"/>
          <w:b w:val="0"/>
          <w:bCs w:val="0"/>
          <w:color w:val="auto"/>
          <w:sz w:val="24"/>
          <w:szCs w:val="24"/>
        </w:rPr>
        <w:t xml:space="preserve"> In the case of variants with Sinhala, the IP understands that the GP has a different position. We are repeating our feedback here for the record, but perhaps the best way to resolve this might be to present the proposal to the community for comment. In the case of the WLE rules, the IP notes that there is no disagreement between GP and IP on the effect of these rules, however, the rule for the Halant is unnecessarily complex in its XML implementation and the IP feels that it would be better to simplify this before submitting the LGR to public comment.</w:t>
      </w:r>
    </w:p>
    <w:p w:rsidR="00E23C0E" w:rsidRDefault="00E23C0E" w:rsidP="00E23C0E">
      <w:pPr>
        <w:pStyle w:val="Heading1"/>
      </w:pPr>
      <w:r>
        <w:t>Conclusion</w:t>
      </w:r>
    </w:p>
    <w:p w:rsidR="0070071E" w:rsidRDefault="00A448F3" w:rsidP="008616D4">
      <w:pPr>
        <w:pStyle w:val="Heading1"/>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Excepting some unnecessary complexity in the XML implementation of the rules, t</w:t>
      </w:r>
      <w:r w:rsidR="004711CE">
        <w:rPr>
          <w:rFonts w:asciiTheme="minorHAnsi" w:eastAsiaTheme="minorEastAsia" w:hAnsiTheme="minorHAnsi" w:cstheme="minorBidi"/>
          <w:b w:val="0"/>
          <w:bCs w:val="0"/>
          <w:color w:val="auto"/>
          <w:sz w:val="24"/>
          <w:szCs w:val="24"/>
        </w:rPr>
        <w:t xml:space="preserve">he documents </w:t>
      </w:r>
      <w:r>
        <w:rPr>
          <w:rFonts w:asciiTheme="minorHAnsi" w:eastAsiaTheme="minorEastAsia" w:hAnsiTheme="minorHAnsi" w:cstheme="minorBidi"/>
          <w:b w:val="0"/>
          <w:bCs w:val="0"/>
          <w:color w:val="auto"/>
          <w:sz w:val="24"/>
          <w:szCs w:val="24"/>
        </w:rPr>
        <w:t xml:space="preserve">appear </w:t>
      </w:r>
      <w:r w:rsidR="00A633CC">
        <w:rPr>
          <w:rFonts w:asciiTheme="minorHAnsi" w:eastAsiaTheme="minorEastAsia" w:hAnsiTheme="minorHAnsi" w:cstheme="minorBidi"/>
          <w:b w:val="0"/>
          <w:bCs w:val="0"/>
          <w:color w:val="auto"/>
          <w:sz w:val="24"/>
          <w:szCs w:val="24"/>
        </w:rPr>
        <w:t xml:space="preserve">otherwise </w:t>
      </w:r>
      <w:r>
        <w:rPr>
          <w:rFonts w:asciiTheme="minorHAnsi" w:eastAsiaTheme="minorEastAsia" w:hAnsiTheme="minorHAnsi" w:cstheme="minorBidi"/>
          <w:b w:val="0"/>
          <w:bCs w:val="0"/>
          <w:color w:val="auto"/>
          <w:sz w:val="24"/>
          <w:szCs w:val="24"/>
        </w:rPr>
        <w:t>to be</w:t>
      </w:r>
      <w:r w:rsidR="004711CE">
        <w:rPr>
          <w:rFonts w:asciiTheme="minorHAnsi" w:eastAsiaTheme="minorEastAsia" w:hAnsiTheme="minorHAnsi" w:cstheme="minorBidi"/>
          <w:b w:val="0"/>
          <w:bCs w:val="0"/>
          <w:color w:val="auto"/>
          <w:sz w:val="24"/>
          <w:szCs w:val="24"/>
        </w:rPr>
        <w:t xml:space="preserve"> read</w:t>
      </w:r>
      <w:r>
        <w:rPr>
          <w:rFonts w:asciiTheme="minorHAnsi" w:eastAsiaTheme="minorEastAsia" w:hAnsiTheme="minorHAnsi" w:cstheme="minorBidi"/>
          <w:b w:val="0"/>
          <w:bCs w:val="0"/>
          <w:color w:val="auto"/>
          <w:sz w:val="24"/>
          <w:szCs w:val="24"/>
        </w:rPr>
        <w:t>y</w:t>
      </w:r>
      <w:r w:rsidR="004711CE">
        <w:rPr>
          <w:rFonts w:asciiTheme="minorHAnsi" w:eastAsiaTheme="minorEastAsia" w:hAnsiTheme="minorHAnsi" w:cstheme="minorBidi"/>
          <w:b w:val="0"/>
          <w:bCs w:val="0"/>
          <w:color w:val="auto"/>
          <w:sz w:val="24"/>
          <w:szCs w:val="24"/>
        </w:rPr>
        <w:t xml:space="preserve"> for public review.</w:t>
      </w:r>
    </w:p>
    <w:p w:rsidR="00A633CC" w:rsidRDefault="00A633CC" w:rsidP="00A633CC"/>
    <w:p w:rsidR="00A633CC" w:rsidRPr="00A633CC" w:rsidRDefault="00A633CC" w:rsidP="00A633CC">
      <w:r>
        <w:t xml:space="preserve">There are two issues where the text of the document does need to be </w:t>
      </w:r>
      <w:proofErr w:type="gramStart"/>
      <w:r>
        <w:t>corrected,</w:t>
      </w:r>
      <w:proofErr w:type="gramEnd"/>
      <w:r>
        <w:t xml:space="preserve"> they are stated below and in a marked-up copy of the document.</w:t>
      </w:r>
    </w:p>
    <w:p w:rsidR="00A448F3" w:rsidRDefault="00A448F3" w:rsidP="00A448F3"/>
    <w:p w:rsidR="00A448F3" w:rsidRDefault="00A448F3" w:rsidP="00A448F3">
      <w:proofErr w:type="gramStart"/>
      <w:r>
        <w:t>There are a few minor copy edit issues that</w:t>
      </w:r>
      <w:proofErr w:type="gramEnd"/>
      <w:r>
        <w:t xml:space="preserve"> could be fixed as well</w:t>
      </w:r>
      <w:r w:rsidR="00A633CC">
        <w:t xml:space="preserve"> (also provided in form of a marked up copy of the proposal document)</w:t>
      </w:r>
      <w:r>
        <w:t>.</w:t>
      </w:r>
    </w:p>
    <w:p w:rsidR="00A633CC" w:rsidRPr="00A448F3" w:rsidRDefault="00A633CC" w:rsidP="00A448F3"/>
    <w:p w:rsidR="008616D4" w:rsidRDefault="008616D4" w:rsidP="008616D4">
      <w:pPr>
        <w:pStyle w:val="Heading1"/>
      </w:pPr>
      <w:r>
        <w:t>Comments on main document (.</w:t>
      </w:r>
      <w:proofErr w:type="spellStart"/>
      <w:r>
        <w:t>docx</w:t>
      </w:r>
      <w:proofErr w:type="spellEnd"/>
      <w:r>
        <w:t>)</w:t>
      </w:r>
    </w:p>
    <w:p w:rsidR="008616D4" w:rsidRDefault="008616D4" w:rsidP="008616D4"/>
    <w:tbl>
      <w:tblPr>
        <w:tblStyle w:val="TableGrid"/>
        <w:tblW w:w="8478" w:type="dxa"/>
        <w:tblLayout w:type="fixed"/>
        <w:tblLook w:val="04A0"/>
      </w:tblPr>
      <w:tblGrid>
        <w:gridCol w:w="918"/>
        <w:gridCol w:w="5760"/>
        <w:gridCol w:w="1800"/>
      </w:tblGrid>
      <w:tr w:rsidR="008616D4" w:rsidRPr="005D0DFC" w:rsidTr="00E423D2">
        <w:tc>
          <w:tcPr>
            <w:tcW w:w="918" w:type="dxa"/>
          </w:tcPr>
          <w:p w:rsidR="008616D4" w:rsidRPr="005D0DFC" w:rsidRDefault="008616D4" w:rsidP="00A86818">
            <w:pPr>
              <w:rPr>
                <w:b/>
              </w:rPr>
            </w:pPr>
            <w:r w:rsidRPr="005D0DFC">
              <w:rPr>
                <w:b/>
              </w:rPr>
              <w:t>Item</w:t>
            </w:r>
          </w:p>
        </w:tc>
        <w:tc>
          <w:tcPr>
            <w:tcW w:w="5760" w:type="dxa"/>
          </w:tcPr>
          <w:p w:rsidR="008616D4" w:rsidRPr="005D0DFC" w:rsidRDefault="008616D4" w:rsidP="00A86818">
            <w:pPr>
              <w:rPr>
                <w:b/>
              </w:rPr>
            </w:pPr>
            <w:r w:rsidRPr="005D0DFC">
              <w:rPr>
                <w:b/>
              </w:rPr>
              <w:t>Issue</w:t>
            </w:r>
          </w:p>
        </w:tc>
        <w:tc>
          <w:tcPr>
            <w:tcW w:w="1800" w:type="dxa"/>
          </w:tcPr>
          <w:p w:rsidR="008616D4" w:rsidRPr="005D0DFC" w:rsidRDefault="008616D4" w:rsidP="009B7AA6">
            <w:pPr>
              <w:ind w:right="-18"/>
              <w:rPr>
                <w:b/>
              </w:rPr>
            </w:pPr>
            <w:r w:rsidRPr="005D0DFC">
              <w:rPr>
                <w:b/>
              </w:rPr>
              <w:t>IP Comment</w:t>
            </w:r>
          </w:p>
        </w:tc>
      </w:tr>
      <w:tr w:rsidR="008616D4" w:rsidRPr="00E23C0E" w:rsidTr="00E423D2">
        <w:tc>
          <w:tcPr>
            <w:tcW w:w="918" w:type="dxa"/>
          </w:tcPr>
          <w:p w:rsidR="008616D4" w:rsidRPr="009B7AA6" w:rsidRDefault="00443E5C" w:rsidP="00A86818">
            <w:pPr>
              <w:rPr>
                <w:sz w:val="22"/>
                <w:szCs w:val="22"/>
              </w:rPr>
            </w:pPr>
            <w:r>
              <w:rPr>
                <w:sz w:val="22"/>
                <w:szCs w:val="22"/>
              </w:rPr>
              <w:t>New-1</w:t>
            </w:r>
          </w:p>
        </w:tc>
        <w:tc>
          <w:tcPr>
            <w:tcW w:w="5760" w:type="dxa"/>
          </w:tcPr>
          <w:p w:rsidR="00A448F3" w:rsidRPr="00A448F3" w:rsidRDefault="00B72145" w:rsidP="00443E5C">
            <w:pPr>
              <w:spacing w:before="100" w:beforeAutospacing="1" w:after="100" w:afterAutospacing="1"/>
              <w:rPr>
                <w:rFonts w:cs="Vani"/>
                <w:b/>
                <w:bCs/>
                <w:lang w:bidi="te-IN"/>
              </w:rPr>
            </w:pPr>
            <w:r>
              <w:rPr>
                <w:b/>
                <w:bCs/>
                <w:sz w:val="22"/>
                <w:szCs w:val="22"/>
              </w:rPr>
              <w:t>There are several m</w:t>
            </w:r>
            <w:r w:rsidR="00443E5C" w:rsidRPr="00A448F3">
              <w:rPr>
                <w:b/>
                <w:bCs/>
                <w:sz w:val="22"/>
                <w:szCs w:val="22"/>
              </w:rPr>
              <w:t>inor</w:t>
            </w:r>
            <w:r>
              <w:rPr>
                <w:b/>
                <w:bCs/>
                <w:sz w:val="22"/>
                <w:szCs w:val="22"/>
              </w:rPr>
              <w:t xml:space="preserve"> editorial issues.</w:t>
            </w:r>
            <w:r w:rsidR="00443E5C" w:rsidRPr="00A448F3">
              <w:rPr>
                <w:rFonts w:cs="Vani"/>
                <w:b/>
                <w:bCs/>
                <w:lang w:bidi="te-IN"/>
              </w:rPr>
              <w:t xml:space="preserve"> </w:t>
            </w:r>
          </w:p>
          <w:p w:rsidR="008616D4" w:rsidRPr="009B7AA6" w:rsidRDefault="00B72145" w:rsidP="00B72145">
            <w:pPr>
              <w:spacing w:before="100" w:beforeAutospacing="1" w:after="100" w:afterAutospacing="1"/>
              <w:rPr>
                <w:sz w:val="22"/>
                <w:szCs w:val="22"/>
              </w:rPr>
            </w:pPr>
            <w:r>
              <w:rPr>
                <w:rFonts w:eastAsia="Times New Roman" w:cs="Vani"/>
                <w:lang w:val="en-US" w:eastAsia="en-US" w:bidi="te-IN"/>
              </w:rPr>
              <w:t xml:space="preserve">See accompanying marked-up copy of the proposal </w:t>
            </w:r>
            <w:r w:rsidR="00A633CC">
              <w:rPr>
                <w:rFonts w:eastAsia="Times New Roman" w:cs="Vani"/>
                <w:lang w:val="en-US" w:eastAsia="en-US" w:bidi="te-IN"/>
              </w:rPr>
              <w:t>document</w:t>
            </w:r>
            <w:r w:rsidR="00BF0A08">
              <w:rPr>
                <w:rFonts w:eastAsia="Times New Roman" w:cs="Vani"/>
                <w:lang w:val="en-US" w:eastAsia="en-US" w:bidi="te-IN"/>
              </w:rPr>
              <w:t xml:space="preserve"> for a number of suggestions for improved wording.</w:t>
            </w:r>
          </w:p>
        </w:tc>
        <w:tc>
          <w:tcPr>
            <w:tcW w:w="1800" w:type="dxa"/>
          </w:tcPr>
          <w:p w:rsidR="008616D4" w:rsidRDefault="00443E5C" w:rsidP="009B7AA6">
            <w:pPr>
              <w:ind w:right="-18"/>
              <w:rPr>
                <w:sz w:val="22"/>
                <w:szCs w:val="22"/>
              </w:rPr>
            </w:pPr>
            <w:r>
              <w:rPr>
                <w:sz w:val="22"/>
                <w:szCs w:val="22"/>
              </w:rPr>
              <w:t xml:space="preserve">Please </w:t>
            </w:r>
            <w:r w:rsidR="00BF0A08">
              <w:rPr>
                <w:sz w:val="22"/>
                <w:szCs w:val="22"/>
              </w:rPr>
              <w:t>review</w:t>
            </w:r>
          </w:p>
          <w:p w:rsidR="00B72145" w:rsidRPr="009B7AA6" w:rsidRDefault="00B72145" w:rsidP="009B7AA6">
            <w:pPr>
              <w:ind w:right="-18"/>
              <w:rPr>
                <w:sz w:val="22"/>
                <w:szCs w:val="22"/>
              </w:rPr>
            </w:pPr>
          </w:p>
        </w:tc>
      </w:tr>
      <w:tr w:rsidR="00443E5C" w:rsidRPr="00E23C0E" w:rsidTr="00E423D2">
        <w:tc>
          <w:tcPr>
            <w:tcW w:w="918" w:type="dxa"/>
          </w:tcPr>
          <w:p w:rsidR="00443E5C" w:rsidRDefault="00443E5C" w:rsidP="00A86818">
            <w:pPr>
              <w:rPr>
                <w:sz w:val="22"/>
                <w:szCs w:val="22"/>
              </w:rPr>
            </w:pPr>
          </w:p>
        </w:tc>
        <w:tc>
          <w:tcPr>
            <w:tcW w:w="5760" w:type="dxa"/>
          </w:tcPr>
          <w:p w:rsidR="00443E5C" w:rsidRPr="009B7AA6" w:rsidRDefault="00443E5C" w:rsidP="00A86818">
            <w:pPr>
              <w:rPr>
                <w:sz w:val="22"/>
                <w:szCs w:val="22"/>
              </w:rPr>
            </w:pPr>
          </w:p>
        </w:tc>
        <w:tc>
          <w:tcPr>
            <w:tcW w:w="1800" w:type="dxa"/>
          </w:tcPr>
          <w:p w:rsidR="00443E5C" w:rsidRPr="009B7AA6" w:rsidRDefault="00443E5C" w:rsidP="009B7AA6">
            <w:pPr>
              <w:ind w:right="-18"/>
              <w:rPr>
                <w:sz w:val="22"/>
                <w:szCs w:val="22"/>
              </w:rPr>
            </w:pPr>
          </w:p>
        </w:tc>
      </w:tr>
      <w:tr w:rsidR="00443E5C" w:rsidRPr="00E23C0E" w:rsidTr="00E423D2">
        <w:tc>
          <w:tcPr>
            <w:tcW w:w="918" w:type="dxa"/>
          </w:tcPr>
          <w:p w:rsidR="00443E5C" w:rsidRDefault="00443E5C" w:rsidP="00A86818">
            <w:pPr>
              <w:rPr>
                <w:sz w:val="22"/>
                <w:szCs w:val="22"/>
              </w:rPr>
            </w:pPr>
            <w:r>
              <w:rPr>
                <w:sz w:val="22"/>
                <w:szCs w:val="22"/>
              </w:rPr>
              <w:t>New-</w:t>
            </w:r>
            <w:r w:rsidR="00B72145">
              <w:rPr>
                <w:sz w:val="22"/>
                <w:szCs w:val="22"/>
              </w:rPr>
              <w:t>2</w:t>
            </w:r>
          </w:p>
        </w:tc>
        <w:tc>
          <w:tcPr>
            <w:tcW w:w="5760" w:type="dxa"/>
          </w:tcPr>
          <w:p w:rsidR="00B72145" w:rsidRPr="00B72145" w:rsidRDefault="00B72145" w:rsidP="00B72145">
            <w:proofErr w:type="gramStart"/>
            <w:r>
              <w:t>In section: “</w:t>
            </w:r>
            <w:r w:rsidRPr="00B72145">
              <w:t>4.2 How to Avoid Duplicate Domain Names Involving ZWJ and ZWNJ?</w:t>
            </w:r>
            <w:r>
              <w:t>”</w:t>
            </w:r>
            <w:proofErr w:type="gramEnd"/>
          </w:p>
          <w:p w:rsidR="00B72145" w:rsidRDefault="00B72145" w:rsidP="00443E5C">
            <w:pPr>
              <w:spacing w:before="100" w:beforeAutospacing="1" w:after="100" w:afterAutospacing="1"/>
              <w:rPr>
                <w:rFonts w:ascii="Cambria" w:eastAsia="Cambria" w:hAnsi="Cambria" w:cs="Cambria"/>
                <w:lang w:val="en-US" w:eastAsia="en-US" w:bidi="te-IN"/>
              </w:rPr>
            </w:pPr>
            <w:r>
              <w:rPr>
                <w:rFonts w:ascii="Cambria" w:eastAsia="Cambria" w:hAnsi="Cambria" w:cs="Cambria"/>
                <w:lang w:val="en-US" w:eastAsia="en-US" w:bidi="te-IN"/>
              </w:rPr>
              <w:t>The sentence:</w:t>
            </w:r>
          </w:p>
          <w:p w:rsidR="00443E5C" w:rsidRDefault="00B72145" w:rsidP="00443E5C">
            <w:pPr>
              <w:spacing w:before="100" w:beforeAutospacing="1" w:after="100" w:afterAutospacing="1"/>
              <w:rPr>
                <w:rFonts w:ascii="Times New Roman" w:eastAsia="Times New Roman" w:hAnsi="Times New Roman" w:cs="Times New Roman"/>
                <w:lang w:val="en-US" w:eastAsia="en-US" w:bidi="te-IN"/>
              </w:rPr>
            </w:pPr>
            <w:r>
              <w:rPr>
                <w:rFonts w:ascii="Cambria" w:eastAsia="Cambria" w:hAnsi="Cambria" w:cs="Cambria"/>
                <w:lang w:val="en-US" w:eastAsia="en-US" w:bidi="te-IN"/>
              </w:rPr>
              <w:t>“</w:t>
            </w:r>
            <w:r w:rsidR="00443E5C" w:rsidRPr="00443E5C">
              <w:rPr>
                <w:rFonts w:ascii="Cambria" w:eastAsia="Cambria" w:hAnsi="Cambria" w:cs="Cambria"/>
                <w:lang w:val="en-US" w:eastAsia="en-US" w:bidi="te-IN"/>
              </w:rPr>
              <w:t xml:space="preserve">In future if required, depending on the prevailing requirements by the community, the future NBGP may consider revisiting this rule. </w:t>
            </w:r>
            <w:r>
              <w:rPr>
                <w:rFonts w:ascii="Cambria" w:eastAsia="Cambria" w:hAnsi="Cambria" w:cs="Cambria"/>
                <w:lang w:val="en-US" w:eastAsia="en-US" w:bidi="te-IN"/>
              </w:rPr>
              <w:t>“</w:t>
            </w:r>
          </w:p>
          <w:p w:rsidR="00443E5C" w:rsidRPr="00B72145" w:rsidRDefault="00B72145" w:rsidP="00060F24">
            <w:pPr>
              <w:spacing w:before="100" w:beforeAutospacing="1" w:after="100" w:afterAutospacing="1"/>
              <w:rPr>
                <w:rFonts w:ascii="Times New Roman" w:eastAsia="Times New Roman" w:hAnsi="Times New Roman" w:cs="Times New Roman"/>
                <w:lang w:val="en-US" w:eastAsia="en-US" w:bidi="te-IN"/>
              </w:rPr>
            </w:pPr>
            <w:proofErr w:type="gramStart"/>
            <w:r>
              <w:rPr>
                <w:rFonts w:ascii="Times New Roman" w:eastAsia="Times New Roman" w:hAnsi="Times New Roman" w:cs="Times New Roman"/>
                <w:lang w:val="en-US" w:eastAsia="en-US" w:bidi="te-IN"/>
              </w:rPr>
              <w:t>should</w:t>
            </w:r>
            <w:proofErr w:type="gramEnd"/>
            <w:r>
              <w:rPr>
                <w:rFonts w:ascii="Times New Roman" w:eastAsia="Times New Roman" w:hAnsi="Times New Roman" w:cs="Times New Roman"/>
                <w:lang w:val="en-US" w:eastAsia="en-US" w:bidi="te-IN"/>
              </w:rPr>
              <w:t xml:space="preserve"> be deleted. The exclusion of joiner characters is part of the Procedure for the RZ-LGR and not something that can be revisited.</w:t>
            </w:r>
          </w:p>
        </w:tc>
        <w:tc>
          <w:tcPr>
            <w:tcW w:w="1800" w:type="dxa"/>
          </w:tcPr>
          <w:p w:rsidR="008307E7" w:rsidRDefault="00443E5C" w:rsidP="009B7AA6">
            <w:pPr>
              <w:ind w:right="-18"/>
              <w:rPr>
                <w:sz w:val="22"/>
                <w:szCs w:val="22"/>
              </w:rPr>
            </w:pPr>
            <w:r>
              <w:rPr>
                <w:sz w:val="22"/>
                <w:szCs w:val="22"/>
              </w:rPr>
              <w:t xml:space="preserve">Please </w:t>
            </w:r>
            <w:r w:rsidR="00BF0A08">
              <w:rPr>
                <w:sz w:val="22"/>
                <w:szCs w:val="22"/>
              </w:rPr>
              <w:t xml:space="preserve">review and </w:t>
            </w:r>
            <w:r>
              <w:rPr>
                <w:sz w:val="22"/>
                <w:szCs w:val="22"/>
              </w:rPr>
              <w:t>fix</w:t>
            </w:r>
            <w:r w:rsidR="008307E7">
              <w:rPr>
                <w:sz w:val="22"/>
                <w:szCs w:val="22"/>
              </w:rPr>
              <w:t xml:space="preserve"> </w:t>
            </w:r>
          </w:p>
          <w:p w:rsidR="00443E5C" w:rsidRPr="009B7AA6" w:rsidRDefault="00443E5C" w:rsidP="009B7AA6">
            <w:pPr>
              <w:ind w:right="-18"/>
              <w:rPr>
                <w:sz w:val="22"/>
                <w:szCs w:val="22"/>
              </w:rPr>
            </w:pPr>
          </w:p>
        </w:tc>
      </w:tr>
      <w:tr w:rsidR="00443E5C" w:rsidRPr="00E23C0E" w:rsidTr="00E423D2">
        <w:tc>
          <w:tcPr>
            <w:tcW w:w="918" w:type="dxa"/>
          </w:tcPr>
          <w:p w:rsidR="00443E5C" w:rsidRDefault="00443E5C" w:rsidP="00A86818">
            <w:pPr>
              <w:rPr>
                <w:sz w:val="22"/>
                <w:szCs w:val="22"/>
              </w:rPr>
            </w:pPr>
          </w:p>
        </w:tc>
        <w:tc>
          <w:tcPr>
            <w:tcW w:w="5760" w:type="dxa"/>
          </w:tcPr>
          <w:p w:rsidR="00443E5C" w:rsidRPr="009B7AA6" w:rsidRDefault="00443E5C" w:rsidP="00A86818">
            <w:pPr>
              <w:rPr>
                <w:sz w:val="22"/>
                <w:szCs w:val="22"/>
              </w:rPr>
            </w:pPr>
          </w:p>
        </w:tc>
        <w:tc>
          <w:tcPr>
            <w:tcW w:w="1800" w:type="dxa"/>
          </w:tcPr>
          <w:p w:rsidR="00443E5C" w:rsidRPr="009B7AA6" w:rsidRDefault="00443E5C" w:rsidP="009B7AA6">
            <w:pPr>
              <w:ind w:right="-18"/>
              <w:rPr>
                <w:sz w:val="22"/>
                <w:szCs w:val="22"/>
              </w:rPr>
            </w:pPr>
          </w:p>
        </w:tc>
      </w:tr>
      <w:tr w:rsidR="00E423D2" w:rsidRPr="00E23C0E" w:rsidTr="00E423D2">
        <w:tc>
          <w:tcPr>
            <w:tcW w:w="918" w:type="dxa"/>
          </w:tcPr>
          <w:p w:rsidR="00E423D2" w:rsidRDefault="00E423D2" w:rsidP="00A86818">
            <w:pPr>
              <w:rPr>
                <w:sz w:val="22"/>
                <w:szCs w:val="22"/>
              </w:rPr>
            </w:pPr>
            <w:r>
              <w:rPr>
                <w:sz w:val="22"/>
                <w:szCs w:val="22"/>
              </w:rPr>
              <w:t>New-3</w:t>
            </w:r>
          </w:p>
        </w:tc>
        <w:tc>
          <w:tcPr>
            <w:tcW w:w="5760" w:type="dxa"/>
          </w:tcPr>
          <w:p w:rsidR="00E423D2" w:rsidRDefault="00BF0A08" w:rsidP="00A86818">
            <w:pPr>
              <w:rPr>
                <w:sz w:val="22"/>
                <w:szCs w:val="22"/>
              </w:rPr>
            </w:pPr>
            <w:r>
              <w:rPr>
                <w:sz w:val="22"/>
                <w:szCs w:val="22"/>
              </w:rPr>
              <w:t>In Section 7, the wording of Rule 5 no longer matches the implementation. It should be:</w:t>
            </w:r>
          </w:p>
          <w:p w:rsidR="00BF0A08" w:rsidRDefault="00BF0A08" w:rsidP="00A86818">
            <w:pPr>
              <w:rPr>
                <w:sz w:val="22"/>
                <w:szCs w:val="22"/>
              </w:rPr>
            </w:pPr>
          </w:p>
          <w:p w:rsidR="00BF0A08" w:rsidRDefault="00BF0A08" w:rsidP="00BF0A08">
            <w:pPr>
              <w:ind w:left="900" w:hanging="900"/>
              <w:jc w:val="both"/>
              <w:rPr>
                <w:rFonts w:ascii="Cambria" w:eastAsia="Cambria" w:hAnsi="Cambria" w:cs="Cambria"/>
              </w:rPr>
            </w:pPr>
            <w:proofErr w:type="gramStart"/>
            <w:r>
              <w:rPr>
                <w:rFonts w:ascii="Cambria" w:eastAsia="Cambria" w:hAnsi="Cambria" w:cs="Cambria"/>
              </w:rPr>
              <w:t>Rule 5.</w:t>
            </w:r>
            <w:proofErr w:type="gramEnd"/>
            <w:r>
              <w:rPr>
                <w:rFonts w:ascii="Cambria" w:eastAsia="Cambria" w:hAnsi="Cambria" w:cs="Cambria"/>
              </w:rPr>
              <w:t xml:space="preserve"> </w:t>
            </w:r>
            <w:r>
              <w:rPr>
                <w:rFonts w:ascii="Cambria" w:eastAsia="Cambria" w:hAnsi="Cambria" w:cs="Cambria"/>
              </w:rPr>
              <w:tab/>
              <w:t>H cannot follow Nasal-C (Ref. Section 6.2 Type 1)</w:t>
            </w:r>
          </w:p>
          <w:p w:rsidR="00BF0A08" w:rsidRPr="009B7AA6" w:rsidRDefault="00BF0A08" w:rsidP="00A86818">
            <w:pPr>
              <w:rPr>
                <w:sz w:val="22"/>
                <w:szCs w:val="22"/>
              </w:rPr>
            </w:pPr>
          </w:p>
        </w:tc>
        <w:tc>
          <w:tcPr>
            <w:tcW w:w="1800" w:type="dxa"/>
          </w:tcPr>
          <w:p w:rsidR="00E423D2" w:rsidRPr="009B7AA6" w:rsidRDefault="00E423D2" w:rsidP="009B7AA6">
            <w:pPr>
              <w:ind w:right="-18"/>
              <w:rPr>
                <w:sz w:val="22"/>
                <w:szCs w:val="22"/>
              </w:rPr>
            </w:pPr>
            <w:r>
              <w:rPr>
                <w:sz w:val="22"/>
                <w:szCs w:val="22"/>
              </w:rPr>
              <w:t>Please review and fix.</w:t>
            </w:r>
          </w:p>
        </w:tc>
      </w:tr>
      <w:tr w:rsidR="00E423D2" w:rsidRPr="00E23C0E" w:rsidTr="00E423D2">
        <w:tc>
          <w:tcPr>
            <w:tcW w:w="918" w:type="dxa"/>
          </w:tcPr>
          <w:p w:rsidR="00E423D2" w:rsidRDefault="00E423D2" w:rsidP="00A86818">
            <w:pPr>
              <w:rPr>
                <w:sz w:val="22"/>
                <w:szCs w:val="22"/>
              </w:rPr>
            </w:pPr>
          </w:p>
        </w:tc>
        <w:tc>
          <w:tcPr>
            <w:tcW w:w="5760" w:type="dxa"/>
          </w:tcPr>
          <w:p w:rsidR="00E423D2" w:rsidRPr="009B7AA6" w:rsidRDefault="00E423D2" w:rsidP="00A86818">
            <w:pPr>
              <w:rPr>
                <w:sz w:val="22"/>
                <w:szCs w:val="22"/>
              </w:rPr>
            </w:pPr>
          </w:p>
        </w:tc>
        <w:tc>
          <w:tcPr>
            <w:tcW w:w="1800" w:type="dxa"/>
          </w:tcPr>
          <w:p w:rsidR="00E423D2" w:rsidRPr="009B7AA6" w:rsidRDefault="00E423D2" w:rsidP="009B7AA6">
            <w:pPr>
              <w:ind w:right="-18"/>
              <w:rPr>
                <w:sz w:val="22"/>
                <w:szCs w:val="22"/>
              </w:rPr>
            </w:pPr>
          </w:p>
        </w:tc>
      </w:tr>
      <w:tr w:rsidR="009B7AA6" w:rsidTr="00E423D2">
        <w:tc>
          <w:tcPr>
            <w:tcW w:w="918" w:type="dxa"/>
          </w:tcPr>
          <w:p w:rsidR="009B7AA6" w:rsidRPr="009B7AA6" w:rsidRDefault="00443E5C" w:rsidP="00D568F9">
            <w:pPr>
              <w:rPr>
                <w:sz w:val="22"/>
                <w:szCs w:val="22"/>
              </w:rPr>
            </w:pPr>
            <w:r>
              <w:rPr>
                <w:sz w:val="22"/>
                <w:szCs w:val="22"/>
              </w:rPr>
              <w:t>Old-</w:t>
            </w:r>
            <w:r w:rsidR="009B7AA6" w:rsidRPr="009B7AA6">
              <w:rPr>
                <w:sz w:val="22"/>
                <w:szCs w:val="22"/>
              </w:rPr>
              <w:t>3</w:t>
            </w:r>
          </w:p>
        </w:tc>
        <w:tc>
          <w:tcPr>
            <w:tcW w:w="5760" w:type="dxa"/>
          </w:tcPr>
          <w:p w:rsidR="009B7AA6" w:rsidRPr="009B7AA6" w:rsidRDefault="009B7AA6" w:rsidP="00D568F9">
            <w:pPr>
              <w:rPr>
                <w:noProof/>
                <w:sz w:val="22"/>
                <w:szCs w:val="22"/>
                <w:lang w:val="en-US" w:eastAsia="en-US" w:bidi="km-KH"/>
              </w:rPr>
            </w:pPr>
            <w:r w:rsidRPr="009B7AA6">
              <w:rPr>
                <w:noProof/>
                <w:sz w:val="22"/>
                <w:szCs w:val="22"/>
                <w:lang w:val="en-US" w:eastAsia="en-US" w:bidi="km-KH"/>
              </w:rPr>
              <w:t>Cross-script variants with Sinhala:</w:t>
            </w:r>
          </w:p>
        </w:tc>
        <w:tc>
          <w:tcPr>
            <w:tcW w:w="1800" w:type="dxa"/>
          </w:tcPr>
          <w:p w:rsidR="009B7AA6" w:rsidRDefault="00443E5C" w:rsidP="009B7AA6">
            <w:pPr>
              <w:ind w:right="-18"/>
              <w:rPr>
                <w:sz w:val="22"/>
                <w:szCs w:val="22"/>
              </w:rPr>
            </w:pPr>
            <w:r>
              <w:rPr>
                <w:sz w:val="22"/>
                <w:szCs w:val="22"/>
              </w:rPr>
              <w:t>The IP understands that the GP reviewed this and decided to make no change.</w:t>
            </w:r>
          </w:p>
          <w:p w:rsidR="00443E5C" w:rsidRPr="009B7AA6" w:rsidRDefault="00443E5C" w:rsidP="009B7AA6">
            <w:pPr>
              <w:ind w:right="-18"/>
              <w:rPr>
                <w:sz w:val="22"/>
                <w:szCs w:val="22"/>
              </w:rPr>
            </w:pPr>
            <w:r>
              <w:rPr>
                <w:sz w:val="22"/>
                <w:szCs w:val="22"/>
              </w:rPr>
              <w:br/>
              <w:t xml:space="preserve">The issue </w:t>
            </w:r>
            <w:proofErr w:type="gramStart"/>
            <w:r>
              <w:rPr>
                <w:sz w:val="22"/>
                <w:szCs w:val="22"/>
              </w:rPr>
              <w:t>is noted</w:t>
            </w:r>
            <w:proofErr w:type="gramEnd"/>
            <w:r>
              <w:rPr>
                <w:sz w:val="22"/>
                <w:szCs w:val="22"/>
              </w:rPr>
              <w:t xml:space="preserve"> here for reference.</w:t>
            </w:r>
          </w:p>
        </w:tc>
      </w:tr>
      <w:tr w:rsidR="009B7AA6" w:rsidTr="00E423D2">
        <w:tc>
          <w:tcPr>
            <w:tcW w:w="918" w:type="dxa"/>
          </w:tcPr>
          <w:p w:rsidR="009B7AA6" w:rsidRDefault="009B7AA6" w:rsidP="00D568F9"/>
        </w:tc>
        <w:tc>
          <w:tcPr>
            <w:tcW w:w="7560" w:type="dxa"/>
            <w:gridSpan w:val="2"/>
          </w:tcPr>
          <w:p w:rsidR="009B7AA6" w:rsidRDefault="009B7AA6" w:rsidP="009B7AA6">
            <w:pPr>
              <w:ind w:right="-18"/>
            </w:pPr>
            <w:r>
              <w:rPr>
                <w:noProof/>
                <w:lang w:val="en-US" w:eastAsia="en-US" w:bidi="km-KH"/>
              </w:rPr>
              <w:drawing>
                <wp:inline distT="0" distB="0" distL="0" distR="0">
                  <wp:extent cx="3503295" cy="1732280"/>
                  <wp:effectExtent l="19050" t="0" r="190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duotone>
                              <a:prstClr val="black"/>
                              <a:srgbClr val="000000">
                                <a:alpha val="50196"/>
                                <a:tint val="45000"/>
                                <a:satMod val="400000"/>
                              </a:srgbClr>
                            </a:duotone>
                          </a:blip>
                          <a:srcRect/>
                          <a:stretch>
                            <a:fillRect/>
                          </a:stretch>
                        </pic:blipFill>
                        <pic:spPr bwMode="auto">
                          <a:xfrm>
                            <a:off x="0" y="0"/>
                            <a:ext cx="3503295" cy="1732280"/>
                          </a:xfrm>
                          <a:prstGeom prst="rect">
                            <a:avLst/>
                          </a:prstGeom>
                          <a:noFill/>
                          <a:ln w="9525">
                            <a:noFill/>
                            <a:miter lim="800000"/>
                            <a:headEnd/>
                            <a:tailEnd/>
                          </a:ln>
                        </pic:spPr>
                      </pic:pic>
                    </a:graphicData>
                  </a:graphic>
                </wp:inline>
              </w:drawing>
            </w:r>
          </w:p>
        </w:tc>
      </w:tr>
      <w:tr w:rsidR="009B7AA6" w:rsidTr="00E423D2">
        <w:tc>
          <w:tcPr>
            <w:tcW w:w="918" w:type="dxa"/>
          </w:tcPr>
          <w:p w:rsidR="009B7AA6" w:rsidRDefault="009B7AA6" w:rsidP="00D568F9"/>
        </w:tc>
        <w:tc>
          <w:tcPr>
            <w:tcW w:w="5760" w:type="dxa"/>
          </w:tcPr>
          <w:p w:rsidR="009B7AA6" w:rsidRPr="00443E5C" w:rsidRDefault="009B7AA6" w:rsidP="00D568F9">
            <w:pPr>
              <w:rPr>
                <w:color w:val="808080" w:themeColor="background1" w:themeShade="80"/>
                <w:sz w:val="20"/>
                <w:szCs w:val="20"/>
              </w:rPr>
            </w:pPr>
            <w:r w:rsidRPr="00443E5C">
              <w:rPr>
                <w:color w:val="808080" w:themeColor="background1" w:themeShade="80"/>
                <w:sz w:val="20"/>
                <w:szCs w:val="20"/>
              </w:rPr>
              <w:t xml:space="preserve">The set above shows the only consonant that </w:t>
            </w:r>
            <w:proofErr w:type="gramStart"/>
            <w:r w:rsidRPr="00443E5C">
              <w:rPr>
                <w:color w:val="808080" w:themeColor="background1" w:themeShade="80"/>
                <w:sz w:val="20"/>
                <w:szCs w:val="20"/>
              </w:rPr>
              <w:t>is propose</w:t>
            </w:r>
            <w:r w:rsidR="00D568F9" w:rsidRPr="00443E5C">
              <w:rPr>
                <w:color w:val="808080" w:themeColor="background1" w:themeShade="80"/>
                <w:sz w:val="20"/>
                <w:szCs w:val="20"/>
              </w:rPr>
              <w:t>d</w:t>
            </w:r>
            <w:proofErr w:type="gramEnd"/>
            <w:r w:rsidRPr="00443E5C">
              <w:rPr>
                <w:color w:val="808080" w:themeColor="background1" w:themeShade="80"/>
                <w:sz w:val="20"/>
                <w:szCs w:val="20"/>
              </w:rPr>
              <w:t xml:space="preserve"> as a variant with Sinhala. In the opinion of the IP the similarity between the Telugu (0C30) and Sinhalese (0DBB) code points appears sufficiently remote to no longer </w:t>
            </w:r>
            <w:proofErr w:type="gramStart"/>
            <w:r w:rsidRPr="00443E5C">
              <w:rPr>
                <w:color w:val="808080" w:themeColor="background1" w:themeShade="80"/>
                <w:sz w:val="20"/>
                <w:szCs w:val="20"/>
              </w:rPr>
              <w:t>be considered</w:t>
            </w:r>
            <w:proofErr w:type="gramEnd"/>
            <w:r w:rsidRPr="00443E5C">
              <w:rPr>
                <w:color w:val="808080" w:themeColor="background1" w:themeShade="80"/>
                <w:sz w:val="20"/>
                <w:szCs w:val="20"/>
              </w:rPr>
              <w:t xml:space="preserve"> a homoglyph.</w:t>
            </w:r>
          </w:p>
          <w:p w:rsidR="009B7AA6" w:rsidRPr="00443E5C" w:rsidRDefault="009B7AA6" w:rsidP="00D568F9">
            <w:pPr>
              <w:rPr>
                <w:color w:val="808080" w:themeColor="background1" w:themeShade="80"/>
                <w:sz w:val="20"/>
                <w:szCs w:val="20"/>
              </w:rPr>
            </w:pPr>
          </w:p>
          <w:p w:rsidR="009B7AA6" w:rsidRPr="00443E5C" w:rsidRDefault="009B7AA6" w:rsidP="00D568F9">
            <w:pPr>
              <w:rPr>
                <w:color w:val="808080" w:themeColor="background1" w:themeShade="80"/>
                <w:sz w:val="20"/>
                <w:szCs w:val="20"/>
              </w:rPr>
            </w:pPr>
            <w:r w:rsidRPr="00443E5C">
              <w:rPr>
                <w:color w:val="808080" w:themeColor="background1" w:themeShade="80"/>
                <w:sz w:val="20"/>
                <w:szCs w:val="20"/>
              </w:rPr>
              <w:t>The same applies to the Kannada (0CB0) / Sinhala (0DBB) pair.</w:t>
            </w:r>
          </w:p>
          <w:p w:rsidR="009B7AA6" w:rsidRPr="00443E5C" w:rsidRDefault="009B7AA6" w:rsidP="00D568F9">
            <w:pPr>
              <w:rPr>
                <w:color w:val="808080" w:themeColor="background1" w:themeShade="80"/>
                <w:sz w:val="20"/>
                <w:szCs w:val="20"/>
              </w:rPr>
            </w:pPr>
          </w:p>
          <w:p w:rsidR="009B7AA6" w:rsidRPr="00443E5C" w:rsidRDefault="009B7AA6" w:rsidP="00D568F9">
            <w:pPr>
              <w:rPr>
                <w:color w:val="808080" w:themeColor="background1" w:themeShade="80"/>
                <w:sz w:val="20"/>
                <w:szCs w:val="20"/>
              </w:rPr>
            </w:pPr>
            <w:r w:rsidRPr="00443E5C">
              <w:rPr>
                <w:color w:val="808080" w:themeColor="background1" w:themeShade="80"/>
                <w:sz w:val="20"/>
                <w:szCs w:val="20"/>
              </w:rPr>
              <w:t xml:space="preserve">With only a single consonant (plus two combining </w:t>
            </w:r>
            <w:proofErr w:type="gramStart"/>
            <w:r w:rsidRPr="00443E5C">
              <w:rPr>
                <w:color w:val="808080" w:themeColor="background1" w:themeShade="80"/>
                <w:sz w:val="20"/>
                <w:szCs w:val="20"/>
              </w:rPr>
              <w:t>marks)</w:t>
            </w:r>
            <w:proofErr w:type="gramEnd"/>
            <w:r w:rsidRPr="00443E5C">
              <w:rPr>
                <w:color w:val="808080" w:themeColor="background1" w:themeShade="80"/>
                <w:sz w:val="20"/>
                <w:szCs w:val="20"/>
              </w:rPr>
              <w:t xml:space="preserve"> the overlap between Sinhala and these two scripts appears rather limited.</w:t>
            </w:r>
          </w:p>
          <w:p w:rsidR="009B7AA6" w:rsidRPr="00443E5C" w:rsidRDefault="009B7AA6" w:rsidP="00D568F9">
            <w:pPr>
              <w:rPr>
                <w:color w:val="808080" w:themeColor="background1" w:themeShade="80"/>
                <w:sz w:val="20"/>
                <w:szCs w:val="20"/>
              </w:rPr>
            </w:pPr>
          </w:p>
          <w:p w:rsidR="009B7AA6" w:rsidRPr="00443E5C" w:rsidRDefault="009B7AA6" w:rsidP="00D568F9">
            <w:pPr>
              <w:rPr>
                <w:color w:val="808080" w:themeColor="background1" w:themeShade="80"/>
                <w:sz w:val="20"/>
                <w:szCs w:val="20"/>
              </w:rPr>
            </w:pPr>
            <w:r w:rsidRPr="00443E5C">
              <w:rPr>
                <w:color w:val="808080" w:themeColor="background1" w:themeShade="80"/>
                <w:sz w:val="20"/>
                <w:szCs w:val="20"/>
              </w:rPr>
              <w:t xml:space="preserve">As was the case with similar relation between SEA scripts, the IP would recommend dropping Sinhala 0DBB from the variant sets for both Kannada and Telugu. </w:t>
            </w:r>
          </w:p>
          <w:p w:rsidR="009B7AA6" w:rsidRPr="00443E5C" w:rsidRDefault="009B7AA6" w:rsidP="00D568F9">
            <w:pPr>
              <w:rPr>
                <w:color w:val="808080" w:themeColor="background1" w:themeShade="80"/>
                <w:sz w:val="20"/>
                <w:szCs w:val="20"/>
              </w:rPr>
            </w:pPr>
          </w:p>
          <w:p w:rsidR="009B7AA6" w:rsidRPr="00443E5C" w:rsidRDefault="009B7AA6" w:rsidP="00D568F9">
            <w:pPr>
              <w:rPr>
                <w:color w:val="808080" w:themeColor="background1" w:themeShade="80"/>
                <w:sz w:val="20"/>
                <w:szCs w:val="20"/>
              </w:rPr>
            </w:pPr>
            <w:r w:rsidRPr="00443E5C">
              <w:rPr>
                <w:color w:val="808080" w:themeColor="background1" w:themeShade="80"/>
                <w:sz w:val="20"/>
                <w:szCs w:val="20"/>
              </w:rPr>
              <w:t xml:space="preserve">If that is done, the only remaining characters are combining marks 0D82 and </w:t>
            </w:r>
            <w:proofErr w:type="gramStart"/>
            <w:r w:rsidRPr="00443E5C">
              <w:rPr>
                <w:color w:val="808080" w:themeColor="background1" w:themeShade="80"/>
                <w:sz w:val="20"/>
                <w:szCs w:val="20"/>
              </w:rPr>
              <w:t>0D83 which</w:t>
            </w:r>
            <w:proofErr w:type="gramEnd"/>
            <w:r w:rsidRPr="00443E5C">
              <w:rPr>
                <w:color w:val="808080" w:themeColor="background1" w:themeShade="80"/>
                <w:sz w:val="20"/>
                <w:szCs w:val="20"/>
              </w:rPr>
              <w:t xml:space="preserve"> can no longer form a cross-script label. They </w:t>
            </w:r>
            <w:proofErr w:type="gramStart"/>
            <w:r w:rsidRPr="00443E5C">
              <w:rPr>
                <w:color w:val="808080" w:themeColor="background1" w:themeShade="80"/>
                <w:sz w:val="20"/>
                <w:szCs w:val="20"/>
              </w:rPr>
              <w:t>could then also be removed</w:t>
            </w:r>
            <w:proofErr w:type="gramEnd"/>
            <w:r w:rsidRPr="00443E5C">
              <w:rPr>
                <w:color w:val="808080" w:themeColor="background1" w:themeShade="80"/>
                <w:sz w:val="20"/>
                <w:szCs w:val="20"/>
              </w:rPr>
              <w:t xml:space="preserve">. </w:t>
            </w:r>
          </w:p>
        </w:tc>
        <w:tc>
          <w:tcPr>
            <w:tcW w:w="1800" w:type="dxa"/>
          </w:tcPr>
          <w:p w:rsidR="009B7AA6" w:rsidRPr="00443E5C" w:rsidRDefault="009B7AA6" w:rsidP="009B7AA6">
            <w:pPr>
              <w:ind w:right="-18"/>
              <w:rPr>
                <w:color w:val="808080" w:themeColor="background1" w:themeShade="80"/>
                <w:sz w:val="20"/>
                <w:szCs w:val="20"/>
              </w:rPr>
            </w:pPr>
            <w:r w:rsidRPr="00443E5C">
              <w:rPr>
                <w:color w:val="808080" w:themeColor="background1" w:themeShade="80"/>
                <w:sz w:val="20"/>
                <w:szCs w:val="20"/>
              </w:rPr>
              <w:t xml:space="preserve">Please reconsider the case for 0DBB as a cross-script variant. It appears marginal to the IP. If GP agrees to remove, 0D82 and 0D83 would also no longer be necessary. </w:t>
            </w:r>
            <w:r w:rsidRPr="00443E5C">
              <w:rPr>
                <w:color w:val="808080" w:themeColor="background1" w:themeShade="80"/>
                <w:sz w:val="20"/>
                <w:szCs w:val="20"/>
              </w:rPr>
              <w:br/>
              <w:t>(Same feedback applies to Kannada).</w:t>
            </w:r>
          </w:p>
        </w:tc>
      </w:tr>
    </w:tbl>
    <w:p w:rsidR="008616D4" w:rsidRDefault="008616D4" w:rsidP="008616D4"/>
    <w:p w:rsidR="000A0F9F" w:rsidRDefault="000A0F9F" w:rsidP="008616D4"/>
    <w:p w:rsidR="009B7AA6" w:rsidRDefault="009B7AA6" w:rsidP="008616D4"/>
    <w:p w:rsidR="008616D4" w:rsidRDefault="008616D4" w:rsidP="008616D4">
      <w:pPr>
        <w:pStyle w:val="Heading1"/>
      </w:pPr>
      <w:r>
        <w:t>Comments on LGR specification (.xml)</w:t>
      </w:r>
    </w:p>
    <w:p w:rsidR="008616D4" w:rsidRDefault="008616D4" w:rsidP="008616D4"/>
    <w:tbl>
      <w:tblPr>
        <w:tblStyle w:val="TableGrid"/>
        <w:tblW w:w="0" w:type="auto"/>
        <w:tblLayout w:type="fixed"/>
        <w:tblLook w:val="04A0"/>
      </w:tblPr>
      <w:tblGrid>
        <w:gridCol w:w="828"/>
        <w:gridCol w:w="5220"/>
        <w:gridCol w:w="2468"/>
      </w:tblGrid>
      <w:tr w:rsidR="008616D4" w:rsidRPr="005D0DFC" w:rsidTr="00443E5C">
        <w:tc>
          <w:tcPr>
            <w:tcW w:w="828" w:type="dxa"/>
          </w:tcPr>
          <w:p w:rsidR="008616D4" w:rsidRPr="00330A35" w:rsidRDefault="008616D4" w:rsidP="00A86818">
            <w:pPr>
              <w:rPr>
                <w:b/>
                <w:sz w:val="20"/>
                <w:szCs w:val="20"/>
              </w:rPr>
            </w:pPr>
            <w:r w:rsidRPr="00330A35">
              <w:rPr>
                <w:b/>
                <w:sz w:val="20"/>
                <w:szCs w:val="20"/>
              </w:rPr>
              <w:t>Item</w:t>
            </w:r>
          </w:p>
        </w:tc>
        <w:tc>
          <w:tcPr>
            <w:tcW w:w="5220" w:type="dxa"/>
          </w:tcPr>
          <w:p w:rsidR="008616D4" w:rsidRPr="00330A35" w:rsidRDefault="008616D4" w:rsidP="00A86818">
            <w:pPr>
              <w:rPr>
                <w:b/>
                <w:sz w:val="20"/>
                <w:szCs w:val="20"/>
              </w:rPr>
            </w:pPr>
            <w:r w:rsidRPr="00330A35">
              <w:rPr>
                <w:b/>
                <w:sz w:val="20"/>
                <w:szCs w:val="20"/>
              </w:rPr>
              <w:t>Issue</w:t>
            </w:r>
          </w:p>
        </w:tc>
        <w:tc>
          <w:tcPr>
            <w:tcW w:w="2468" w:type="dxa"/>
          </w:tcPr>
          <w:p w:rsidR="008616D4" w:rsidRPr="00330A35" w:rsidRDefault="008616D4" w:rsidP="00A86818">
            <w:pPr>
              <w:rPr>
                <w:b/>
                <w:sz w:val="20"/>
                <w:szCs w:val="20"/>
              </w:rPr>
            </w:pPr>
            <w:r w:rsidRPr="00330A35">
              <w:rPr>
                <w:b/>
                <w:sz w:val="20"/>
                <w:szCs w:val="20"/>
              </w:rPr>
              <w:t>IP Comment</w:t>
            </w:r>
          </w:p>
        </w:tc>
      </w:tr>
      <w:tr w:rsidR="008616D4" w:rsidRPr="00E23C0E" w:rsidTr="00443E5C">
        <w:tc>
          <w:tcPr>
            <w:tcW w:w="828" w:type="dxa"/>
          </w:tcPr>
          <w:p w:rsidR="008616D4" w:rsidRPr="00330A35" w:rsidRDefault="00E87847" w:rsidP="00A86818">
            <w:pPr>
              <w:rPr>
                <w:sz w:val="20"/>
                <w:szCs w:val="20"/>
              </w:rPr>
            </w:pPr>
            <w:r>
              <w:rPr>
                <w:sz w:val="20"/>
                <w:szCs w:val="20"/>
              </w:rPr>
              <w:t>Rules</w:t>
            </w:r>
          </w:p>
        </w:tc>
        <w:tc>
          <w:tcPr>
            <w:tcW w:w="5220" w:type="dxa"/>
          </w:tcPr>
          <w:p w:rsidR="00330A35" w:rsidRDefault="00E87847" w:rsidP="00A86818">
            <w:pPr>
              <w:rPr>
                <w:sz w:val="20"/>
                <w:szCs w:val="20"/>
              </w:rPr>
            </w:pPr>
            <w:r>
              <w:rPr>
                <w:sz w:val="20"/>
                <w:szCs w:val="20"/>
              </w:rPr>
              <w:t xml:space="preserve">If the suggested simplification </w:t>
            </w:r>
            <w:r w:rsidR="004711CE">
              <w:rPr>
                <w:sz w:val="20"/>
                <w:szCs w:val="20"/>
              </w:rPr>
              <w:t xml:space="preserve">of the rules for H </w:t>
            </w:r>
            <w:r>
              <w:rPr>
                <w:sz w:val="20"/>
                <w:szCs w:val="20"/>
              </w:rPr>
              <w:t>is adopted, change rules in XML document to match.</w:t>
            </w:r>
          </w:p>
          <w:p w:rsidR="00E87847" w:rsidRDefault="00E87847" w:rsidP="00E87847">
            <w:pPr>
              <w:rPr>
                <w:sz w:val="20"/>
                <w:szCs w:val="20"/>
              </w:rPr>
            </w:pPr>
          </w:p>
          <w:p w:rsidR="00E87847" w:rsidRPr="00E87847" w:rsidRDefault="00E87847" w:rsidP="00E87847">
            <w:pPr>
              <w:rPr>
                <w:sz w:val="20"/>
                <w:szCs w:val="20"/>
              </w:rPr>
            </w:pPr>
            <w:r>
              <w:rPr>
                <w:sz w:val="20"/>
                <w:szCs w:val="20"/>
              </w:rPr>
              <w:t>The new rule would become</w:t>
            </w:r>
            <w:r>
              <w:rPr>
                <w:sz w:val="20"/>
                <w:szCs w:val="20"/>
              </w:rPr>
              <w:br/>
            </w:r>
          </w:p>
          <w:p w:rsidR="00E87847" w:rsidRPr="00E87847" w:rsidRDefault="00E87847" w:rsidP="00E87847">
            <w:pPr>
              <w:rPr>
                <w:sz w:val="20"/>
                <w:szCs w:val="20"/>
              </w:rPr>
            </w:pPr>
            <w:r w:rsidRPr="00E87847">
              <w:rPr>
                <w:sz w:val="20"/>
                <w:szCs w:val="20"/>
              </w:rPr>
              <w:t>follows-C-except-Nasal-C</w:t>
            </w:r>
          </w:p>
          <w:p w:rsidR="00E87847" w:rsidRPr="00E87847" w:rsidRDefault="00E87847" w:rsidP="00E87847">
            <w:pPr>
              <w:rPr>
                <w:sz w:val="20"/>
                <w:szCs w:val="20"/>
              </w:rPr>
            </w:pPr>
          </w:p>
          <w:p w:rsidR="00E87847" w:rsidRPr="00E87847" w:rsidRDefault="00E87847" w:rsidP="00E87847">
            <w:pPr>
              <w:rPr>
                <w:sz w:val="20"/>
                <w:szCs w:val="20"/>
              </w:rPr>
            </w:pPr>
            <w:r w:rsidRPr="00E87847">
              <w:rPr>
                <w:sz w:val="20"/>
                <w:szCs w:val="20"/>
              </w:rPr>
              <w:t xml:space="preserve">or in the regex notation </w:t>
            </w:r>
          </w:p>
          <w:p w:rsidR="00E87847" w:rsidRPr="00E87847" w:rsidRDefault="00E87847" w:rsidP="00E87847">
            <w:pPr>
              <w:rPr>
                <w:sz w:val="20"/>
                <w:szCs w:val="20"/>
              </w:rPr>
            </w:pPr>
          </w:p>
          <w:p w:rsidR="00E87847" w:rsidRPr="00E87847" w:rsidRDefault="001B3815" w:rsidP="00E87847">
            <w:pPr>
              <w:rPr>
                <w:sz w:val="20"/>
                <w:szCs w:val="20"/>
              </w:rPr>
            </w:pPr>
            <w:r>
              <w:rPr>
                <w:sz w:val="20"/>
                <w:szCs w:val="20"/>
              </w:rPr>
              <w:t>([:C:]\</w:t>
            </w:r>
            <w:r w:rsidR="00E87847" w:rsidRPr="00E87847">
              <w:rPr>
                <w:sz w:val="20"/>
                <w:szCs w:val="20"/>
              </w:rPr>
              <w:t xml:space="preserve">[:Nasal-C:] </w:t>
            </w:r>
            <w:r w:rsidR="00E87847" w:rsidRPr="00E87847">
              <w:rPr>
                <w:noProof/>
                <w:sz w:val="20"/>
                <w:szCs w:val="20"/>
                <w:lang w:val="en-US" w:eastAsia="en-US" w:bidi="km-KH"/>
              </w:rPr>
              <w:drawing>
                <wp:inline distT="0" distB="0" distL="0" distR="0">
                  <wp:extent cx="302895" cy="132715"/>
                  <wp:effectExtent l="19050" t="0" r="190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302895" cy="132715"/>
                          </a:xfrm>
                          <a:prstGeom prst="rect">
                            <a:avLst/>
                          </a:prstGeom>
                          <a:noFill/>
                          <a:ln w="9525">
                            <a:noFill/>
                            <a:miter lim="800000"/>
                            <a:headEnd/>
                            <a:tailEnd/>
                          </a:ln>
                        </pic:spPr>
                      </pic:pic>
                    </a:graphicData>
                  </a:graphic>
                </wp:inline>
              </w:drawing>
            </w:r>
            <w:r w:rsidR="00E87847" w:rsidRPr="00E87847">
              <w:rPr>
                <w:sz w:val="20"/>
                <w:szCs w:val="20"/>
              </w:rPr>
              <w:t xml:space="preserve">, </w:t>
            </w:r>
          </w:p>
          <w:p w:rsidR="00E87847" w:rsidRPr="00E87847" w:rsidRDefault="00E87847" w:rsidP="00E87847">
            <w:pPr>
              <w:rPr>
                <w:sz w:val="20"/>
                <w:szCs w:val="20"/>
              </w:rPr>
            </w:pPr>
          </w:p>
          <w:p w:rsidR="00E87847" w:rsidRDefault="00E87847" w:rsidP="00E87847">
            <w:pPr>
              <w:rPr>
                <w:sz w:val="20"/>
                <w:szCs w:val="20"/>
              </w:rPr>
            </w:pPr>
            <w:proofErr w:type="gramStart"/>
            <w:r w:rsidRPr="00E87847">
              <w:rPr>
                <w:sz w:val="20"/>
                <w:szCs w:val="20"/>
              </w:rPr>
              <w:t>using</w:t>
            </w:r>
            <w:proofErr w:type="gramEnd"/>
            <w:r w:rsidRPr="00E87847">
              <w:rPr>
                <w:sz w:val="20"/>
                <w:szCs w:val="20"/>
              </w:rPr>
              <w:t xml:space="preserve"> a set difference between the character classes for C and Nasal-C. The rule would become a “when” instead of a “not-when” rule.</w:t>
            </w:r>
          </w:p>
          <w:p w:rsidR="001B3815" w:rsidRPr="00E87847" w:rsidRDefault="001B3815" w:rsidP="00E87847">
            <w:pPr>
              <w:rPr>
                <w:sz w:val="20"/>
                <w:szCs w:val="20"/>
              </w:rPr>
            </w:pPr>
          </w:p>
          <w:p w:rsidR="00E87847" w:rsidRPr="00E87847" w:rsidRDefault="00E87847" w:rsidP="00E87847">
            <w:pPr>
              <w:rPr>
                <w:sz w:val="20"/>
                <w:szCs w:val="20"/>
              </w:rPr>
            </w:pPr>
            <w:r w:rsidRPr="00E87847">
              <w:rPr>
                <w:sz w:val="20"/>
                <w:szCs w:val="20"/>
              </w:rPr>
              <w:t>This would replace the compound rule “</w:t>
            </w:r>
            <w:bookmarkStart w:id="0" w:name="rule_does-not-follow-C-or-follows-Nasal-"/>
            <w:r w:rsidRPr="00E87847">
              <w:rPr>
                <w:sz w:val="20"/>
                <w:szCs w:val="20"/>
              </w:rPr>
              <w:t>does-not-follow-C-or-follows-Nasal-C-and-precedes-C</w:t>
            </w:r>
            <w:bookmarkEnd w:id="0"/>
            <w:r w:rsidRPr="00E87847">
              <w:rPr>
                <w:sz w:val="20"/>
                <w:szCs w:val="20"/>
              </w:rPr>
              <w:t>” and both its subsidiary rules “does-not-follow-C” and “follows-Nasal-C-and-precedes-C”.</w:t>
            </w:r>
          </w:p>
          <w:p w:rsidR="00E87847" w:rsidRPr="00330A35" w:rsidRDefault="00E87847" w:rsidP="00A86818">
            <w:pPr>
              <w:rPr>
                <w:sz w:val="20"/>
                <w:szCs w:val="20"/>
              </w:rPr>
            </w:pPr>
          </w:p>
        </w:tc>
        <w:tc>
          <w:tcPr>
            <w:tcW w:w="2468" w:type="dxa"/>
          </w:tcPr>
          <w:p w:rsidR="00443E5C" w:rsidRDefault="00443E5C" w:rsidP="00A86818">
            <w:pPr>
              <w:rPr>
                <w:sz w:val="20"/>
                <w:szCs w:val="20"/>
              </w:rPr>
            </w:pPr>
            <w:r>
              <w:rPr>
                <w:sz w:val="20"/>
                <w:szCs w:val="20"/>
              </w:rPr>
              <w:t xml:space="preserve">The IP considers the current implementation, while formally correct in a logical and syntactic sense to be </w:t>
            </w:r>
            <w:r w:rsidRPr="00443E5C">
              <w:rPr>
                <w:sz w:val="20"/>
                <w:szCs w:val="20"/>
                <w:u w:val="single"/>
              </w:rPr>
              <w:t>unnecessarily complex</w:t>
            </w:r>
            <w:r w:rsidR="00A448F3">
              <w:rPr>
                <w:sz w:val="20"/>
                <w:szCs w:val="20"/>
              </w:rPr>
              <w:t xml:space="preserve">; this may make it </w:t>
            </w:r>
            <w:r>
              <w:rPr>
                <w:sz w:val="20"/>
                <w:szCs w:val="20"/>
              </w:rPr>
              <w:t xml:space="preserve">impossible </w:t>
            </w:r>
            <w:r w:rsidR="00A448F3">
              <w:rPr>
                <w:sz w:val="20"/>
                <w:szCs w:val="20"/>
              </w:rPr>
              <w:t>for a reviewer or implementer to understand the intent of the GP</w:t>
            </w:r>
            <w:r>
              <w:rPr>
                <w:sz w:val="20"/>
                <w:szCs w:val="20"/>
              </w:rPr>
              <w:t>.</w:t>
            </w:r>
          </w:p>
          <w:p w:rsidR="00443E5C" w:rsidRDefault="00443E5C" w:rsidP="00A86818">
            <w:pPr>
              <w:rPr>
                <w:sz w:val="20"/>
                <w:szCs w:val="20"/>
              </w:rPr>
            </w:pPr>
          </w:p>
          <w:p w:rsidR="008616D4" w:rsidRPr="000A0F9F" w:rsidRDefault="00A448F3" w:rsidP="00A86818">
            <w:pPr>
              <w:rPr>
                <w:color w:val="C0504D" w:themeColor="accent2"/>
                <w:sz w:val="20"/>
                <w:szCs w:val="20"/>
                <w:u w:val="single"/>
              </w:rPr>
            </w:pPr>
            <w:r w:rsidRPr="000A0F9F">
              <w:rPr>
                <w:color w:val="C0504D" w:themeColor="accent2"/>
                <w:sz w:val="20"/>
                <w:szCs w:val="20"/>
                <w:u w:val="single"/>
              </w:rPr>
              <w:t>Please r</w:t>
            </w:r>
            <w:r w:rsidR="004711CE" w:rsidRPr="000A0F9F">
              <w:rPr>
                <w:color w:val="C0504D" w:themeColor="accent2"/>
                <w:sz w:val="20"/>
                <w:szCs w:val="20"/>
                <w:u w:val="single"/>
              </w:rPr>
              <w:t>eview</w:t>
            </w:r>
            <w:r w:rsidRPr="000A0F9F">
              <w:rPr>
                <w:color w:val="C0504D" w:themeColor="accent2"/>
                <w:sz w:val="20"/>
                <w:szCs w:val="20"/>
                <w:u w:val="single"/>
              </w:rPr>
              <w:t xml:space="preserve"> again</w:t>
            </w:r>
            <w:r w:rsidR="004711CE" w:rsidRPr="000A0F9F">
              <w:rPr>
                <w:color w:val="C0504D" w:themeColor="accent2"/>
                <w:sz w:val="20"/>
                <w:szCs w:val="20"/>
                <w:u w:val="single"/>
              </w:rPr>
              <w:t xml:space="preserve"> and fix.</w:t>
            </w:r>
          </w:p>
          <w:p w:rsidR="00443E5C" w:rsidRDefault="00443E5C" w:rsidP="00A86818">
            <w:pPr>
              <w:rPr>
                <w:sz w:val="20"/>
                <w:szCs w:val="20"/>
              </w:rPr>
            </w:pPr>
          </w:p>
          <w:p w:rsidR="00443E5C" w:rsidRPr="00330A35" w:rsidRDefault="00443E5C" w:rsidP="00A448F3">
            <w:pPr>
              <w:rPr>
                <w:sz w:val="20"/>
                <w:szCs w:val="20"/>
              </w:rPr>
            </w:pPr>
            <w:r>
              <w:rPr>
                <w:sz w:val="20"/>
                <w:szCs w:val="20"/>
              </w:rPr>
              <w:t>(</w:t>
            </w:r>
            <w:r w:rsidR="00A448F3">
              <w:rPr>
                <w:sz w:val="20"/>
                <w:szCs w:val="20"/>
              </w:rPr>
              <w:t>See</w:t>
            </w:r>
            <w:r>
              <w:rPr>
                <w:sz w:val="20"/>
                <w:szCs w:val="20"/>
              </w:rPr>
              <w:t xml:space="preserve"> the attached XML file for an implementation of the suggestion on the left.)</w:t>
            </w:r>
          </w:p>
        </w:tc>
      </w:tr>
    </w:tbl>
    <w:p w:rsidR="008616D4" w:rsidRPr="00E23C0E" w:rsidRDefault="008616D4" w:rsidP="008616D4"/>
    <w:p w:rsidR="002B7ECF" w:rsidRDefault="008616D4" w:rsidP="008616D4">
      <w:pPr>
        <w:pStyle w:val="Heading1"/>
      </w:pPr>
      <w:r>
        <w:t>Comments on Test Labels</w:t>
      </w:r>
    </w:p>
    <w:p w:rsidR="008616D4" w:rsidRDefault="008616D4" w:rsidP="008616D4"/>
    <w:tbl>
      <w:tblPr>
        <w:tblStyle w:val="TableGrid"/>
        <w:tblW w:w="0" w:type="auto"/>
        <w:tblLook w:val="04A0"/>
      </w:tblPr>
      <w:tblGrid>
        <w:gridCol w:w="817"/>
        <w:gridCol w:w="3827"/>
        <w:gridCol w:w="3834"/>
      </w:tblGrid>
      <w:tr w:rsidR="008616D4" w:rsidRPr="005D0DFC" w:rsidTr="009B7AA6">
        <w:tc>
          <w:tcPr>
            <w:tcW w:w="817" w:type="dxa"/>
          </w:tcPr>
          <w:p w:rsidR="008616D4" w:rsidRPr="005D0DFC" w:rsidRDefault="008616D4" w:rsidP="00A86818">
            <w:pPr>
              <w:rPr>
                <w:b/>
              </w:rPr>
            </w:pPr>
            <w:r w:rsidRPr="005D0DFC">
              <w:rPr>
                <w:b/>
              </w:rPr>
              <w:t>Item</w:t>
            </w:r>
          </w:p>
        </w:tc>
        <w:tc>
          <w:tcPr>
            <w:tcW w:w="3827" w:type="dxa"/>
          </w:tcPr>
          <w:p w:rsidR="008616D4" w:rsidRPr="005D0DFC" w:rsidRDefault="008616D4" w:rsidP="00A86818">
            <w:pPr>
              <w:rPr>
                <w:b/>
              </w:rPr>
            </w:pPr>
            <w:r w:rsidRPr="005D0DFC">
              <w:rPr>
                <w:b/>
              </w:rPr>
              <w:t>Issue</w:t>
            </w:r>
          </w:p>
        </w:tc>
        <w:tc>
          <w:tcPr>
            <w:tcW w:w="3834" w:type="dxa"/>
          </w:tcPr>
          <w:p w:rsidR="008616D4" w:rsidRPr="005D0DFC" w:rsidRDefault="008616D4" w:rsidP="00A86818">
            <w:pPr>
              <w:rPr>
                <w:b/>
              </w:rPr>
            </w:pPr>
            <w:r w:rsidRPr="005D0DFC">
              <w:rPr>
                <w:b/>
              </w:rPr>
              <w:t>IP Comment</w:t>
            </w:r>
          </w:p>
        </w:tc>
      </w:tr>
      <w:tr w:rsidR="008616D4" w:rsidRPr="00E23C0E" w:rsidTr="009B7AA6">
        <w:tc>
          <w:tcPr>
            <w:tcW w:w="817" w:type="dxa"/>
          </w:tcPr>
          <w:p w:rsidR="008616D4" w:rsidRPr="004711CE" w:rsidRDefault="008616D4" w:rsidP="00A86818">
            <w:pPr>
              <w:rPr>
                <w:sz w:val="20"/>
                <w:szCs w:val="20"/>
              </w:rPr>
            </w:pPr>
          </w:p>
        </w:tc>
        <w:tc>
          <w:tcPr>
            <w:tcW w:w="3827" w:type="dxa"/>
          </w:tcPr>
          <w:p w:rsidR="008616D4" w:rsidRDefault="004711CE" w:rsidP="000A0F9F">
            <w:pPr>
              <w:rPr>
                <w:sz w:val="20"/>
                <w:szCs w:val="20"/>
              </w:rPr>
            </w:pPr>
            <w:r w:rsidRPr="004711CE">
              <w:rPr>
                <w:sz w:val="20"/>
                <w:szCs w:val="20"/>
              </w:rPr>
              <w:t xml:space="preserve">The test labels </w:t>
            </w:r>
            <w:proofErr w:type="gramStart"/>
            <w:r w:rsidRPr="004711CE">
              <w:rPr>
                <w:sz w:val="20"/>
                <w:szCs w:val="20"/>
              </w:rPr>
              <w:t>have been reviewed</w:t>
            </w:r>
            <w:proofErr w:type="gramEnd"/>
            <w:r w:rsidRPr="004711CE">
              <w:rPr>
                <w:sz w:val="20"/>
                <w:szCs w:val="20"/>
              </w:rPr>
              <w:t xml:space="preserve">. </w:t>
            </w:r>
            <w:r w:rsidR="000A0F9F">
              <w:rPr>
                <w:sz w:val="20"/>
                <w:szCs w:val="20"/>
              </w:rPr>
              <w:t xml:space="preserve">All valid labels report as valid, some invalid labels are resolved as invalid for different reasons </w:t>
            </w:r>
            <w:proofErr w:type="gramStart"/>
            <w:r w:rsidR="000A0F9F">
              <w:rPr>
                <w:sz w:val="20"/>
                <w:szCs w:val="20"/>
              </w:rPr>
              <w:t>than</w:t>
            </w:r>
            <w:proofErr w:type="gramEnd"/>
            <w:r w:rsidR="000A0F9F">
              <w:rPr>
                <w:sz w:val="20"/>
                <w:szCs w:val="20"/>
              </w:rPr>
              <w:t xml:space="preserve"> stated in the test file, but all invalid labels are reported as such.</w:t>
            </w:r>
          </w:p>
          <w:p w:rsidR="000A0F9F" w:rsidRPr="004711CE" w:rsidRDefault="000A0F9F" w:rsidP="000A0F9F">
            <w:pPr>
              <w:rPr>
                <w:sz w:val="20"/>
                <w:szCs w:val="20"/>
              </w:rPr>
            </w:pPr>
            <w:r>
              <w:rPr>
                <w:sz w:val="20"/>
                <w:szCs w:val="20"/>
              </w:rPr>
              <w:t xml:space="preserve">One of the variant labels </w:t>
            </w:r>
            <w:proofErr w:type="gramStart"/>
            <w:r>
              <w:rPr>
                <w:sz w:val="20"/>
                <w:szCs w:val="20"/>
              </w:rPr>
              <w:t>is reported</w:t>
            </w:r>
            <w:proofErr w:type="gramEnd"/>
            <w:r>
              <w:rPr>
                <w:sz w:val="20"/>
                <w:szCs w:val="20"/>
              </w:rPr>
              <w:t xml:space="preserve"> as invalid.</w:t>
            </w:r>
          </w:p>
        </w:tc>
        <w:tc>
          <w:tcPr>
            <w:tcW w:w="3834" w:type="dxa"/>
          </w:tcPr>
          <w:p w:rsidR="008616D4" w:rsidRPr="00E23C0E" w:rsidRDefault="000A0F9F" w:rsidP="00A86818">
            <w:proofErr w:type="gramStart"/>
            <w:r>
              <w:rPr>
                <w:sz w:val="20"/>
                <w:szCs w:val="20"/>
              </w:rPr>
              <w:t>Looks generally OK.</w:t>
            </w:r>
            <w:proofErr w:type="gramEnd"/>
          </w:p>
        </w:tc>
      </w:tr>
      <w:tr w:rsidR="008616D4" w:rsidRPr="00E23C0E" w:rsidTr="009B7AA6">
        <w:tc>
          <w:tcPr>
            <w:tcW w:w="817" w:type="dxa"/>
          </w:tcPr>
          <w:p w:rsidR="008616D4" w:rsidRPr="00E23C0E" w:rsidRDefault="008616D4" w:rsidP="00A86818"/>
        </w:tc>
        <w:tc>
          <w:tcPr>
            <w:tcW w:w="3827" w:type="dxa"/>
          </w:tcPr>
          <w:p w:rsidR="008616D4" w:rsidRPr="00E23C0E" w:rsidRDefault="00453596" w:rsidP="00A86818">
            <w:r>
              <w:t>The IP evaluated the proposed simplified XML against the test file and got the same results (except</w:t>
            </w:r>
            <w:r w:rsidR="00314252">
              <w:t>, of course,</w:t>
            </w:r>
            <w:r>
              <w:t xml:space="preserve"> for the name of the context rule</w:t>
            </w:r>
            <w:r w:rsidR="00314252">
              <w:t xml:space="preserve"> where it occurs in the log file)</w:t>
            </w:r>
          </w:p>
        </w:tc>
        <w:tc>
          <w:tcPr>
            <w:tcW w:w="3834" w:type="dxa"/>
          </w:tcPr>
          <w:p w:rsidR="008616D4" w:rsidRPr="00E23C0E" w:rsidRDefault="008616D4" w:rsidP="00A86818"/>
        </w:tc>
      </w:tr>
    </w:tbl>
    <w:p w:rsidR="008616D4" w:rsidRPr="00E23C0E" w:rsidRDefault="008616D4" w:rsidP="008616D4"/>
    <w:p w:rsidR="008616D4" w:rsidRPr="008616D4" w:rsidRDefault="008616D4" w:rsidP="008616D4"/>
    <w:sectPr w:rsidR="008616D4" w:rsidRPr="008616D4" w:rsidSect="00D9364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unPenh">
    <w:panose1 w:val="01010101010101010101"/>
    <w:charset w:val="00"/>
    <w:family w:val="auto"/>
    <w:pitch w:val="variable"/>
    <w:sig w:usb0="00000003" w:usb1="00000000" w:usb2="00010000" w:usb3="00000000" w:csb0="00000001" w:csb1="00000000"/>
  </w:font>
  <w:font w:name="Calibri">
    <w:panose1 w:val="020F0502020204030204"/>
    <w:charset w:val="00"/>
    <w:family w:val="swiss"/>
    <w:pitch w:val="variable"/>
    <w:sig w:usb0="E00002FF" w:usb1="4000ACFF" w:usb2="00000001" w:usb3="00000000" w:csb0="0000019F" w:csb1="00000000"/>
  </w:font>
  <w:font w:name="MoolBoran">
    <w:panose1 w:val="020B0100010101010101"/>
    <w:charset w:val="00"/>
    <w:family w:val="swiss"/>
    <w:pitch w:val="variable"/>
    <w:sig w:usb0="8000000F" w:usb1="0000204A" w:usb2="00010000" w:usb3="00000000" w:csb0="00000001" w:csb1="00000000"/>
  </w:font>
  <w:font w:name="Lucida Grande">
    <w:altName w:val="Everson Mono Unicode"/>
    <w:charset w:val="00"/>
    <w:family w:val="swiss"/>
    <w:pitch w:val="variable"/>
    <w:sig w:usb0="00000000" w:usb1="5000A1FF" w:usb2="00000000" w:usb3="00000000" w:csb0="000001BF" w:csb1="00000000"/>
  </w:font>
  <w:font w:name="Vani">
    <w:panose1 w:val="020B0502040204020203"/>
    <w:charset w:val="00"/>
    <w:family w:val="swiss"/>
    <w:pitch w:val="variable"/>
    <w:sig w:usb0="002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20A54"/>
    <w:multiLevelType w:val="hybridMultilevel"/>
    <w:tmpl w:val="C4C4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E23C0E"/>
    <w:rsid w:val="00060F24"/>
    <w:rsid w:val="00080D6B"/>
    <w:rsid w:val="000A0F9F"/>
    <w:rsid w:val="000A4836"/>
    <w:rsid w:val="00116388"/>
    <w:rsid w:val="001B3815"/>
    <w:rsid w:val="00285292"/>
    <w:rsid w:val="0029247E"/>
    <w:rsid w:val="002B7ECF"/>
    <w:rsid w:val="00314252"/>
    <w:rsid w:val="00323EDA"/>
    <w:rsid w:val="00330A35"/>
    <w:rsid w:val="004125DD"/>
    <w:rsid w:val="0044351C"/>
    <w:rsid w:val="00443E5C"/>
    <w:rsid w:val="00451003"/>
    <w:rsid w:val="004512E1"/>
    <w:rsid w:val="00453596"/>
    <w:rsid w:val="004711CE"/>
    <w:rsid w:val="005D0DFC"/>
    <w:rsid w:val="00624CEC"/>
    <w:rsid w:val="00644BC8"/>
    <w:rsid w:val="006A56E8"/>
    <w:rsid w:val="0070071E"/>
    <w:rsid w:val="00722E6F"/>
    <w:rsid w:val="00766296"/>
    <w:rsid w:val="008307E7"/>
    <w:rsid w:val="008616D4"/>
    <w:rsid w:val="008A4E85"/>
    <w:rsid w:val="00944E5B"/>
    <w:rsid w:val="009A791C"/>
    <w:rsid w:val="009B7AA6"/>
    <w:rsid w:val="00A448F3"/>
    <w:rsid w:val="00A633CC"/>
    <w:rsid w:val="00A86818"/>
    <w:rsid w:val="00B6141B"/>
    <w:rsid w:val="00B72145"/>
    <w:rsid w:val="00BF0A08"/>
    <w:rsid w:val="00C71C42"/>
    <w:rsid w:val="00C97B0C"/>
    <w:rsid w:val="00CA12DA"/>
    <w:rsid w:val="00D568F9"/>
    <w:rsid w:val="00D9364B"/>
    <w:rsid w:val="00E23C0E"/>
    <w:rsid w:val="00E41069"/>
    <w:rsid w:val="00E423D2"/>
    <w:rsid w:val="00E87847"/>
    <w:rsid w:val="00EF61D3"/>
    <w:rsid w:val="00F8317D"/>
    <w:rsid w:val="00FE3993"/>
  </w:rsids>
  <m:mathPr>
    <m:mathFont m:val="Cambria Math"/>
    <m:brkBin m:val="before"/>
    <m:brkBinSub m:val="--"/>
    <m:smallFrac m:val="off"/>
    <m:dispDef m:val="off"/>
    <m:lMargin m:val="0"/>
    <m:rMargin m:val="0"/>
    <m:defJc m:val="centerGroup"/>
    <m:wrapRight/>
    <m:intLim m:val="subSup"/>
    <m:naryLim m:val="subSup"/>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C42"/>
    <w:rPr>
      <w:sz w:val="24"/>
      <w:szCs w:val="24"/>
    </w:rPr>
  </w:style>
  <w:style w:type="paragraph" w:styleId="Heading1">
    <w:name w:val="heading 1"/>
    <w:basedOn w:val="Normal"/>
    <w:next w:val="Normal"/>
    <w:link w:val="Heading1Char"/>
    <w:uiPriority w:val="9"/>
    <w:qFormat/>
    <w:rsid w:val="00E23C0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721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D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2DA"/>
    <w:rPr>
      <w:rFonts w:ascii="Lucida Grande" w:hAnsi="Lucida Grande" w:cs="Lucida Grande"/>
      <w:sz w:val="18"/>
      <w:szCs w:val="18"/>
    </w:rPr>
  </w:style>
  <w:style w:type="paragraph" w:styleId="Title">
    <w:name w:val="Title"/>
    <w:basedOn w:val="Normal"/>
    <w:next w:val="Normal"/>
    <w:link w:val="TitleChar"/>
    <w:uiPriority w:val="10"/>
    <w:qFormat/>
    <w:rsid w:val="00E23C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3C0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3C0E"/>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2B7EC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6296"/>
    <w:pPr>
      <w:ind w:left="720"/>
      <w:contextualSpacing/>
    </w:pPr>
  </w:style>
  <w:style w:type="character" w:customStyle="1" w:styleId="Heading2Char">
    <w:name w:val="Heading 2 Char"/>
    <w:basedOn w:val="DefaultParagraphFont"/>
    <w:link w:val="Heading2"/>
    <w:uiPriority w:val="9"/>
    <w:semiHidden/>
    <w:rsid w:val="00B7214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23C0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D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2DA"/>
    <w:rPr>
      <w:rFonts w:ascii="Lucida Grande" w:hAnsi="Lucida Grande" w:cs="Lucida Grande"/>
      <w:sz w:val="18"/>
      <w:szCs w:val="18"/>
    </w:rPr>
  </w:style>
  <w:style w:type="paragraph" w:styleId="Title">
    <w:name w:val="Title"/>
    <w:basedOn w:val="Normal"/>
    <w:next w:val="Normal"/>
    <w:link w:val="TitleChar"/>
    <w:uiPriority w:val="10"/>
    <w:qFormat/>
    <w:rsid w:val="00E23C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3C0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3C0E"/>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2B7EC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6572842">
      <w:bodyDiv w:val="1"/>
      <w:marLeft w:val="0"/>
      <w:marRight w:val="0"/>
      <w:marTop w:val="0"/>
      <w:marBottom w:val="0"/>
      <w:divBdr>
        <w:top w:val="none" w:sz="0" w:space="0" w:color="auto"/>
        <w:left w:val="none" w:sz="0" w:space="0" w:color="auto"/>
        <w:bottom w:val="none" w:sz="0" w:space="0" w:color="auto"/>
        <w:right w:val="none" w:sz="0" w:space="0" w:color="auto"/>
      </w:divBdr>
    </w:div>
    <w:div w:id="2084057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A96F3-19B1-4F18-873B-66BD2F4E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2018-08-02T16:34:00Z</dcterms:created>
  <dcterms:modified xsi:type="dcterms:W3CDTF">2018-08-02T16:34:00Z</dcterms:modified>
</cp:coreProperties>
</file>