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3F" w:rsidRPr="001D1E3F" w:rsidRDefault="001D1E3F" w:rsidP="001D1E3F">
      <w:pPr>
        <w:pStyle w:val="Title"/>
      </w:pPr>
      <w:r w:rsidRPr="001D1E3F">
        <w:t xml:space="preserve">Response of IP to Bengali LGR Draft of </w:t>
      </w:r>
      <w:r>
        <w:t>August 9</w:t>
      </w:r>
      <w:r w:rsidRPr="001D1E3F">
        <w:rPr>
          <w:vertAlign w:val="superscript"/>
        </w:rPr>
        <w:t>th</w:t>
      </w:r>
      <w:r w:rsidRPr="001D1E3F">
        <w:t xml:space="preserve"> 2018</w:t>
      </w:r>
    </w:p>
    <w:p w:rsidR="001D1E3F" w:rsidRDefault="001D1E3F" w:rsidP="001D1E3F">
      <w:pPr>
        <w:rPr>
          <w:rFonts w:eastAsiaTheme="majorEastAsia"/>
          <w:kern w:val="28"/>
        </w:rPr>
      </w:pPr>
      <w:r>
        <w:rPr>
          <w:rFonts w:eastAsiaTheme="majorEastAsia"/>
          <w:kern w:val="28"/>
        </w:rPr>
        <w:t>DATE: 2018-08-14</w:t>
      </w:r>
    </w:p>
    <w:p w:rsidR="001D1E3F" w:rsidRDefault="001D1E3F" w:rsidP="001D1E3F">
      <w:pPr>
        <w:pStyle w:val="Heading1"/>
        <w:rPr>
          <w:kern w:val="28"/>
        </w:rPr>
      </w:pPr>
      <w:r>
        <w:rPr>
          <w:kern w:val="28"/>
        </w:rPr>
        <w:t>Overview</w:t>
      </w:r>
    </w:p>
    <w:p w:rsidR="001D1E3F" w:rsidRDefault="001D1E3F" w:rsidP="001D1E3F">
      <w:r>
        <w:t>The IP received and reviewed the following files</w:t>
      </w:r>
    </w:p>
    <w:p w:rsidR="001D1E3F" w:rsidRDefault="001D1E3F" w:rsidP="001D1E3F">
      <w:pPr>
        <w:pStyle w:val="NoSpacing"/>
      </w:pPr>
      <w:r>
        <w:t>Bangla_LGR_20180809.doc</w:t>
      </w:r>
    </w:p>
    <w:p w:rsidR="001D1E3F" w:rsidRDefault="001D1E3F" w:rsidP="001D1E3F">
      <w:pPr>
        <w:pStyle w:val="NoSpacing"/>
      </w:pPr>
      <w:r>
        <w:t>Bangla_LGR_20180809.pdf</w:t>
      </w:r>
    </w:p>
    <w:p w:rsidR="001D1E3F" w:rsidRDefault="001D1E3F" w:rsidP="001D1E3F">
      <w:pPr>
        <w:pStyle w:val="NoSpacing"/>
      </w:pPr>
      <w:r>
        <w:t>Bengali_LGR_20180809-IP2.doc</w:t>
      </w:r>
    </w:p>
    <w:p w:rsidR="001D1E3F" w:rsidRDefault="001D1E3F" w:rsidP="001D1E3F">
      <w:pPr>
        <w:pStyle w:val="NoSpacing"/>
      </w:pPr>
      <w:r>
        <w:t>proposal-lgr-bangla-20180809.xml</w:t>
      </w:r>
    </w:p>
    <w:p w:rsidR="001D1E3F" w:rsidRDefault="001D1E3F" w:rsidP="001D1E3F">
      <w:r>
        <w:t>test-label-bangla-20180809.txt</w:t>
      </w:r>
    </w:p>
    <w:p w:rsidR="001D1E3F" w:rsidRDefault="001D1E3F" w:rsidP="001D1E3F">
      <w:r>
        <w:t>and has the following comments</w:t>
      </w:r>
      <w:r w:rsidR="00E353C9">
        <w:t>. The IP would like to see these (and outstanding earlier comments) resolved before making a final recommendation on whether the LGR is ready for public comment.</w:t>
      </w:r>
    </w:p>
    <w:p w:rsidR="001D1E3F" w:rsidRDefault="001D1E3F" w:rsidP="001D1E3F">
      <w:pPr>
        <w:pStyle w:val="Heading1"/>
      </w:pPr>
      <w:r>
        <w:t>Comment #1</w:t>
      </w:r>
    </w:p>
    <w:p w:rsidR="000E70DA" w:rsidRDefault="000E70DA" w:rsidP="001D1E3F">
      <w:r>
        <w:t xml:space="preserve">There were a large number of detailed editorial suggestions on the previous draft, both for the </w:t>
      </w:r>
      <w:proofErr w:type="spellStart"/>
      <w:r>
        <w:t>DOCx</w:t>
      </w:r>
      <w:proofErr w:type="spellEnd"/>
      <w:r>
        <w:t xml:space="preserve"> file and for the XML file.</w:t>
      </w:r>
      <w:r w:rsidR="007A7311">
        <w:t xml:space="preserve"> A quick check by the IP </w:t>
      </w:r>
      <w:r w:rsidR="008104D1">
        <w:t>revealed</w:t>
      </w:r>
      <w:r w:rsidR="007A7311">
        <w:t xml:space="preserve"> that t</w:t>
      </w:r>
      <w:r>
        <w:t>hese</w:t>
      </w:r>
      <w:r w:rsidR="007A7311">
        <w:t xml:space="preserve"> appear to not</w:t>
      </w:r>
      <w:r>
        <w:t xml:space="preserve"> have been addressed by the GP, </w:t>
      </w:r>
      <w:r w:rsidR="007A7311">
        <w:t xml:space="preserve">in contrast to </w:t>
      </w:r>
      <w:r>
        <w:t>most (but not all) of the itemized comments</w:t>
      </w:r>
      <w:r w:rsidR="007A7311">
        <w:t xml:space="preserve"> which</w:t>
      </w:r>
      <w:r>
        <w:t xml:space="preserve"> seem to have resulted in changes in the proposal.</w:t>
      </w:r>
    </w:p>
    <w:p w:rsidR="00BC408D" w:rsidRDefault="000E70DA" w:rsidP="001D1E3F">
      <w:r>
        <w:t>The IP has attached a list</w:t>
      </w:r>
      <w:r w:rsidR="00BC408D">
        <w:t xml:space="preserve"> of </w:t>
      </w:r>
      <w:r>
        <w:t xml:space="preserve">previous </w:t>
      </w:r>
      <w:r w:rsidR="007A7311">
        <w:t xml:space="preserve">itemized </w:t>
      </w:r>
      <w:r w:rsidR="00BC408D">
        <w:t xml:space="preserve">comments </w:t>
      </w:r>
      <w:r>
        <w:t>that are still open</w:t>
      </w:r>
      <w:r w:rsidR="00BC408D">
        <w:t xml:space="preserve"> for the GP to review and respond or make fixes to the LGR where appropriate. </w:t>
      </w:r>
      <w:bookmarkStart w:id="0" w:name="_GoBack"/>
      <w:bookmarkEnd w:id="0"/>
      <w:r w:rsidR="00BC408D">
        <w:t>Particular note should be taken of issues around the WLE rules, which, if not resolved, may prevent the IP from accepting this proposal.</w:t>
      </w:r>
    </w:p>
    <w:p w:rsidR="000E70DA" w:rsidRDefault="000E70DA" w:rsidP="001D1E3F">
      <w:r>
        <w:t xml:space="preserve">In addition, this review package includes two marked-up proposal documents; one for the 0626 </w:t>
      </w:r>
      <w:r w:rsidR="008104D1">
        <w:t>version</w:t>
      </w:r>
      <w:r>
        <w:t xml:space="preserve"> and one for the latest one. Both contain editorial corrections and suggestions that the GP is requested to review. Finally, there’s an older XML file containing some suggestions not yet acted on.</w:t>
      </w:r>
    </w:p>
    <w:p w:rsidR="00BC408D" w:rsidRDefault="00BC408D" w:rsidP="00BC408D">
      <w:pPr>
        <w:pStyle w:val="Heading1"/>
      </w:pPr>
      <w:r>
        <w:t>Comment # 2</w:t>
      </w:r>
    </w:p>
    <w:p w:rsidR="00BC408D" w:rsidRDefault="00BC408D" w:rsidP="00BC408D">
      <w:pPr>
        <w:pStyle w:val="CommentText"/>
      </w:pPr>
      <w:r>
        <w:t>Clearly there is an unresolved issue on the correct name for this script. It is used to write many languages (the two greatest being Bangla and Assamese) and has a history distinct from that of any one language. However, it was officially named “Bengali” (by ISO Standard 15924, which is the name also used in the Unicode Standard). There were, however, recent discussions by ISO (28 June 2018) about possibly changing the header of the code chart shown in Unicode it to Bengali-Assamese.</w:t>
      </w:r>
    </w:p>
    <w:p w:rsidR="00BC408D" w:rsidRDefault="00BC408D" w:rsidP="00BC408D">
      <w:pPr>
        <w:pStyle w:val="CommentText"/>
      </w:pPr>
      <w:r>
        <w:lastRenderedPageBreak/>
        <w:t>Given the multilingual use of the script, it is desirable that “Bangla” be kept for reference to the language of that name, whereas Bengali-Assamese (shortened to Bengali) refers to the modern script.</w:t>
      </w:r>
    </w:p>
    <w:p w:rsidR="00BC408D" w:rsidRDefault="00BC408D" w:rsidP="00BC408D">
      <w:pPr>
        <w:pStyle w:val="CommentText"/>
      </w:pPr>
      <w:r>
        <w:t>Note that for consistency with other sc</w:t>
      </w:r>
      <w:r w:rsidR="000E70DA">
        <w:t xml:space="preserve">ripts in the Root Zone LGR and </w:t>
      </w:r>
      <w:r>
        <w:t xml:space="preserve">because of </w:t>
      </w:r>
      <w:r w:rsidRPr="000E70DA">
        <w:rPr>
          <w:b/>
          <w:bCs/>
        </w:rPr>
        <w:t>automatic text generated from the script ID (und-</w:t>
      </w:r>
      <w:proofErr w:type="spellStart"/>
      <w:r w:rsidRPr="000E70DA">
        <w:rPr>
          <w:b/>
          <w:bCs/>
        </w:rPr>
        <w:t>Beng</w:t>
      </w:r>
      <w:proofErr w:type="spellEnd"/>
      <w:r w:rsidRPr="000E70DA">
        <w:rPr>
          <w:b/>
          <w:bCs/>
        </w:rPr>
        <w:t>) used in the final integrated LGR</w:t>
      </w:r>
      <w:r>
        <w:t xml:space="preserve">, the integrated LGR will need to refer to this script as “Bengali” – as that happens to be the name </w:t>
      </w:r>
      <w:r w:rsidR="000E70DA">
        <w:t>mapped to “und-</w:t>
      </w:r>
      <w:proofErr w:type="spellStart"/>
      <w:r w:rsidR="000E70DA">
        <w:t>Beng</w:t>
      </w:r>
      <w:proofErr w:type="spellEnd"/>
      <w:r w:rsidR="000E70DA">
        <w:t>” in the Unicode Database.</w:t>
      </w:r>
    </w:p>
    <w:p w:rsidR="00E353C9" w:rsidRDefault="00E353C9" w:rsidP="00E353C9">
      <w:pPr>
        <w:pStyle w:val="Heading2"/>
      </w:pPr>
      <w:r>
        <w:t>Character names</w:t>
      </w:r>
    </w:p>
    <w:p w:rsidR="001D3FBE" w:rsidRDefault="00BC408D" w:rsidP="00BC408D">
      <w:pPr>
        <w:pStyle w:val="CommentText"/>
      </w:pPr>
      <w:r>
        <w:t>Finally, in making the edits to the latest proposal, the GP changed many names that are externally defi</w:t>
      </w:r>
      <w:r w:rsidR="001D3FBE">
        <w:t>n</w:t>
      </w:r>
      <w:r>
        <w:t>ed. For example, all formal character names, being immutable in Unicode, retain the spelling BENGALI, and should be referred that way not just in tables but also in the running text of the LGR.</w:t>
      </w:r>
    </w:p>
    <w:p w:rsidR="00FA6FFC" w:rsidRDefault="00FA6FFC" w:rsidP="00BC408D">
      <w:pPr>
        <w:pStyle w:val="CommentText"/>
      </w:pPr>
      <w:r>
        <w:t>Please see the attached marked-up document for suggestions where “Bengali” should be retained.</w:t>
      </w:r>
    </w:p>
    <w:p w:rsidR="00A57CE4" w:rsidRDefault="00A57CE4" w:rsidP="00BC408D">
      <w:pPr>
        <w:pStyle w:val="CommentText"/>
      </w:pPr>
      <w:r>
        <w:t>This issue also affects the XML. Please review the Description and title and make sure the script is referred to as Bengali and any character names match those used in the Unicode Tables.</w:t>
      </w:r>
    </w:p>
    <w:p w:rsidR="00A57CE4" w:rsidRDefault="00A57CE4" w:rsidP="00BC408D">
      <w:pPr>
        <w:pStyle w:val="CommentText"/>
      </w:pPr>
      <w:r>
        <w:t>Note that in “comment” attributes for characters, the convention is to designated aliases using “=” followed by the other name in lowercase (except for language names), for example:</w:t>
      </w:r>
    </w:p>
    <w:p w:rsidR="00A57CE4" w:rsidRDefault="00A57CE4" w:rsidP="00BC408D">
      <w:pPr>
        <w:pStyle w:val="CommentText"/>
      </w:pPr>
      <w:r>
        <w:t>comment</w:t>
      </w:r>
      <w:proofErr w:type="gramStart"/>
      <w:r>
        <w:t>=”=</w:t>
      </w:r>
      <w:proofErr w:type="gramEnd"/>
      <w:r>
        <w:t xml:space="preserve"> Assamese letter </w:t>
      </w:r>
      <w:proofErr w:type="spellStart"/>
      <w:r>
        <w:t>wa</w:t>
      </w:r>
      <w:proofErr w:type="spellEnd"/>
      <w:r>
        <w:t>”</w:t>
      </w:r>
    </w:p>
    <w:p w:rsidR="00E353C9" w:rsidRDefault="00E353C9" w:rsidP="00BC408D">
      <w:pPr>
        <w:pStyle w:val="CommentText"/>
      </w:pPr>
      <w:r>
        <w:t>The IP encourages the GP to use this convention to help document differences in naming between the different communities.</w:t>
      </w:r>
    </w:p>
    <w:p w:rsidR="001D3FBE" w:rsidRDefault="001D3FBE" w:rsidP="001D3FBE">
      <w:pPr>
        <w:pStyle w:val="Heading1"/>
      </w:pPr>
      <w:r>
        <w:t>Comment #3</w:t>
      </w:r>
    </w:p>
    <w:p w:rsidR="001D3FBE" w:rsidRDefault="001D3FBE" w:rsidP="001D3FBE">
      <w:pPr>
        <w:pStyle w:val="CommentText"/>
      </w:pPr>
      <w:r>
        <w:t>About Section 3 in the proposal document: This description is about the Bangla language rather than the Bengali-Assamese script. Despite the title “&amp; Principal Languages Using It” only the history of one language, Bangla is traced.</w:t>
      </w:r>
    </w:p>
    <w:p w:rsidR="001D3FBE" w:rsidRDefault="001D3FBE" w:rsidP="001D3FBE">
      <w:pPr>
        <w:pStyle w:val="CommentText"/>
      </w:pPr>
      <w:r>
        <w:t>It should be re-written from the point of view of the origins of the current Bengali-Assamese script, mentioning Bangla, Assamese, Manipuri languages etc as their areas of use become relevant.</w:t>
      </w:r>
    </w:p>
    <w:p w:rsidR="001D3FBE" w:rsidRDefault="001D3FBE" w:rsidP="001D3FBE">
      <w:pPr>
        <w:pStyle w:val="CommentText"/>
      </w:pPr>
      <w:r>
        <w:t>Therefore</w:t>
      </w:r>
      <w:r w:rsidR="000E70DA">
        <w:t>,</w:t>
      </w:r>
      <w:r>
        <w:t xml:space="preserve"> the first paragraph of Section 3.1 and most of 3.2 (especially towards the end) contain the primary content that is needed.</w:t>
      </w:r>
    </w:p>
    <w:p w:rsidR="007A7311" w:rsidRDefault="007A7311" w:rsidP="007A7311">
      <w:r>
        <w:t>Note that the Procedure requires that the Root Zone LGR be free of bias towards or against any particular language. This is especially important for scripts that are used with multiple languages.</w:t>
      </w:r>
    </w:p>
    <w:p w:rsidR="001D3FBE" w:rsidRDefault="007A7311" w:rsidP="001D3FBE">
      <w:r>
        <w:t>Therefore, the IP would consider it appropriate to</w:t>
      </w:r>
      <w:r w:rsidR="001D3FBE">
        <w:t xml:space="preserve"> start out the description emphasizing the use of the script for multiple modern languages.</w:t>
      </w:r>
    </w:p>
    <w:p w:rsidR="001D3FBE" w:rsidRPr="001D3FBE" w:rsidRDefault="001D3FBE" w:rsidP="001D3FBE">
      <w:r>
        <w:lastRenderedPageBreak/>
        <w:t>In this context, the paucity of descriptions of features and usages relevant to Assamese are troubling as well.</w:t>
      </w:r>
    </w:p>
    <w:p w:rsidR="001D3FBE" w:rsidRDefault="001D3FBE" w:rsidP="001D3FBE">
      <w:pPr>
        <w:pStyle w:val="Heading1"/>
      </w:pPr>
      <w:r>
        <w:t>Comment # 4</w:t>
      </w:r>
    </w:p>
    <w:p w:rsidR="001D3FBE" w:rsidRPr="001D3FBE" w:rsidRDefault="001D3FBE" w:rsidP="001D3FBE">
      <w:pPr>
        <w:spacing w:after="0" w:line="240" w:lineRule="auto"/>
        <w:rPr>
          <w:lang w:bidi="km-KH"/>
        </w:rPr>
      </w:pPr>
      <w:r w:rsidRPr="001D3FBE">
        <w:rPr>
          <w:lang w:bidi="km-KH"/>
        </w:rPr>
        <w:t>In 3.3.8 Zero Width Non-Joiner and Zero Width Joiner, the sentence "The use of ZWJ/ZWNJ is not permitted in Internationalized Domain Names" is not accurate, at least not for IDNA 2008.</w:t>
      </w:r>
    </w:p>
    <w:p w:rsidR="001D3FBE" w:rsidRPr="001D3FBE" w:rsidRDefault="001D3FBE" w:rsidP="001D3FBE">
      <w:pPr>
        <w:spacing w:after="0" w:line="240" w:lineRule="auto"/>
        <w:rPr>
          <w:lang w:bidi="km-KH"/>
        </w:rPr>
      </w:pPr>
    </w:p>
    <w:p w:rsidR="001D3FBE" w:rsidRPr="001D3FBE" w:rsidRDefault="001D3FBE" w:rsidP="001D3FBE">
      <w:pPr>
        <w:spacing w:after="0" w:line="240" w:lineRule="auto"/>
        <w:rPr>
          <w:lang w:bidi="km-KH"/>
        </w:rPr>
      </w:pPr>
      <w:r w:rsidRPr="001D3FBE">
        <w:rPr>
          <w:lang w:bidi="km-KH"/>
        </w:rPr>
        <w:t xml:space="preserve">It could say "have been ruled out from the root zone by the </w:t>
      </w:r>
      <w:r w:rsidRPr="001D3FBE">
        <w:t>[P</w:t>
      </w:r>
      <w:r w:rsidRPr="001D3FBE">
        <w:rPr>
          <w:lang w:bidi="km-KH"/>
        </w:rPr>
        <w:t>rocedure</w:t>
      </w:r>
      <w:r w:rsidRPr="001D3FBE">
        <w:t>]".</w:t>
      </w:r>
    </w:p>
    <w:p w:rsidR="00BC408D" w:rsidRPr="001D3FBE" w:rsidRDefault="00BC408D" w:rsidP="00BC408D">
      <w:pPr>
        <w:pStyle w:val="CommentText"/>
      </w:pPr>
    </w:p>
    <w:p w:rsidR="00393B93" w:rsidRDefault="00F57041" w:rsidP="00F57041">
      <w:pPr>
        <w:pStyle w:val="Heading1"/>
      </w:pPr>
      <w:r>
        <w:t>Comments not addressed from earlier versions</w:t>
      </w:r>
    </w:p>
    <w:p w:rsidR="007A7311" w:rsidRPr="007A7311" w:rsidRDefault="007A7311" w:rsidP="007A7311">
      <w:r>
        <w:t>The next sections list comments from previous versions that the IP feels are still open (or partially unresolved). If the GP feels a particular comment was already resolved, the IP would like to ask for a short note identifying how this was addressed. Some issues may be unresolved in substance, even if there were some intervening changes to the text. Generally, the descriptions of the issues have not been updated to track the details of such intervening changes</w:t>
      </w:r>
      <w:r w:rsidR="00A57CE4">
        <w:t>, so there may be some small discrepancies.</w:t>
      </w:r>
    </w:p>
    <w:p w:rsidR="00A2321F" w:rsidRDefault="00921793" w:rsidP="007A7311">
      <w:pPr>
        <w:pStyle w:val="Heading2"/>
      </w:pPr>
      <w:r>
        <w:t>General Comments</w:t>
      </w:r>
    </w:p>
    <w:tbl>
      <w:tblPr>
        <w:tblStyle w:val="TableGrid"/>
        <w:tblW w:w="0" w:type="auto"/>
        <w:tblLayout w:type="fixed"/>
        <w:tblLook w:val="04A0" w:firstRow="1" w:lastRow="0" w:firstColumn="1" w:lastColumn="0" w:noHBand="0" w:noVBand="1"/>
      </w:tblPr>
      <w:tblGrid>
        <w:gridCol w:w="1278"/>
        <w:gridCol w:w="5490"/>
        <w:gridCol w:w="2808"/>
      </w:tblGrid>
      <w:tr w:rsidR="00A2321F" w:rsidRPr="004319D6" w:rsidTr="000A53E1">
        <w:tc>
          <w:tcPr>
            <w:tcW w:w="1278" w:type="dxa"/>
          </w:tcPr>
          <w:p w:rsidR="00A2321F" w:rsidRPr="004319D6" w:rsidRDefault="00A2321F" w:rsidP="00393B93">
            <w:pPr>
              <w:rPr>
                <w:b/>
                <w:bCs/>
              </w:rPr>
            </w:pPr>
            <w:r w:rsidRPr="004319D6">
              <w:rPr>
                <w:b/>
                <w:bCs/>
              </w:rPr>
              <w:t>Item</w:t>
            </w:r>
          </w:p>
        </w:tc>
        <w:tc>
          <w:tcPr>
            <w:tcW w:w="5490" w:type="dxa"/>
          </w:tcPr>
          <w:p w:rsidR="00A2321F" w:rsidRPr="004319D6" w:rsidRDefault="00A2321F" w:rsidP="00393B93">
            <w:pPr>
              <w:rPr>
                <w:b/>
                <w:bCs/>
              </w:rPr>
            </w:pPr>
            <w:r w:rsidRPr="004319D6">
              <w:rPr>
                <w:b/>
                <w:bCs/>
              </w:rPr>
              <w:t>Issue</w:t>
            </w:r>
          </w:p>
        </w:tc>
        <w:tc>
          <w:tcPr>
            <w:tcW w:w="2808" w:type="dxa"/>
          </w:tcPr>
          <w:p w:rsidR="00A2321F" w:rsidRPr="004319D6" w:rsidRDefault="00A2321F" w:rsidP="00393B93">
            <w:pPr>
              <w:rPr>
                <w:b/>
                <w:bCs/>
              </w:rPr>
            </w:pPr>
            <w:r w:rsidRPr="004319D6">
              <w:rPr>
                <w:b/>
                <w:bCs/>
              </w:rPr>
              <w:t>IP Comment</w:t>
            </w:r>
          </w:p>
        </w:tc>
      </w:tr>
      <w:tr w:rsidR="00A2321F" w:rsidTr="000A53E1">
        <w:tc>
          <w:tcPr>
            <w:tcW w:w="1278" w:type="dxa"/>
          </w:tcPr>
          <w:p w:rsidR="00A2321F" w:rsidRDefault="00F57041" w:rsidP="00393B93">
            <w:r>
              <w:t>Overall</w:t>
            </w:r>
          </w:p>
        </w:tc>
        <w:tc>
          <w:tcPr>
            <w:tcW w:w="5490" w:type="dxa"/>
          </w:tcPr>
          <w:p w:rsidR="00A2321F" w:rsidRDefault="00F57041" w:rsidP="00393B93">
            <w:proofErr w:type="gramStart"/>
            <w:r>
              <w:t>A  large</w:t>
            </w:r>
            <w:proofErr w:type="gramEnd"/>
            <w:r>
              <w:t xml:space="preserve"> number of smaller editorial suggestions were supplied in the document …-IP which is a marked-up version of the LGR proposal of  Bangla-LGR-20180626</w:t>
            </w:r>
            <w:r w:rsidR="000E70DA">
              <w:t>-IP</w:t>
            </w:r>
            <w:r>
              <w:t>.</w:t>
            </w:r>
          </w:p>
          <w:p w:rsidR="00F57041" w:rsidRDefault="00F57041" w:rsidP="00393B93"/>
          <w:p w:rsidR="00F57041" w:rsidRPr="000E70DA" w:rsidRDefault="00F57041" w:rsidP="00393B93">
            <w:r>
              <w:t xml:space="preserve">These issues were too numerous to propagate forward to the latest review </w:t>
            </w:r>
            <w:proofErr w:type="gramStart"/>
            <w:r>
              <w:t>document,</w:t>
            </w:r>
            <w:proofErr w:type="gramEnd"/>
            <w:r>
              <w:t xml:space="preserve"> therefore the IP is sending </w:t>
            </w:r>
            <w:r>
              <w:rPr>
                <w:b/>
                <w:bCs/>
                <w:i/>
                <w:iCs/>
              </w:rPr>
              <w:t>both</w:t>
            </w:r>
            <w:r w:rsidR="000E70DA">
              <w:rPr>
                <w:b/>
                <w:bCs/>
                <w:i/>
                <w:iCs/>
              </w:rPr>
              <w:t xml:space="preserve"> documents. </w:t>
            </w:r>
            <w:r w:rsidR="000E70DA">
              <w:t>For additional changes see Bangla-LGR-20180809-IP.</w:t>
            </w:r>
          </w:p>
        </w:tc>
        <w:tc>
          <w:tcPr>
            <w:tcW w:w="2808" w:type="dxa"/>
          </w:tcPr>
          <w:p w:rsidR="00F57041" w:rsidRDefault="00F57041" w:rsidP="00393B93">
            <w:r>
              <w:t>Please review this older document carefully and correct anything that has been flagged in there. (View with tracked changes).</w:t>
            </w:r>
          </w:p>
          <w:p w:rsidR="00F57041" w:rsidRDefault="00F57041" w:rsidP="00393B93"/>
          <w:p w:rsidR="00F57041" w:rsidRDefault="00F57041" w:rsidP="00393B93"/>
        </w:tc>
      </w:tr>
      <w:tr w:rsidR="00A2321F" w:rsidTr="000A53E1">
        <w:tc>
          <w:tcPr>
            <w:tcW w:w="1278" w:type="dxa"/>
          </w:tcPr>
          <w:p w:rsidR="00A2321F" w:rsidRDefault="00921793" w:rsidP="00393B93">
            <w:r>
              <w:t>3.3.6 Nukta</w:t>
            </w:r>
          </w:p>
        </w:tc>
        <w:tc>
          <w:tcPr>
            <w:tcW w:w="5490" w:type="dxa"/>
          </w:tcPr>
          <w:p w:rsidR="00A2321F" w:rsidRDefault="00921793" w:rsidP="00921793">
            <w:r>
              <w:t>S</w:t>
            </w:r>
            <w:r w:rsidRPr="00921793">
              <w:t>ection 3.3.6 "Nukta" is very confusing as it repeats the description of Nukta from the Devanagari proposal verbatim with the Bengali-relevant issues casually inserted. This needs to be cleaned up.</w:t>
            </w:r>
          </w:p>
        </w:tc>
        <w:tc>
          <w:tcPr>
            <w:tcW w:w="2808" w:type="dxa"/>
          </w:tcPr>
          <w:p w:rsidR="00A2321F" w:rsidRDefault="00921793" w:rsidP="00393B93">
            <w:r>
              <w:t>Remove text not specific to Bengali.</w:t>
            </w:r>
          </w:p>
        </w:tc>
      </w:tr>
      <w:tr w:rsidR="003A5CC9" w:rsidTr="00FC76FA">
        <w:tc>
          <w:tcPr>
            <w:tcW w:w="1278" w:type="dxa"/>
          </w:tcPr>
          <w:p w:rsidR="003A5CC9" w:rsidRDefault="003A5CC9" w:rsidP="00FC76FA">
            <w:r>
              <w:t>Joiner</w:t>
            </w:r>
          </w:p>
        </w:tc>
        <w:tc>
          <w:tcPr>
            <w:tcW w:w="5490" w:type="dxa"/>
          </w:tcPr>
          <w:p w:rsidR="003A5CC9" w:rsidRPr="00192CE9" w:rsidRDefault="003A5CC9" w:rsidP="00FC76FA">
            <w:pPr>
              <w:spacing w:before="100" w:beforeAutospacing="1" w:after="100" w:afterAutospacing="1"/>
              <w:rPr>
                <w:rFonts w:ascii="Times" w:hAnsi="Times" w:cs="Times New Roman"/>
                <w:sz w:val="20"/>
                <w:szCs w:val="20"/>
                <w:lang w:val="en-GB"/>
              </w:rPr>
            </w:pPr>
            <w:r w:rsidRPr="00192CE9">
              <w:rPr>
                <w:rFonts w:ascii="Candara" w:hAnsi="Candara" w:cs="Times New Roman"/>
                <w:sz w:val="20"/>
                <w:szCs w:val="20"/>
                <w:lang w:val="en-GB"/>
              </w:rPr>
              <w:t>Zero-width joiner and Zero-width non-joiner are not part of the MSR, because the Procedure rules out any CONTEXTJ code points.</w:t>
            </w:r>
          </w:p>
          <w:p w:rsidR="003A5CC9" w:rsidRPr="00192CE9" w:rsidRDefault="003A5CC9" w:rsidP="00FC76FA">
            <w:pPr>
              <w:spacing w:before="100" w:beforeAutospacing="1" w:after="100" w:afterAutospacing="1"/>
              <w:rPr>
                <w:rFonts w:ascii="Times" w:hAnsi="Times" w:cs="Times New Roman"/>
                <w:sz w:val="20"/>
                <w:szCs w:val="20"/>
                <w:lang w:val="en-GB"/>
              </w:rPr>
            </w:pPr>
            <w:r>
              <w:rPr>
                <w:rFonts w:ascii="Candara" w:hAnsi="Candara" w:cs="Times New Roman"/>
                <w:sz w:val="20"/>
                <w:szCs w:val="20"/>
                <w:lang w:val="en-GB"/>
              </w:rPr>
              <w:t>However, t</w:t>
            </w:r>
            <w:r w:rsidRPr="00192CE9">
              <w:rPr>
                <w:rFonts w:ascii="Candara" w:hAnsi="Candara" w:cs="Times New Roman"/>
                <w:sz w:val="20"/>
                <w:szCs w:val="20"/>
                <w:lang w:val="en-GB"/>
              </w:rPr>
              <w:t>hese code points are commonly used in Indic scripts to control the formation of conjuncts. That means that not incorporating them into an LGR prevents certain terms from being displayed and/or represented correctly.</w:t>
            </w:r>
          </w:p>
          <w:p w:rsidR="003A5CC9" w:rsidRDefault="003A5CC9" w:rsidP="00FC76FA">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W</w:t>
            </w:r>
            <w:r w:rsidRPr="00192CE9">
              <w:rPr>
                <w:rFonts w:ascii="Candara" w:hAnsi="Candara" w:cs="Times New Roman"/>
                <w:sz w:val="20"/>
                <w:szCs w:val="20"/>
                <w:lang w:val="en-GB"/>
              </w:rPr>
              <w:t xml:space="preserve">e do have in all </w:t>
            </w:r>
            <w:proofErr w:type="spellStart"/>
            <w:r w:rsidRPr="00192CE9">
              <w:rPr>
                <w:rFonts w:ascii="Candara" w:hAnsi="Candara" w:cs="Times New Roman"/>
                <w:sz w:val="20"/>
                <w:szCs w:val="20"/>
                <w:lang w:val="en-GB"/>
              </w:rPr>
              <w:t>NeoB</w:t>
            </w:r>
            <w:proofErr w:type="spellEnd"/>
            <w:r w:rsidRPr="00192CE9">
              <w:rPr>
                <w:rFonts w:ascii="Candara" w:hAnsi="Candara" w:cs="Times New Roman"/>
                <w:sz w:val="20"/>
                <w:szCs w:val="20"/>
                <w:lang w:val="en-GB"/>
              </w:rPr>
              <w:t xml:space="preserve"> LGRs a part (</w:t>
            </w:r>
            <w:r>
              <w:rPr>
                <w:rFonts w:ascii="Candara" w:hAnsi="Candara" w:cs="Times New Roman"/>
                <w:sz w:val="20"/>
                <w:szCs w:val="20"/>
                <w:lang w:val="en-GB"/>
              </w:rPr>
              <w:t>§</w:t>
            </w:r>
            <w:r w:rsidRPr="00192CE9">
              <w:rPr>
                <w:rFonts w:ascii="Candara" w:hAnsi="Candara" w:cs="Times New Roman"/>
                <w:sz w:val="20"/>
                <w:szCs w:val="20"/>
                <w:lang w:val="en-GB"/>
              </w:rPr>
              <w:t xml:space="preserve"> 3) that purports to give the background information for the script; these chapters go into great details on things like the early </w:t>
            </w:r>
            <w:proofErr w:type="gramStart"/>
            <w:r w:rsidRPr="00192CE9">
              <w:rPr>
                <w:rFonts w:ascii="Candara" w:hAnsi="Candara" w:cs="Times New Roman"/>
                <w:sz w:val="20"/>
                <w:szCs w:val="20"/>
                <w:lang w:val="en-GB"/>
              </w:rPr>
              <w:t>history, but</w:t>
            </w:r>
            <w:proofErr w:type="gramEnd"/>
            <w:r w:rsidRPr="00192CE9">
              <w:rPr>
                <w:rFonts w:ascii="Candara" w:hAnsi="Candara" w:cs="Times New Roman"/>
                <w:sz w:val="20"/>
                <w:szCs w:val="20"/>
                <w:lang w:val="en-GB"/>
              </w:rPr>
              <w:t xml:space="preserve"> are </w:t>
            </w:r>
            <w:r w:rsidRPr="00192CE9">
              <w:rPr>
                <w:rFonts w:ascii="Candara" w:hAnsi="Candara" w:cs="Times New Roman"/>
                <w:sz w:val="20"/>
                <w:szCs w:val="20"/>
                <w:lang w:val="en-GB"/>
              </w:rPr>
              <w:lastRenderedPageBreak/>
              <w:t>curiously silent on the joiner characters.</w:t>
            </w:r>
          </w:p>
          <w:p w:rsidR="003A5CC9" w:rsidRDefault="003A5CC9" w:rsidP="00FC76FA"/>
          <w:p w:rsidR="003A5CC9" w:rsidRDefault="003A5CC9" w:rsidP="00FC76FA">
            <w:r>
              <w:t>We understand there is a brief mention in section 7.1.1, but it is not solely focused on joiner characters.</w:t>
            </w:r>
          </w:p>
        </w:tc>
        <w:tc>
          <w:tcPr>
            <w:tcW w:w="2808" w:type="dxa"/>
          </w:tcPr>
          <w:p w:rsidR="003A5CC9" w:rsidRDefault="003A5CC9" w:rsidP="00FC76FA">
            <w:r>
              <w:lastRenderedPageBreak/>
              <w:t>Please add.</w:t>
            </w:r>
          </w:p>
        </w:tc>
      </w:tr>
      <w:tr w:rsidR="00E458A7" w:rsidRPr="004319D6" w:rsidTr="007B1FA1">
        <w:tc>
          <w:tcPr>
            <w:tcW w:w="1278" w:type="dxa"/>
          </w:tcPr>
          <w:p w:rsidR="00E458A7" w:rsidRPr="004319D6" w:rsidRDefault="00E458A7" w:rsidP="00FC76FA">
            <w:pPr>
              <w:spacing w:after="200" w:line="276" w:lineRule="auto"/>
            </w:pPr>
          </w:p>
        </w:tc>
        <w:tc>
          <w:tcPr>
            <w:tcW w:w="5490" w:type="dxa"/>
          </w:tcPr>
          <w:p w:rsidR="00E458A7" w:rsidRPr="004319D6" w:rsidRDefault="00E458A7" w:rsidP="00FC76FA">
            <w:pPr>
              <w:spacing w:after="200" w:line="276" w:lineRule="auto"/>
            </w:pPr>
          </w:p>
        </w:tc>
        <w:tc>
          <w:tcPr>
            <w:tcW w:w="2808" w:type="dxa"/>
          </w:tcPr>
          <w:p w:rsidR="00E458A7" w:rsidRPr="004319D6" w:rsidRDefault="00E458A7" w:rsidP="00E458A7">
            <w:pPr>
              <w:spacing w:after="200" w:line="276" w:lineRule="auto"/>
            </w:pPr>
          </w:p>
        </w:tc>
      </w:tr>
      <w:tr w:rsidR="000A53E1" w:rsidTr="000A53E1">
        <w:tc>
          <w:tcPr>
            <w:tcW w:w="1278" w:type="dxa"/>
          </w:tcPr>
          <w:p w:rsidR="000A53E1" w:rsidRDefault="000A53E1" w:rsidP="00FC76FA">
            <w:r>
              <w:t>References</w:t>
            </w:r>
          </w:p>
        </w:tc>
        <w:tc>
          <w:tcPr>
            <w:tcW w:w="5490" w:type="dxa"/>
          </w:tcPr>
          <w:p w:rsidR="000A53E1" w:rsidRDefault="000A53E1" w:rsidP="000A53E1">
            <w:pPr>
              <w:pStyle w:val="ListParagraph"/>
              <w:numPr>
                <w:ilvl w:val="0"/>
                <w:numId w:val="9"/>
              </w:numPr>
              <w:ind w:left="228" w:hanging="270"/>
            </w:pPr>
            <w:r>
              <w:t>For websites, please indicate the name of the Website (e.g. Omniglot) as well as page title in addition to the URL. As appropriate, prove an “accessed on” date. If a document has an identified author, publishing date, or serial number, please list these, even if that information is somehow also encoded in the URL.</w:t>
            </w:r>
          </w:p>
          <w:p w:rsidR="00E31CE8" w:rsidRDefault="00E31CE8" w:rsidP="000A53E1">
            <w:pPr>
              <w:pStyle w:val="ListParagraph"/>
              <w:numPr>
                <w:ilvl w:val="0"/>
                <w:numId w:val="9"/>
              </w:numPr>
              <w:ind w:left="228" w:hanging="270"/>
            </w:pPr>
            <w:r>
              <w:t>[108] this seems to be incomplete – same issue in XML</w:t>
            </w:r>
          </w:p>
        </w:tc>
        <w:tc>
          <w:tcPr>
            <w:tcW w:w="2808" w:type="dxa"/>
          </w:tcPr>
          <w:p w:rsidR="000A53E1" w:rsidRDefault="000A53E1" w:rsidP="00FC76FA">
            <w:r>
              <w:t>Please make edits as suggested</w:t>
            </w:r>
          </w:p>
        </w:tc>
      </w:tr>
    </w:tbl>
    <w:p w:rsidR="00A2321F" w:rsidRDefault="00A2321F" w:rsidP="00393B93"/>
    <w:p w:rsidR="00E31CE8" w:rsidRDefault="00E31CE8" w:rsidP="007A7311">
      <w:pPr>
        <w:pStyle w:val="Heading2"/>
      </w:pPr>
      <w:proofErr w:type="spellStart"/>
      <w:r>
        <w:t>Ya-phala</w:t>
      </w:r>
      <w:r w:rsidR="007B1FA1">
        <w:t>a</w:t>
      </w:r>
      <w:proofErr w:type="spellEnd"/>
      <w:r>
        <w:t xml:space="preserve"> and </w:t>
      </w:r>
      <w:r w:rsidR="007B1FA1">
        <w:t>Ra-</w:t>
      </w:r>
      <w:proofErr w:type="spellStart"/>
      <w:r w:rsidR="007B1FA1">
        <w:t>phala</w:t>
      </w:r>
      <w:proofErr w:type="spellEnd"/>
      <w:r w:rsidR="007B1FA1">
        <w:t xml:space="preserve"> and </w:t>
      </w:r>
      <w:proofErr w:type="spellStart"/>
      <w:r w:rsidR="007B1FA1">
        <w:t>Repha</w:t>
      </w:r>
      <w:proofErr w:type="spellEnd"/>
      <w:r w:rsidR="007B1FA1">
        <w:t xml:space="preserve"> </w:t>
      </w:r>
      <w:r>
        <w:t>sequences</w:t>
      </w:r>
    </w:p>
    <w:p w:rsidR="00E31CE8" w:rsidRDefault="00E31CE8" w:rsidP="00E31CE8">
      <w:r>
        <w:t xml:space="preserve">These sequences are special in that they allow some code points to appear in contexts not otherwise allowed by the rules. The IP proposes to the GP to merge the description of these from section 7 with the description in section 5, making </w:t>
      </w:r>
      <w:proofErr w:type="gramStart"/>
      <w:r>
        <w:t>new  sub</w:t>
      </w:r>
      <w:proofErr w:type="gramEnd"/>
      <w:r>
        <w:t xml:space="preserve">-sections “3.3.8 </w:t>
      </w:r>
      <w:proofErr w:type="spellStart"/>
      <w:r>
        <w:t>Ya-phala</w:t>
      </w:r>
      <w:proofErr w:type="spellEnd"/>
      <w:r>
        <w:t xml:space="preserve"> Sequences” and “3.3.9 Ra-</w:t>
      </w:r>
      <w:proofErr w:type="spellStart"/>
      <w:r>
        <w:t>phala</w:t>
      </w:r>
      <w:proofErr w:type="spellEnd"/>
      <w:r>
        <w:t xml:space="preserve"> and Ref Sequences”.  </w:t>
      </w:r>
      <w:r w:rsidR="007B1FA1">
        <w:t>(See editorial suggestions on pp 46-47 of the marked up document)</w:t>
      </w:r>
    </w:p>
    <w:p w:rsidR="00E31CE8" w:rsidRDefault="00E31CE8" w:rsidP="00E31CE8">
      <w:r>
        <w:t>This would be the best place to describe how these sequences work in the context of the script.</w:t>
      </w:r>
    </w:p>
    <w:p w:rsidR="00E31CE8" w:rsidRDefault="00E31CE8" w:rsidP="00E31CE8">
      <w:r>
        <w:t xml:space="preserve">As we will see, the </w:t>
      </w:r>
      <w:proofErr w:type="spellStart"/>
      <w:r>
        <w:t>ya-phala</w:t>
      </w:r>
      <w:proofErr w:type="spellEnd"/>
      <w:r>
        <w:t xml:space="preserve"> or VHCM sequences should be listed in the repertoire. They are currently listed in a separate table; that table can be merged with the main table or kept separate, as long as it is clear that these sequences are members of the repertoire.  Also: Add the sequences to the XML file.</w:t>
      </w:r>
    </w:p>
    <w:p w:rsidR="00E31CE8" w:rsidRDefault="00B55487" w:rsidP="00E31CE8">
      <w:r>
        <w:t>If that is done s</w:t>
      </w:r>
      <w:r w:rsidR="00E31CE8">
        <w:t>ome of the context rules that become unnecessary.</w:t>
      </w:r>
    </w:p>
    <w:p w:rsidR="00E31CE8" w:rsidRDefault="00E31CE8" w:rsidP="00E31CE8">
      <w:r>
        <w:t>The following two rules can be deleted from the XML.  V1 H C1 M1 will be allowed because all valid combinations will be listed as a sequence in the repertoire (and context rules are not evaluated inside a sequence).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5"/>
        <w:gridCol w:w="3401"/>
        <w:gridCol w:w="3524"/>
      </w:tblGrid>
      <w:tr w:rsidR="00E31CE8" w:rsidRPr="00E31CE8" w:rsidTr="00E31CE8">
        <w:trPr>
          <w:tblCellSpacing w:w="15" w:type="dxa"/>
        </w:trPr>
        <w:tc>
          <w:tcPr>
            <w:tcW w:w="0" w:type="auto"/>
            <w:vAlign w:val="center"/>
            <w:hideMark/>
          </w:tcPr>
          <w:p w:rsidR="00E31CE8" w:rsidRPr="00E31CE8" w:rsidRDefault="00E31CE8" w:rsidP="00E31CE8">
            <w:r w:rsidRPr="00E31CE8">
              <w:t>precedes-V1-and-follows-C1-and-M1</w:t>
            </w:r>
          </w:p>
        </w:tc>
        <w:tc>
          <w:tcPr>
            <w:tcW w:w="0" w:type="auto"/>
            <w:vAlign w:val="center"/>
            <w:hideMark/>
          </w:tcPr>
          <w:p w:rsidR="00E31CE8" w:rsidRPr="00E31CE8" w:rsidRDefault="00E31CE8" w:rsidP="00E31CE8">
            <w:r w:rsidRPr="00E31CE8">
              <w:t>([:</w:t>
            </w:r>
            <w:hyperlink r:id="rId8" w:anchor="class_V1" w:tooltip="Class: V1" w:history="1">
              <w:r w:rsidRPr="00E31CE8">
                <w:rPr>
                  <w:rStyle w:val="Hyperlink"/>
                  <w:b/>
                  <w:bCs/>
                </w:rPr>
                <w:t>V1</w:t>
              </w:r>
            </w:hyperlink>
            <w:r w:rsidRPr="00E31CE8">
              <w:t>:])←</w:t>
            </w:r>
            <w:r w:rsidRPr="00E31CE8">
              <w:rPr>
                <w:rFonts w:ascii="Calibri" w:hAnsi="Calibri" w:cs="Calibri"/>
              </w:rPr>
              <w:t>⚓→([:</w:t>
            </w:r>
            <w:hyperlink r:id="rId9" w:anchor="class_C1" w:tooltip="Class: C1" w:history="1">
              <w:r w:rsidRPr="00E31CE8">
                <w:rPr>
                  <w:rStyle w:val="Hyperlink"/>
                  <w:b/>
                  <w:bCs/>
                </w:rPr>
                <w:t>C1</w:t>
              </w:r>
            </w:hyperlink>
            <w:r w:rsidRPr="00E31CE8">
              <w:t>:][:</w:t>
            </w:r>
            <w:hyperlink r:id="rId10" w:anchor="class_M1" w:tooltip="Class: M1" w:history="1">
              <w:r w:rsidRPr="00E31CE8">
                <w:rPr>
                  <w:rStyle w:val="Hyperlink"/>
                  <w:b/>
                  <w:bCs/>
                </w:rPr>
                <w:t>M1</w:t>
              </w:r>
            </w:hyperlink>
            <w:r w:rsidRPr="00E31CE8">
              <w:t>:])</w:t>
            </w:r>
          </w:p>
        </w:tc>
        <w:tc>
          <w:tcPr>
            <w:tcW w:w="0" w:type="auto"/>
            <w:vAlign w:val="center"/>
            <w:hideMark/>
          </w:tcPr>
          <w:p w:rsidR="00E31CE8" w:rsidRPr="00E31CE8" w:rsidRDefault="00E31CE8" w:rsidP="00E31CE8">
            <w:r w:rsidRPr="00E31CE8">
              <w:t>Section 7, Special case of Halant from WLE 7: H must precede V1 and follow C1 and M1</w:t>
            </w:r>
          </w:p>
        </w:tc>
      </w:tr>
      <w:tr w:rsidR="00E31CE8" w:rsidRPr="00E31CE8" w:rsidTr="00E31CE8">
        <w:trPr>
          <w:tblCellSpacing w:w="15" w:type="dxa"/>
        </w:trPr>
        <w:tc>
          <w:tcPr>
            <w:tcW w:w="0" w:type="auto"/>
            <w:vAlign w:val="center"/>
            <w:hideMark/>
          </w:tcPr>
          <w:p w:rsidR="00E31CE8" w:rsidRPr="00E31CE8" w:rsidRDefault="00E31CE8" w:rsidP="00E31CE8">
            <w:r w:rsidRPr="00E31CE8">
              <w:t>precedes-only-C-or-N-or-precedes-specific-V-and-follows-C1-and-M1</w:t>
            </w:r>
          </w:p>
        </w:tc>
        <w:tc>
          <w:tcPr>
            <w:tcW w:w="0" w:type="auto"/>
            <w:vAlign w:val="center"/>
            <w:hideMark/>
          </w:tcPr>
          <w:p w:rsidR="00E31CE8" w:rsidRPr="00E31CE8" w:rsidRDefault="00E31CE8" w:rsidP="00E31CE8">
            <w:r w:rsidRPr="00E31CE8">
              <w:t>(:</w:t>
            </w:r>
            <w:hyperlink r:id="rId11" w:anchor="rule_follows-only-C-or-N" w:tooltip="Rule: follows-only-C-or-N" w:history="1">
              <w:r w:rsidRPr="00E31CE8">
                <w:rPr>
                  <w:rStyle w:val="Hyperlink"/>
                </w:rPr>
                <w:t>follows-only-C-or-N</w:t>
              </w:r>
            </w:hyperlink>
            <w:r w:rsidRPr="00E31CE8">
              <w:t>:)|(:</w:t>
            </w:r>
            <w:hyperlink r:id="rId12" w:anchor="rule_precedes-V1-and-follows-C1-and-M1" w:tooltip="Rule: precedes-V1-and-follows-C1-and-M1" w:history="1">
              <w:r w:rsidRPr="00E31CE8">
                <w:rPr>
                  <w:rStyle w:val="Hyperlink"/>
                </w:rPr>
                <w:t>precedes-V1-and-follows-C1-and-M1</w:t>
              </w:r>
            </w:hyperlink>
            <w:r w:rsidRPr="00E31CE8">
              <w:t>:)</w:t>
            </w:r>
          </w:p>
        </w:tc>
        <w:tc>
          <w:tcPr>
            <w:tcW w:w="0" w:type="auto"/>
            <w:vAlign w:val="center"/>
            <w:hideMark/>
          </w:tcPr>
          <w:p w:rsidR="00E31CE8" w:rsidRPr="00E31CE8" w:rsidRDefault="00E31CE8" w:rsidP="00E31CE8">
            <w:r w:rsidRPr="00E31CE8">
              <w:t>Section 7, From WLE 2 and 7, H: must be preceded by C or N, or preceded by V1 and followed by C1 and M1</w:t>
            </w:r>
          </w:p>
        </w:tc>
      </w:tr>
    </w:tbl>
    <w:p w:rsidR="00E31CE8" w:rsidRDefault="00E31CE8" w:rsidP="00E31CE8"/>
    <w:p w:rsidR="00E31CE8" w:rsidRDefault="00E31CE8" w:rsidP="00E31CE8">
      <w:r>
        <w:t xml:space="preserve">For the context required for the Khanda Ta, we note that “S” ends in M1 (which is a subset of “M”). Therefore, term </w:t>
      </w:r>
      <w:proofErr w:type="gramStart"/>
      <w:r>
        <w:t>(:S</w:t>
      </w:r>
      <w:proofErr w:type="gramEnd"/>
      <w:r>
        <w:t xml:space="preserve">:) can be </w:t>
      </w:r>
      <w:r w:rsidRPr="007B1FA1">
        <w:rPr>
          <w:u w:val="single"/>
        </w:rPr>
        <w:t>removed</w:t>
      </w:r>
      <w:r>
        <w:t xml:space="preserve"> without any change (and rule “S” can be </w:t>
      </w:r>
      <w:r w:rsidRPr="007B1FA1">
        <w:rPr>
          <w:u w:val="single"/>
        </w:rPr>
        <w:t>deleted</w:t>
      </w:r>
      <w:r w:rsidR="007B1FA1">
        <w:t xml:space="preserve"> entirely</w:t>
      </w:r>
      <w:r w:rsidR="007B1FA1">
        <w:rPr>
          <w:u w:val="single"/>
        </w:rPr>
        <w:t>)</w:t>
      </w:r>
      <w:r>
        <w:t>.</w:t>
      </w:r>
    </w:p>
    <w:p w:rsidR="00E31CE8" w:rsidRDefault="00E31CE8" w:rsidP="00E31CE8">
      <w:r>
        <w:lastRenderedPageBreak/>
        <w:t xml:space="preserve">Rule “P” ensures that a H cannot precede a Z unless it is following a C2. This rule can be </w:t>
      </w:r>
      <w:r w:rsidRPr="007B1FA1">
        <w:rPr>
          <w:u w:val="single"/>
        </w:rPr>
        <w:t>retained</w:t>
      </w:r>
      <w:r>
        <w:t xml:space="preserve">, and term </w:t>
      </w:r>
      <w:proofErr w:type="gramStart"/>
      <w:r>
        <w:t>(:P</w:t>
      </w:r>
      <w:proofErr w:type="gramEnd"/>
      <w:r>
        <w:t xml:space="preserve">:) can likewise be </w:t>
      </w:r>
      <w:r w:rsidRPr="007B1FA1">
        <w:rPr>
          <w:u w:val="single"/>
        </w:rPr>
        <w:t>retained</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4"/>
        <w:gridCol w:w="4827"/>
        <w:gridCol w:w="2899"/>
      </w:tblGrid>
      <w:tr w:rsidR="00E31CE8" w:rsidRPr="00E31CE8" w:rsidTr="00E31CE8">
        <w:trPr>
          <w:tblCellSpacing w:w="15" w:type="dxa"/>
        </w:trPr>
        <w:tc>
          <w:tcPr>
            <w:tcW w:w="0" w:type="auto"/>
            <w:vAlign w:val="center"/>
            <w:hideMark/>
          </w:tcPr>
          <w:p w:rsidR="00E31CE8" w:rsidRPr="00E31CE8" w:rsidRDefault="00E31CE8" w:rsidP="00E31CE8">
            <w:bookmarkStart w:id="1" w:name="rule_S"/>
            <w:r w:rsidRPr="00E31CE8">
              <w:t>S</w:t>
            </w:r>
            <w:bookmarkEnd w:id="1"/>
          </w:p>
        </w:tc>
        <w:tc>
          <w:tcPr>
            <w:tcW w:w="0" w:type="auto"/>
            <w:vAlign w:val="center"/>
            <w:hideMark/>
          </w:tcPr>
          <w:p w:rsidR="00E31CE8" w:rsidRPr="00E31CE8" w:rsidRDefault="00E31CE8" w:rsidP="00E31CE8">
            <w:r w:rsidRPr="00E31CE8">
              <w:t>[:</w:t>
            </w:r>
            <w:hyperlink r:id="rId13" w:anchor="class_V1" w:tooltip="Class: V1" w:history="1">
              <w:r w:rsidRPr="00E31CE8">
                <w:rPr>
                  <w:rStyle w:val="Hyperlink"/>
                  <w:b/>
                  <w:bCs/>
                </w:rPr>
                <w:t>V1</w:t>
              </w:r>
            </w:hyperlink>
            <w:r w:rsidRPr="00E31CE8">
              <w:t>:][:</w:t>
            </w:r>
            <w:hyperlink r:id="rId14" w:anchor="class_H" w:tooltip="Class: H" w:history="1">
              <w:r w:rsidRPr="00E31CE8">
                <w:rPr>
                  <w:rStyle w:val="Hyperlink"/>
                  <w:b/>
                  <w:bCs/>
                </w:rPr>
                <w:t>H</w:t>
              </w:r>
            </w:hyperlink>
            <w:r w:rsidRPr="00E31CE8">
              <w:t>:][:</w:t>
            </w:r>
            <w:hyperlink r:id="rId15" w:anchor="class_C1" w:tooltip="Class: C1" w:history="1">
              <w:r w:rsidRPr="00E31CE8">
                <w:rPr>
                  <w:rStyle w:val="Hyperlink"/>
                  <w:b/>
                  <w:bCs/>
                </w:rPr>
                <w:t>C1</w:t>
              </w:r>
            </w:hyperlink>
            <w:r w:rsidRPr="00E31CE8">
              <w:t>:][:</w:t>
            </w:r>
            <w:hyperlink r:id="rId16" w:anchor="class_M1" w:tooltip="Class: M1" w:history="1">
              <w:r w:rsidRPr="00E31CE8">
                <w:rPr>
                  <w:rStyle w:val="Hyperlink"/>
                  <w:b/>
                  <w:bCs/>
                </w:rPr>
                <w:t>M1</w:t>
              </w:r>
            </w:hyperlink>
            <w:r w:rsidRPr="00E31CE8">
              <w:t>:]</w:t>
            </w:r>
          </w:p>
        </w:tc>
        <w:tc>
          <w:tcPr>
            <w:tcW w:w="0" w:type="auto"/>
            <w:vAlign w:val="center"/>
            <w:hideMark/>
          </w:tcPr>
          <w:p w:rsidR="00E31CE8" w:rsidRPr="00E31CE8" w:rsidRDefault="00E31CE8" w:rsidP="00E31CE8">
            <w:r w:rsidRPr="00E31CE8">
              <w:t>Section 7, WLE 7: Z: must be preceded by V, C, N, M, D, B, X, S or P</w:t>
            </w:r>
          </w:p>
        </w:tc>
      </w:tr>
      <w:tr w:rsidR="00E31CE8" w:rsidRPr="00E31CE8" w:rsidTr="00E31CE8">
        <w:trPr>
          <w:tblCellSpacing w:w="15" w:type="dxa"/>
        </w:trPr>
        <w:tc>
          <w:tcPr>
            <w:tcW w:w="0" w:type="auto"/>
            <w:vAlign w:val="center"/>
            <w:hideMark/>
          </w:tcPr>
          <w:p w:rsidR="00E31CE8" w:rsidRPr="00E31CE8" w:rsidRDefault="00E31CE8" w:rsidP="00E31CE8">
            <w:bookmarkStart w:id="2" w:name="rule_P"/>
            <w:r w:rsidRPr="00E31CE8">
              <w:t>P</w:t>
            </w:r>
            <w:bookmarkEnd w:id="2"/>
          </w:p>
        </w:tc>
        <w:tc>
          <w:tcPr>
            <w:tcW w:w="0" w:type="auto"/>
            <w:vAlign w:val="center"/>
            <w:hideMark/>
          </w:tcPr>
          <w:p w:rsidR="00E31CE8" w:rsidRPr="00E31CE8" w:rsidRDefault="00E31CE8" w:rsidP="00E31CE8">
            <w:r w:rsidRPr="00E31CE8">
              <w:t>[:</w:t>
            </w:r>
            <w:hyperlink r:id="rId17" w:anchor="class_C2" w:tooltip="Class: C2" w:history="1">
              <w:r w:rsidRPr="00E31CE8">
                <w:rPr>
                  <w:rStyle w:val="Hyperlink"/>
                  <w:b/>
                  <w:bCs/>
                </w:rPr>
                <w:t>C2</w:t>
              </w:r>
            </w:hyperlink>
            <w:r w:rsidRPr="00E31CE8">
              <w:t>:][:</w:t>
            </w:r>
            <w:hyperlink r:id="rId18" w:anchor="class_H" w:tooltip="Class: H" w:history="1">
              <w:r w:rsidRPr="00E31CE8">
                <w:rPr>
                  <w:rStyle w:val="Hyperlink"/>
                  <w:b/>
                  <w:bCs/>
                </w:rPr>
                <w:t>H</w:t>
              </w:r>
            </w:hyperlink>
            <w:r w:rsidRPr="00E31CE8">
              <w:t>:]</w:t>
            </w:r>
          </w:p>
        </w:tc>
        <w:tc>
          <w:tcPr>
            <w:tcW w:w="0" w:type="auto"/>
            <w:vAlign w:val="center"/>
            <w:hideMark/>
          </w:tcPr>
          <w:p w:rsidR="00E31CE8" w:rsidRPr="00E31CE8" w:rsidRDefault="00E31CE8" w:rsidP="00E31CE8">
            <w:r w:rsidRPr="00E31CE8">
              <w:t>Section 7, WLE 7: Z: must be preceded by V, C, N, M, D, B, X, S or P</w:t>
            </w:r>
          </w:p>
        </w:tc>
      </w:tr>
      <w:tr w:rsidR="00E31CE8" w:rsidRPr="00E31CE8" w:rsidTr="00E31CE8">
        <w:trPr>
          <w:tblCellSpacing w:w="15" w:type="dxa"/>
        </w:trPr>
        <w:tc>
          <w:tcPr>
            <w:tcW w:w="0" w:type="auto"/>
            <w:vAlign w:val="center"/>
            <w:hideMark/>
          </w:tcPr>
          <w:p w:rsidR="00E31CE8" w:rsidRPr="00E31CE8" w:rsidRDefault="00E31CE8" w:rsidP="00E31CE8">
            <w:bookmarkStart w:id="3" w:name="rule_follows-only-V-C-N-M-D-B-X-S-or-P"/>
            <w:r w:rsidRPr="00E31CE8">
              <w:t>follows-only-V-C-N-M-D-B-X-S-or-P</w:t>
            </w:r>
            <w:bookmarkEnd w:id="3"/>
          </w:p>
        </w:tc>
        <w:tc>
          <w:tcPr>
            <w:tcW w:w="0" w:type="auto"/>
            <w:vAlign w:val="center"/>
            <w:hideMark/>
          </w:tcPr>
          <w:p w:rsidR="00E31CE8" w:rsidRPr="00E31CE8" w:rsidRDefault="00E31CE8" w:rsidP="00E31CE8">
            <w:r w:rsidRPr="00E31CE8">
              <w:t>([:</w:t>
            </w:r>
            <w:hyperlink r:id="rId19" w:anchor="class_V" w:tooltip="Class: V" w:history="1">
              <w:r w:rsidRPr="00E31CE8">
                <w:rPr>
                  <w:rStyle w:val="Hyperlink"/>
                  <w:b/>
                  <w:bCs/>
                </w:rPr>
                <w:t>V</w:t>
              </w:r>
            </w:hyperlink>
            <w:r w:rsidRPr="00E31CE8">
              <w:t>:]|[:</w:t>
            </w:r>
            <w:hyperlink r:id="rId20" w:anchor="class_C" w:tooltip="Class: C" w:history="1">
              <w:r w:rsidRPr="00E31CE8">
                <w:rPr>
                  <w:rStyle w:val="Hyperlink"/>
                  <w:b/>
                  <w:bCs/>
                </w:rPr>
                <w:t>C</w:t>
              </w:r>
            </w:hyperlink>
            <w:r w:rsidRPr="00E31CE8">
              <w:t>:]|[:</w:t>
            </w:r>
            <w:hyperlink r:id="rId21" w:anchor="class_N" w:tooltip="Class: N" w:history="1">
              <w:r w:rsidRPr="00E31CE8">
                <w:rPr>
                  <w:rStyle w:val="Hyperlink"/>
                  <w:b/>
                  <w:bCs/>
                </w:rPr>
                <w:t>N</w:t>
              </w:r>
            </w:hyperlink>
            <w:r w:rsidRPr="00E31CE8">
              <w:t>:]|[:</w:t>
            </w:r>
            <w:hyperlink r:id="rId22" w:anchor="class_M" w:tooltip="Class: M" w:history="1">
              <w:r w:rsidRPr="00E31CE8">
                <w:rPr>
                  <w:rStyle w:val="Hyperlink"/>
                  <w:b/>
                  <w:bCs/>
                </w:rPr>
                <w:t>M</w:t>
              </w:r>
            </w:hyperlink>
            <w:r w:rsidRPr="00E31CE8">
              <w:t>:]|[:</w:t>
            </w:r>
            <w:hyperlink r:id="rId23" w:anchor="class_D" w:tooltip="Class: D" w:history="1">
              <w:r w:rsidRPr="00E31CE8">
                <w:rPr>
                  <w:rStyle w:val="Hyperlink"/>
                  <w:b/>
                  <w:bCs/>
                </w:rPr>
                <w:t>D</w:t>
              </w:r>
            </w:hyperlink>
            <w:r w:rsidRPr="00E31CE8">
              <w:t>:]|[:</w:t>
            </w:r>
            <w:hyperlink r:id="rId24" w:anchor="class_B" w:tooltip="Class: B" w:history="1">
              <w:r w:rsidRPr="00E31CE8">
                <w:rPr>
                  <w:rStyle w:val="Hyperlink"/>
                  <w:b/>
                  <w:bCs/>
                </w:rPr>
                <w:t>B</w:t>
              </w:r>
            </w:hyperlink>
            <w:r w:rsidRPr="00E31CE8">
              <w:t>:]|[:</w:t>
            </w:r>
            <w:hyperlink r:id="rId25" w:anchor="class_X" w:tooltip="Class: X" w:history="1">
              <w:r w:rsidRPr="00E31CE8">
                <w:rPr>
                  <w:rStyle w:val="Hyperlink"/>
                  <w:b/>
                  <w:bCs/>
                </w:rPr>
                <w:t>X</w:t>
              </w:r>
            </w:hyperlink>
            <w:r w:rsidRPr="00E31CE8">
              <w:t>:]|(:</w:t>
            </w:r>
            <w:hyperlink r:id="rId26" w:anchor="rule_S" w:tooltip="Rule: S" w:history="1">
              <w:r w:rsidRPr="00E31CE8">
                <w:rPr>
                  <w:rStyle w:val="Hyperlink"/>
                </w:rPr>
                <w:t>S</w:t>
              </w:r>
            </w:hyperlink>
            <w:r w:rsidRPr="00E31CE8">
              <w:t>:)|(:</w:t>
            </w:r>
            <w:hyperlink r:id="rId27" w:anchor="rule_P" w:tooltip="Rule: P" w:history="1">
              <w:r w:rsidRPr="00E31CE8">
                <w:rPr>
                  <w:rStyle w:val="Hyperlink"/>
                </w:rPr>
                <w:t>P</w:t>
              </w:r>
            </w:hyperlink>
            <w:r w:rsidRPr="00E31CE8">
              <w:t>:))←</w:t>
            </w:r>
            <w:r w:rsidRPr="00E31CE8">
              <w:rPr>
                <w:rFonts w:ascii="Calibri" w:hAnsi="Calibri" w:cs="Calibri"/>
              </w:rPr>
              <w:t>⚓</w:t>
            </w:r>
          </w:p>
        </w:tc>
        <w:tc>
          <w:tcPr>
            <w:tcW w:w="0" w:type="auto"/>
            <w:vAlign w:val="center"/>
            <w:hideMark/>
          </w:tcPr>
          <w:p w:rsidR="00E31CE8" w:rsidRPr="00E31CE8" w:rsidRDefault="00E31CE8" w:rsidP="00E31CE8">
            <w:r w:rsidRPr="00E31CE8">
              <w:t>Section 7, WLE 7: Z: must be preceded by V, C, N, M, D, B, X, S or P</w:t>
            </w:r>
          </w:p>
        </w:tc>
      </w:tr>
    </w:tbl>
    <w:p w:rsidR="00E31CE8" w:rsidRDefault="00E31CE8" w:rsidP="00E31CE8"/>
    <w:p w:rsidR="00E31CE8" w:rsidRDefault="00E31CE8" w:rsidP="00E31CE8">
      <w:r>
        <w:t xml:space="preserve">The </w:t>
      </w:r>
      <w:proofErr w:type="spellStart"/>
      <w:r>
        <w:t>ya-phala</w:t>
      </w:r>
      <w:proofErr w:type="spellEnd"/>
      <w:r>
        <w:t xml:space="preserve"> sequences begin with a “V1”, therefore they need a context rule that is appropriate for their first code point</w:t>
      </w:r>
      <w:r w:rsidR="006C658B">
        <w:t>,</w:t>
      </w:r>
      <w:r>
        <w:t xml:space="preserve"> which is the same rule as for V (as “not-when” rule):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55"/>
        <w:gridCol w:w="4770"/>
        <w:gridCol w:w="2880"/>
      </w:tblGrid>
      <w:tr w:rsidR="00E31CE8" w:rsidRPr="00E31CE8" w:rsidTr="00E31CE8">
        <w:trPr>
          <w:tblCellSpacing w:w="15" w:type="dxa"/>
        </w:trPr>
        <w:tc>
          <w:tcPr>
            <w:tcW w:w="1710" w:type="dxa"/>
            <w:vAlign w:val="center"/>
            <w:hideMark/>
          </w:tcPr>
          <w:p w:rsidR="00E31CE8" w:rsidRPr="00E31CE8" w:rsidRDefault="00E31CE8" w:rsidP="00E31CE8">
            <w:bookmarkStart w:id="4" w:name="rule_preceded-by-H"/>
            <w:r w:rsidRPr="00E31CE8">
              <w:t>preceded-by-H</w:t>
            </w:r>
            <w:bookmarkEnd w:id="4"/>
          </w:p>
        </w:tc>
        <w:tc>
          <w:tcPr>
            <w:tcW w:w="4740" w:type="dxa"/>
            <w:vAlign w:val="center"/>
            <w:hideMark/>
          </w:tcPr>
          <w:p w:rsidR="00E31CE8" w:rsidRPr="00E31CE8" w:rsidRDefault="00E31CE8" w:rsidP="00E31CE8">
            <w:r w:rsidRPr="00E31CE8">
              <w:t>([:</w:t>
            </w:r>
            <w:hyperlink r:id="rId28" w:anchor="class_H" w:tooltip="Class: H" w:history="1">
              <w:r w:rsidRPr="00E31CE8">
                <w:rPr>
                  <w:rStyle w:val="Hyperlink"/>
                  <w:b/>
                  <w:bCs/>
                </w:rPr>
                <w:t>H</w:t>
              </w:r>
            </w:hyperlink>
            <w:r w:rsidRPr="00E31CE8">
              <w:t>:])←</w:t>
            </w:r>
            <w:r w:rsidRPr="00E31CE8">
              <w:rPr>
                <w:rFonts w:ascii="Calibri" w:hAnsi="Calibri" w:cs="Calibri"/>
              </w:rPr>
              <w:t>⚓</w:t>
            </w:r>
          </w:p>
        </w:tc>
        <w:tc>
          <w:tcPr>
            <w:tcW w:w="2835" w:type="dxa"/>
            <w:vAlign w:val="center"/>
            <w:hideMark/>
          </w:tcPr>
          <w:p w:rsidR="00E31CE8" w:rsidRPr="00E31CE8" w:rsidRDefault="00E31CE8" w:rsidP="00E31CE8">
            <w:r w:rsidRPr="00E31CE8">
              <w:t>Section 7, WLE 8: V: cannot be preceded by H</w:t>
            </w:r>
          </w:p>
        </w:tc>
      </w:tr>
    </w:tbl>
    <w:p w:rsidR="00E31CE8" w:rsidRDefault="00E31CE8" w:rsidP="00E31CE8"/>
    <w:p w:rsidR="00E31CE8" w:rsidRDefault="00E31CE8" w:rsidP="00E31CE8">
      <w:r>
        <w:t xml:space="preserve">M normally does not have a right-hand-side context, so the </w:t>
      </w:r>
      <w:proofErr w:type="spellStart"/>
      <w:r>
        <w:t>ya-phala</w:t>
      </w:r>
      <w:proofErr w:type="spellEnd"/>
      <w:r>
        <w:t xml:space="preserve"> sequences, which end in “M1” also need no right-hand-side context.</w:t>
      </w:r>
    </w:p>
    <w:p w:rsidR="00E31CE8" w:rsidRDefault="00E31CE8" w:rsidP="00E31CE8">
      <w:r>
        <w:t>The Ra-</w:t>
      </w:r>
      <w:proofErr w:type="spellStart"/>
      <w:r>
        <w:t>phala</w:t>
      </w:r>
      <w:proofErr w:type="spellEnd"/>
      <w:r>
        <w:t xml:space="preserve"> is a C H C2 sequence and thus does not require special treatment in the WLE rules. The Ref is a C2 H C sequence, which also needs no special treatment, other than allowing a “Z” (Khanda Ta) in place of the trailing “C”.</w:t>
      </w:r>
    </w:p>
    <w:p w:rsidR="00E31CE8" w:rsidRDefault="00E31CE8" w:rsidP="00E31CE8">
      <w:r>
        <w:t>Rule P for the Ra-Halant can be kept in Section 7 and the XML, but all the description text should move to section 3 (as suggested above).</w:t>
      </w:r>
    </w:p>
    <w:p w:rsidR="00E31CE8" w:rsidRDefault="00E31CE8" w:rsidP="00E31CE8">
      <w:r>
        <w:t>In rule “7” the term “S” can be deleted as can the &lt;rule by-ref=”S” /&gt; in the XML. Also, note to delete the “S” in the names of any rules in the XML. The context rule for 09CD needs to be changed to “follows-C-or-N” and these two rules “precedes-V1-and-follows-C1-and-M1” and “precedes-only-C-or-N-or-precedes-specific-V-and-follows-C1-and-M1” deleted.</w:t>
      </w:r>
    </w:p>
    <w:p w:rsidR="003A5CC9" w:rsidRDefault="003A5CC9" w:rsidP="00E31CE8">
      <w:r>
        <w:t xml:space="preserve">Summary: </w:t>
      </w:r>
    </w:p>
    <w:p w:rsidR="003A5CC9" w:rsidRDefault="003A5CC9" w:rsidP="003A5CC9">
      <w:pPr>
        <w:pStyle w:val="ListParagraph"/>
        <w:numPr>
          <w:ilvl w:val="0"/>
          <w:numId w:val="11"/>
        </w:numPr>
      </w:pPr>
      <w:r>
        <w:t>Create two subsections in section 3 and collect all description of the linguistic function of the sequences there.</w:t>
      </w:r>
    </w:p>
    <w:p w:rsidR="003A5CC9" w:rsidRDefault="003A5CC9" w:rsidP="003A5CC9">
      <w:pPr>
        <w:pStyle w:val="ListParagraph"/>
        <w:numPr>
          <w:ilvl w:val="0"/>
          <w:numId w:val="11"/>
        </w:numPr>
      </w:pPr>
      <w:r>
        <w:t xml:space="preserve">Keep table of </w:t>
      </w:r>
      <w:proofErr w:type="spellStart"/>
      <w:r>
        <w:t>ya-phala</w:t>
      </w:r>
      <w:proofErr w:type="spellEnd"/>
      <w:r>
        <w:t xml:space="preserve"> sequences and mark them as members of the repertoire</w:t>
      </w:r>
    </w:p>
    <w:p w:rsidR="003A5CC9" w:rsidRDefault="003A5CC9" w:rsidP="003A5CC9">
      <w:pPr>
        <w:pStyle w:val="ListParagraph"/>
        <w:numPr>
          <w:ilvl w:val="0"/>
          <w:numId w:val="11"/>
        </w:numPr>
      </w:pPr>
      <w:r>
        <w:lastRenderedPageBreak/>
        <w:t>Add them to the X</w:t>
      </w:r>
      <w:r w:rsidR="009B3364">
        <w:t>M</w:t>
      </w:r>
      <w:r>
        <w:t>L with context rule same as for V</w:t>
      </w:r>
    </w:p>
    <w:p w:rsidR="003A5CC9" w:rsidRDefault="003A5CC9" w:rsidP="003A5CC9">
      <w:pPr>
        <w:pStyle w:val="ListParagraph"/>
        <w:numPr>
          <w:ilvl w:val="0"/>
          <w:numId w:val="11"/>
        </w:numPr>
      </w:pPr>
      <w:r>
        <w:t>Delete rule “S” from section 7 and XML; delete all references to “S” from rules and names.</w:t>
      </w:r>
    </w:p>
    <w:p w:rsidR="003A5CC9" w:rsidRDefault="003A5CC9" w:rsidP="003A5CC9">
      <w:pPr>
        <w:pStyle w:val="ListParagraph"/>
        <w:numPr>
          <w:ilvl w:val="0"/>
          <w:numId w:val="11"/>
        </w:numPr>
      </w:pPr>
      <w:r>
        <w:t>Keep rule “P”.</w:t>
      </w:r>
    </w:p>
    <w:p w:rsidR="003A5CC9" w:rsidRPr="00E31CE8" w:rsidRDefault="003A5CC9" w:rsidP="003A5CC9">
      <w:pPr>
        <w:pStyle w:val="ListParagraph"/>
        <w:numPr>
          <w:ilvl w:val="0"/>
          <w:numId w:val="11"/>
        </w:numPr>
      </w:pPr>
      <w:r>
        <w:t>Delete two rules in XML related to halant (now taken care of by sequence) and change context rule for 09CD to “follows-only-C-or-N”.</w:t>
      </w:r>
    </w:p>
    <w:p w:rsidR="004319D6" w:rsidRDefault="00921793" w:rsidP="007A7311">
      <w:pPr>
        <w:pStyle w:val="Heading2"/>
      </w:pPr>
      <w:r>
        <w:t>Variants and WLE Rules</w:t>
      </w:r>
    </w:p>
    <w:tbl>
      <w:tblPr>
        <w:tblStyle w:val="TableGrid"/>
        <w:tblW w:w="0" w:type="auto"/>
        <w:tblLook w:val="04A0" w:firstRow="1" w:lastRow="0" w:firstColumn="1" w:lastColumn="0" w:noHBand="0" w:noVBand="1"/>
      </w:tblPr>
      <w:tblGrid>
        <w:gridCol w:w="1102"/>
        <w:gridCol w:w="5484"/>
        <w:gridCol w:w="2990"/>
      </w:tblGrid>
      <w:tr w:rsidR="007B1FA1" w:rsidRPr="00921793" w:rsidTr="00BE3AE5">
        <w:tc>
          <w:tcPr>
            <w:tcW w:w="1102" w:type="dxa"/>
          </w:tcPr>
          <w:p w:rsidR="004319D6" w:rsidRPr="00921793" w:rsidRDefault="004319D6" w:rsidP="0000787B">
            <w:pPr>
              <w:rPr>
                <w:b/>
                <w:bCs/>
              </w:rPr>
            </w:pPr>
            <w:r w:rsidRPr="00921793">
              <w:rPr>
                <w:b/>
                <w:bCs/>
              </w:rPr>
              <w:t>Item</w:t>
            </w:r>
          </w:p>
        </w:tc>
        <w:tc>
          <w:tcPr>
            <w:tcW w:w="5484" w:type="dxa"/>
          </w:tcPr>
          <w:p w:rsidR="004319D6" w:rsidRPr="00921793" w:rsidRDefault="004319D6" w:rsidP="0000787B">
            <w:pPr>
              <w:rPr>
                <w:b/>
                <w:bCs/>
              </w:rPr>
            </w:pPr>
            <w:r w:rsidRPr="00921793">
              <w:rPr>
                <w:b/>
                <w:bCs/>
              </w:rPr>
              <w:t>Issue</w:t>
            </w:r>
          </w:p>
        </w:tc>
        <w:tc>
          <w:tcPr>
            <w:tcW w:w="2990" w:type="dxa"/>
          </w:tcPr>
          <w:p w:rsidR="004319D6" w:rsidRPr="00921793" w:rsidRDefault="004319D6" w:rsidP="0000787B">
            <w:pPr>
              <w:rPr>
                <w:b/>
                <w:bCs/>
              </w:rPr>
            </w:pPr>
            <w:r w:rsidRPr="00921793">
              <w:rPr>
                <w:b/>
                <w:bCs/>
              </w:rPr>
              <w:t>IP Comment</w:t>
            </w:r>
          </w:p>
        </w:tc>
      </w:tr>
      <w:tr w:rsidR="007B1FA1" w:rsidRPr="004319D6" w:rsidTr="00BE3AE5">
        <w:tc>
          <w:tcPr>
            <w:tcW w:w="1102" w:type="dxa"/>
          </w:tcPr>
          <w:p w:rsidR="004319D6" w:rsidRPr="004319D6" w:rsidRDefault="00921793" w:rsidP="004319D6">
            <w:pPr>
              <w:spacing w:after="200" w:line="276" w:lineRule="auto"/>
            </w:pPr>
            <w:r>
              <w:t>Missing Variant</w:t>
            </w:r>
          </w:p>
        </w:tc>
        <w:tc>
          <w:tcPr>
            <w:tcW w:w="5484" w:type="dxa"/>
          </w:tcPr>
          <w:p w:rsidR="004319D6" w:rsidRPr="004319D6" w:rsidRDefault="00921793" w:rsidP="00921793">
            <w:pPr>
              <w:spacing w:after="200" w:line="276" w:lineRule="auto"/>
            </w:pPr>
            <w:r w:rsidRPr="00921793">
              <w:rPr>
                <w:b/>
                <w:bCs/>
              </w:rPr>
              <w:t>Visarga:</w:t>
            </w:r>
            <w:r w:rsidRPr="00921793">
              <w:t xml:space="preserve"> the </w:t>
            </w:r>
            <w:r w:rsidR="00E31CE8" w:rsidRPr="00921793">
              <w:t>Visarga</w:t>
            </w:r>
            <w:r w:rsidRPr="00921793">
              <w:t xml:space="preserve"> </w:t>
            </w:r>
            <w:r>
              <w:t>would seem to make a</w:t>
            </w:r>
            <w:r w:rsidRPr="00921793">
              <w:t xml:space="preserve"> candidate for variant between Bengali and Devanagari (it's not used in Gurmukhi). In both, it is relatively unconstrained and therefore could appear in whole-script variant labels</w:t>
            </w:r>
            <w:r>
              <w:t xml:space="preserve"> made up from other variant code points</w:t>
            </w:r>
            <w:r w:rsidRPr="00921793">
              <w:t>.</w:t>
            </w:r>
          </w:p>
        </w:tc>
        <w:tc>
          <w:tcPr>
            <w:tcW w:w="2990" w:type="dxa"/>
          </w:tcPr>
          <w:p w:rsidR="004319D6" w:rsidRPr="004319D6" w:rsidRDefault="00921793" w:rsidP="004319D6">
            <w:pPr>
              <w:spacing w:after="200" w:line="276" w:lineRule="auto"/>
            </w:pPr>
            <w:r>
              <w:t>Please investigate the Visarga</w:t>
            </w:r>
          </w:p>
        </w:tc>
      </w:tr>
      <w:tr w:rsidR="007B1FA1" w:rsidRPr="004319D6" w:rsidTr="00BE3AE5">
        <w:tc>
          <w:tcPr>
            <w:tcW w:w="1102" w:type="dxa"/>
          </w:tcPr>
          <w:p w:rsidR="003A5CC9" w:rsidRDefault="00B55487" w:rsidP="004319D6">
            <w:r>
              <w:t>Section 7</w:t>
            </w:r>
          </w:p>
        </w:tc>
        <w:tc>
          <w:tcPr>
            <w:tcW w:w="5484" w:type="dxa"/>
          </w:tcPr>
          <w:p w:rsidR="00EA15DD" w:rsidRDefault="00EA15DD" w:rsidP="00AF3AA3">
            <w:r>
              <w:t>This section details 7 restrictions which apply to “</w:t>
            </w:r>
            <w:proofErr w:type="gramStart"/>
            <w:r>
              <w:t>Bengali“</w:t>
            </w:r>
            <w:r w:rsidR="002969A3">
              <w:t xml:space="preserve"> </w:t>
            </w:r>
            <w:r>
              <w:t>(</w:t>
            </w:r>
            <w:proofErr w:type="gramEnd"/>
            <w:r>
              <w:t xml:space="preserve">apparently, the script when used to write Bangla, but not necessarily </w:t>
            </w:r>
            <w:r w:rsidR="002969A3">
              <w:t xml:space="preserve">for </w:t>
            </w:r>
            <w:r>
              <w:t xml:space="preserve">other languages). As such, they should not figure in the Root Zone, at least not without linguistic evidence of their widespread </w:t>
            </w:r>
            <w:r w:rsidR="002969A3">
              <w:t>validity.</w:t>
            </w:r>
          </w:p>
          <w:p w:rsidR="00EA15DD" w:rsidRDefault="00EA15DD" w:rsidP="00AF3AA3"/>
          <w:p w:rsidR="00E75F44" w:rsidRDefault="00E75F44" w:rsidP="00AF3AA3">
            <w:r>
              <w:t>Item 5 appears to require use of Avagraha 09BD. But this is excluded from MSR. Presumably, therefore the “permissible combinations</w:t>
            </w:r>
            <w:r w:rsidR="002969A3">
              <w:t>”</w:t>
            </w:r>
            <w:r>
              <w:t xml:space="preserve"> are not permissible in the root zone.</w:t>
            </w:r>
            <w:r w:rsidR="007B1FA1">
              <w:t xml:space="preserve"> (It is fine to document such features of the script, </w:t>
            </w:r>
            <w:proofErr w:type="gramStart"/>
            <w:r w:rsidR="007B1FA1">
              <w:t>as long as</w:t>
            </w:r>
            <w:proofErr w:type="gramEnd"/>
            <w:r w:rsidR="007B1FA1">
              <w:t xml:space="preserve"> the relation to the Root Zone restriction and/or Root Zone LGR are made clear.)</w:t>
            </w:r>
          </w:p>
          <w:p w:rsidR="00E75F44" w:rsidRDefault="00E75F44" w:rsidP="00AF3AA3"/>
          <w:p w:rsidR="003A5CC9" w:rsidRPr="00E33004" w:rsidRDefault="003A5CC9" w:rsidP="00B55487">
            <w:r>
              <w:t xml:space="preserve">The status of items 6 is unclear. The </w:t>
            </w:r>
            <w:r w:rsidR="007B1FA1">
              <w:t>constraints</w:t>
            </w:r>
            <w:r>
              <w:t xml:space="preserve"> mentioned do not appear in the LGR; are they </w:t>
            </w:r>
            <w:r w:rsidR="00AF3AA3">
              <w:t xml:space="preserve">simply for </w:t>
            </w:r>
            <w:r>
              <w:t>information or are they supposed to be added somehow</w:t>
            </w:r>
            <w:r w:rsidR="00AF3AA3">
              <w:t xml:space="preserve"> to the proposal (.</w:t>
            </w:r>
            <w:proofErr w:type="spellStart"/>
            <w:proofErr w:type="gramStart"/>
            <w:r w:rsidR="00AF3AA3">
              <w:t>docx</w:t>
            </w:r>
            <w:proofErr w:type="spellEnd"/>
            <w:r w:rsidR="00AF3AA3">
              <w:t>,  and.xml</w:t>
            </w:r>
            <w:proofErr w:type="gramEnd"/>
            <w:r w:rsidR="00AF3AA3">
              <w:t>)</w:t>
            </w:r>
            <w:r>
              <w:t>?</w:t>
            </w:r>
          </w:p>
        </w:tc>
        <w:tc>
          <w:tcPr>
            <w:tcW w:w="2990" w:type="dxa"/>
          </w:tcPr>
          <w:p w:rsidR="003A5CC9" w:rsidRDefault="003A5CC9" w:rsidP="004319D6">
            <w:r>
              <w:t>Please clarify status</w:t>
            </w:r>
          </w:p>
        </w:tc>
      </w:tr>
    </w:tbl>
    <w:p w:rsidR="00FC76FA" w:rsidRDefault="00FC76FA"/>
    <w:p w:rsidR="004319D6" w:rsidRDefault="004319D6" w:rsidP="007A7311">
      <w:pPr>
        <w:pStyle w:val="Heading2"/>
      </w:pPr>
      <w:r>
        <w:t>XML file</w:t>
      </w:r>
    </w:p>
    <w:tbl>
      <w:tblPr>
        <w:tblStyle w:val="TableGrid"/>
        <w:tblW w:w="0" w:type="auto"/>
        <w:tblLook w:val="04A0" w:firstRow="1" w:lastRow="0" w:firstColumn="1" w:lastColumn="0" w:noHBand="0" w:noVBand="1"/>
      </w:tblPr>
      <w:tblGrid>
        <w:gridCol w:w="1461"/>
        <w:gridCol w:w="6690"/>
        <w:gridCol w:w="1425"/>
      </w:tblGrid>
      <w:tr w:rsidR="004319D6" w:rsidRPr="004319D6" w:rsidTr="00A57CE4">
        <w:tc>
          <w:tcPr>
            <w:tcW w:w="1461" w:type="dxa"/>
          </w:tcPr>
          <w:p w:rsidR="004319D6" w:rsidRPr="00921793" w:rsidRDefault="004319D6" w:rsidP="0000787B">
            <w:pPr>
              <w:rPr>
                <w:b/>
                <w:bCs/>
              </w:rPr>
            </w:pPr>
            <w:r w:rsidRPr="00921793">
              <w:rPr>
                <w:b/>
                <w:bCs/>
              </w:rPr>
              <w:t>Item</w:t>
            </w:r>
          </w:p>
        </w:tc>
        <w:tc>
          <w:tcPr>
            <w:tcW w:w="6690" w:type="dxa"/>
          </w:tcPr>
          <w:p w:rsidR="004319D6" w:rsidRPr="004319D6" w:rsidRDefault="004319D6" w:rsidP="0000787B">
            <w:pPr>
              <w:rPr>
                <w:b/>
                <w:bCs/>
              </w:rPr>
            </w:pPr>
            <w:r w:rsidRPr="004319D6">
              <w:rPr>
                <w:b/>
                <w:bCs/>
              </w:rPr>
              <w:t>Issue</w:t>
            </w:r>
          </w:p>
        </w:tc>
        <w:tc>
          <w:tcPr>
            <w:tcW w:w="1425" w:type="dxa"/>
          </w:tcPr>
          <w:p w:rsidR="004319D6" w:rsidRPr="004319D6" w:rsidRDefault="004319D6" w:rsidP="0000787B">
            <w:pPr>
              <w:rPr>
                <w:b/>
                <w:bCs/>
              </w:rPr>
            </w:pPr>
            <w:r w:rsidRPr="004319D6">
              <w:rPr>
                <w:b/>
                <w:bCs/>
              </w:rPr>
              <w:t>IP Comment</w:t>
            </w:r>
          </w:p>
        </w:tc>
      </w:tr>
      <w:tr w:rsidR="000924D6" w:rsidRPr="004319D6" w:rsidTr="00A57CE4">
        <w:tc>
          <w:tcPr>
            <w:tcW w:w="1461" w:type="dxa"/>
          </w:tcPr>
          <w:p w:rsidR="000924D6" w:rsidRPr="00921793" w:rsidRDefault="000924D6" w:rsidP="004319D6">
            <w:pPr>
              <w:rPr>
                <w:b/>
                <w:bCs/>
              </w:rPr>
            </w:pPr>
            <w:r>
              <w:rPr>
                <w:b/>
                <w:bCs/>
              </w:rPr>
              <w:t>&lt;description&gt;</w:t>
            </w:r>
          </w:p>
        </w:tc>
        <w:tc>
          <w:tcPr>
            <w:tcW w:w="6690" w:type="dxa"/>
          </w:tcPr>
          <w:p w:rsidR="000924D6" w:rsidRDefault="000924D6" w:rsidP="000924D6">
            <w:pPr>
              <w:pStyle w:val="ListParagraph"/>
              <w:numPr>
                <w:ilvl w:val="0"/>
                <w:numId w:val="13"/>
              </w:numPr>
            </w:pPr>
            <w:r>
              <w:t xml:space="preserve">Because of some sensitivities about the naming of the script, an explanatory sentence is suggested mentioning Assamese </w:t>
            </w:r>
            <w:proofErr w:type="gramStart"/>
            <w:r>
              <w:t>in particular as</w:t>
            </w:r>
            <w:proofErr w:type="gramEnd"/>
            <w:r>
              <w:t xml:space="preserve"> one of the languages covered by this LGR.</w:t>
            </w:r>
          </w:p>
          <w:p w:rsidR="000924D6" w:rsidRDefault="000924D6" w:rsidP="000924D6">
            <w:pPr>
              <w:pStyle w:val="ListParagraph"/>
              <w:numPr>
                <w:ilvl w:val="0"/>
                <w:numId w:val="13"/>
              </w:numPr>
            </w:pPr>
            <w:r>
              <w:t>The section on consonants can be streamlined by removing the details about phonetic classification. Such classification, while traditional, does not affect the way consonants are used in IDNs or in this LGR.</w:t>
            </w:r>
          </w:p>
        </w:tc>
        <w:tc>
          <w:tcPr>
            <w:tcW w:w="1425" w:type="dxa"/>
          </w:tcPr>
          <w:p w:rsidR="000924D6" w:rsidRDefault="000924D6" w:rsidP="004319D6">
            <w:r>
              <w:t>Please note suggested edits.</w:t>
            </w:r>
          </w:p>
        </w:tc>
      </w:tr>
      <w:tr w:rsidR="004319D6" w:rsidRPr="004319D6" w:rsidTr="00A57CE4">
        <w:tc>
          <w:tcPr>
            <w:tcW w:w="1461" w:type="dxa"/>
          </w:tcPr>
          <w:p w:rsidR="004319D6" w:rsidRPr="00921793" w:rsidRDefault="004319D6" w:rsidP="004319D6">
            <w:pPr>
              <w:spacing w:after="200" w:line="276" w:lineRule="auto"/>
              <w:rPr>
                <w:b/>
                <w:bCs/>
              </w:rPr>
            </w:pPr>
            <w:r w:rsidRPr="00921793">
              <w:rPr>
                <w:b/>
                <w:bCs/>
              </w:rPr>
              <w:t>&lt;references&gt;</w:t>
            </w:r>
          </w:p>
        </w:tc>
        <w:tc>
          <w:tcPr>
            <w:tcW w:w="6690" w:type="dxa"/>
          </w:tcPr>
          <w:p w:rsidR="004319D6" w:rsidRPr="004319D6" w:rsidRDefault="004319D6" w:rsidP="004319D6">
            <w:pPr>
              <w:spacing w:after="200" w:line="276" w:lineRule="auto"/>
            </w:pPr>
            <w:r>
              <w:t>online references are bare URLs, need Website name, Page title, and, if identified authors/editors, plus “accessed on” date.</w:t>
            </w:r>
            <w:r w:rsidR="00796674">
              <w:t xml:space="preserve"> Reference 108 appears incomplete</w:t>
            </w:r>
          </w:p>
        </w:tc>
        <w:tc>
          <w:tcPr>
            <w:tcW w:w="1425" w:type="dxa"/>
          </w:tcPr>
          <w:p w:rsidR="004319D6" w:rsidRPr="004319D6" w:rsidRDefault="004319D6" w:rsidP="004319D6">
            <w:pPr>
              <w:spacing w:after="200" w:line="276" w:lineRule="auto"/>
            </w:pPr>
            <w:r>
              <w:t>Please complete references</w:t>
            </w:r>
          </w:p>
        </w:tc>
      </w:tr>
      <w:tr w:rsidR="004319D6" w:rsidRPr="004319D6" w:rsidTr="00A57CE4">
        <w:tc>
          <w:tcPr>
            <w:tcW w:w="1461" w:type="dxa"/>
          </w:tcPr>
          <w:p w:rsidR="004319D6" w:rsidRPr="00921793" w:rsidRDefault="004319D6" w:rsidP="004319D6">
            <w:pPr>
              <w:spacing w:after="200" w:line="276" w:lineRule="auto"/>
              <w:rPr>
                <w:b/>
                <w:bCs/>
              </w:rPr>
            </w:pPr>
            <w:r w:rsidRPr="00921793">
              <w:rPr>
                <w:b/>
                <w:bCs/>
              </w:rPr>
              <w:lastRenderedPageBreak/>
              <w:t>Comments on &lt;char&gt;</w:t>
            </w:r>
          </w:p>
        </w:tc>
        <w:tc>
          <w:tcPr>
            <w:tcW w:w="6690" w:type="dxa"/>
          </w:tcPr>
          <w:p w:rsidR="004319D6" w:rsidRPr="004319D6" w:rsidRDefault="004319D6" w:rsidP="004319D6">
            <w:pPr>
              <w:spacing w:after="200" w:line="276" w:lineRule="auto"/>
            </w:pPr>
            <w:r>
              <w:t>Generally, the IP like to see the language information in the comments. That information cannot be looked up elsewhere in creating the HTML files, unlike character names. The latter can be omitted.( If its desirable to have both, put character name first, then use “:” as separator)</w:t>
            </w:r>
          </w:p>
        </w:tc>
        <w:tc>
          <w:tcPr>
            <w:tcW w:w="1425" w:type="dxa"/>
          </w:tcPr>
          <w:p w:rsidR="004319D6" w:rsidRPr="004319D6" w:rsidRDefault="004319D6" w:rsidP="004319D6">
            <w:pPr>
              <w:spacing w:after="200" w:line="276" w:lineRule="auto"/>
            </w:pPr>
            <w:r>
              <w:t xml:space="preserve">Please provide the language information from the table in Section 5.1 in the comments </w:t>
            </w:r>
            <w:r w:rsidRPr="004319D6">
              <w:t>for each code point</w:t>
            </w:r>
            <w:r>
              <w:t>.</w:t>
            </w:r>
          </w:p>
        </w:tc>
      </w:tr>
      <w:tr w:rsidR="000A53E1" w:rsidRPr="004319D6" w:rsidTr="00A57CE4">
        <w:trPr>
          <w:trHeight w:val="6848"/>
        </w:trPr>
        <w:tc>
          <w:tcPr>
            <w:tcW w:w="1461" w:type="dxa"/>
          </w:tcPr>
          <w:p w:rsidR="000A53E1" w:rsidRPr="00921793" w:rsidRDefault="000A53E1" w:rsidP="004319D6">
            <w:pPr>
              <w:spacing w:after="200" w:line="276" w:lineRule="auto"/>
              <w:rPr>
                <w:b/>
                <w:bCs/>
              </w:rPr>
            </w:pPr>
            <w:r w:rsidRPr="00921793">
              <w:rPr>
                <w:b/>
                <w:bCs/>
              </w:rPr>
              <w:t>&lt;rules&gt;</w:t>
            </w:r>
          </w:p>
        </w:tc>
        <w:tc>
          <w:tcPr>
            <w:tcW w:w="6690" w:type="dxa"/>
          </w:tcPr>
          <w:p w:rsidR="000A53E1" w:rsidRPr="004319D6" w:rsidRDefault="000A53E1" w:rsidP="004319D6">
            <w:pPr>
              <w:spacing w:after="200" w:line="276" w:lineRule="auto"/>
            </w:pPr>
            <w:r w:rsidRPr="004319D6">
              <w:rPr>
                <w:b/>
                <w:bCs/>
              </w:rPr>
              <w:t xml:space="preserve">WLE rules: </w:t>
            </w:r>
            <w:r w:rsidRPr="004319D6">
              <w:t xml:space="preserve">In the following set of rules defined to constrain the Khanda Ta (Z), the rule "S" is ineffective, because any [:M:] already matches the left-hand context for Z whether or not is also satisfies rule "S". </w:t>
            </w:r>
          </w:p>
          <w:tbl>
            <w:tblPr>
              <w:tblW w:w="6474" w:type="dxa"/>
              <w:tblCellSpacing w:w="15" w:type="dxa"/>
              <w:tblCellMar>
                <w:top w:w="15" w:type="dxa"/>
                <w:left w:w="15" w:type="dxa"/>
                <w:bottom w:w="15" w:type="dxa"/>
                <w:right w:w="15" w:type="dxa"/>
              </w:tblCellMar>
              <w:tblLook w:val="04A0" w:firstRow="1" w:lastRow="0" w:firstColumn="1" w:lastColumn="0" w:noHBand="0" w:noVBand="1"/>
            </w:tblPr>
            <w:tblGrid>
              <w:gridCol w:w="1311"/>
              <w:gridCol w:w="3060"/>
              <w:gridCol w:w="2103"/>
            </w:tblGrid>
            <w:tr w:rsidR="000A53E1" w:rsidRPr="004319D6" w:rsidTr="004319D6">
              <w:trPr>
                <w:tblCellSpacing w:w="15" w:type="dxa"/>
              </w:trPr>
              <w:tc>
                <w:tcPr>
                  <w:tcW w:w="1266" w:type="dxa"/>
                  <w:vAlign w:val="center"/>
                  <w:hideMark/>
                </w:tcPr>
                <w:p w:rsidR="000A53E1" w:rsidRPr="004319D6" w:rsidRDefault="000A53E1" w:rsidP="004319D6">
                  <w:r w:rsidRPr="004319D6">
                    <w:t>S</w:t>
                  </w:r>
                </w:p>
              </w:tc>
              <w:tc>
                <w:tcPr>
                  <w:tcW w:w="3030" w:type="dxa"/>
                  <w:vAlign w:val="center"/>
                  <w:hideMark/>
                </w:tcPr>
                <w:p w:rsidR="000A53E1" w:rsidRPr="004319D6" w:rsidRDefault="000A53E1" w:rsidP="004319D6">
                  <w:r w:rsidRPr="004319D6">
                    <w:t>[:</w:t>
                  </w:r>
                  <w:r w:rsidRPr="004319D6">
                    <w:rPr>
                      <w:b/>
                      <w:bCs/>
                    </w:rPr>
                    <w:t>V1</w:t>
                  </w:r>
                  <w:r w:rsidRPr="004319D6">
                    <w:t>:][:</w:t>
                  </w:r>
                  <w:r w:rsidRPr="004319D6">
                    <w:rPr>
                      <w:b/>
                      <w:bCs/>
                    </w:rPr>
                    <w:t>H</w:t>
                  </w:r>
                  <w:r w:rsidRPr="004319D6">
                    <w:t>:][:</w:t>
                  </w:r>
                  <w:r w:rsidRPr="004319D6">
                    <w:rPr>
                      <w:b/>
                      <w:bCs/>
                    </w:rPr>
                    <w:t>C1</w:t>
                  </w:r>
                  <w:r w:rsidRPr="004319D6">
                    <w:t>:][:</w:t>
                  </w:r>
                  <w:r w:rsidRPr="004319D6">
                    <w:rPr>
                      <w:b/>
                      <w:bCs/>
                    </w:rPr>
                    <w:t>M1</w:t>
                  </w:r>
                  <w:r w:rsidRPr="004319D6">
                    <w:t>:]</w:t>
                  </w:r>
                </w:p>
              </w:tc>
              <w:tc>
                <w:tcPr>
                  <w:tcW w:w="2058" w:type="dxa"/>
                  <w:vAlign w:val="center"/>
                  <w:hideMark/>
                </w:tcPr>
                <w:p w:rsidR="000A53E1" w:rsidRPr="004319D6" w:rsidRDefault="000A53E1" w:rsidP="004319D6">
                  <w:r w:rsidRPr="004319D6">
                    <w:t>Section 7, WLE 7: Z: must be preceded by V, C, N, M, D, B, X, S or P</w:t>
                  </w:r>
                </w:p>
              </w:tc>
            </w:tr>
            <w:tr w:rsidR="000A53E1" w:rsidRPr="004319D6" w:rsidTr="004319D6">
              <w:trPr>
                <w:tblCellSpacing w:w="15" w:type="dxa"/>
              </w:trPr>
              <w:tc>
                <w:tcPr>
                  <w:tcW w:w="1266" w:type="dxa"/>
                  <w:vAlign w:val="center"/>
                  <w:hideMark/>
                </w:tcPr>
                <w:p w:rsidR="000A53E1" w:rsidRPr="004319D6" w:rsidRDefault="000A53E1" w:rsidP="004319D6">
                  <w:r w:rsidRPr="004319D6">
                    <w:t>P</w:t>
                  </w:r>
                </w:p>
              </w:tc>
              <w:tc>
                <w:tcPr>
                  <w:tcW w:w="3030" w:type="dxa"/>
                  <w:vAlign w:val="center"/>
                  <w:hideMark/>
                </w:tcPr>
                <w:p w:rsidR="000A53E1" w:rsidRPr="004319D6" w:rsidRDefault="000A53E1" w:rsidP="004319D6">
                  <w:r w:rsidRPr="004319D6">
                    <w:t>[:</w:t>
                  </w:r>
                  <w:r w:rsidRPr="004319D6">
                    <w:rPr>
                      <w:b/>
                      <w:bCs/>
                    </w:rPr>
                    <w:t>C2</w:t>
                  </w:r>
                  <w:r w:rsidRPr="004319D6">
                    <w:t>:][:</w:t>
                  </w:r>
                  <w:r w:rsidRPr="004319D6">
                    <w:rPr>
                      <w:b/>
                      <w:bCs/>
                    </w:rPr>
                    <w:t>H</w:t>
                  </w:r>
                  <w:r w:rsidRPr="004319D6">
                    <w:t>:]</w:t>
                  </w:r>
                </w:p>
              </w:tc>
              <w:tc>
                <w:tcPr>
                  <w:tcW w:w="2058" w:type="dxa"/>
                  <w:vAlign w:val="center"/>
                  <w:hideMark/>
                </w:tcPr>
                <w:p w:rsidR="000A53E1" w:rsidRPr="004319D6" w:rsidRDefault="000A53E1" w:rsidP="004319D6">
                  <w:r w:rsidRPr="004319D6">
                    <w:t>Section 7, WLE 7: Z: must be preceded by V, C, N, M, D, B, X, S or P</w:t>
                  </w:r>
                </w:p>
              </w:tc>
            </w:tr>
            <w:tr w:rsidR="000A53E1" w:rsidRPr="004319D6" w:rsidTr="004319D6">
              <w:trPr>
                <w:tblCellSpacing w:w="15" w:type="dxa"/>
              </w:trPr>
              <w:tc>
                <w:tcPr>
                  <w:tcW w:w="1266" w:type="dxa"/>
                  <w:vAlign w:val="center"/>
                  <w:hideMark/>
                </w:tcPr>
                <w:p w:rsidR="000A53E1" w:rsidRPr="004319D6" w:rsidRDefault="000A53E1" w:rsidP="004319D6">
                  <w:r w:rsidRPr="004319D6">
                    <w:t>follows-only-V-C-N-M-D-B-X-S-or-P</w:t>
                  </w:r>
                </w:p>
              </w:tc>
              <w:tc>
                <w:tcPr>
                  <w:tcW w:w="3030" w:type="dxa"/>
                  <w:vAlign w:val="center"/>
                  <w:hideMark/>
                </w:tcPr>
                <w:p w:rsidR="000A53E1" w:rsidRPr="004319D6" w:rsidRDefault="000A53E1" w:rsidP="004319D6">
                  <w:r w:rsidRPr="004319D6">
                    <w:t>([:</w:t>
                  </w:r>
                  <w:r w:rsidRPr="004319D6">
                    <w:rPr>
                      <w:b/>
                      <w:bCs/>
                    </w:rPr>
                    <w:t>V</w:t>
                  </w:r>
                  <w:r w:rsidRPr="004319D6">
                    <w:t>:]|[:</w:t>
                  </w:r>
                  <w:r w:rsidRPr="004319D6">
                    <w:rPr>
                      <w:b/>
                      <w:bCs/>
                    </w:rPr>
                    <w:t>C</w:t>
                  </w:r>
                  <w:r w:rsidRPr="004319D6">
                    <w:t>:]|[:</w:t>
                  </w:r>
                  <w:r w:rsidRPr="004319D6">
                    <w:rPr>
                      <w:b/>
                      <w:bCs/>
                    </w:rPr>
                    <w:t>N</w:t>
                  </w:r>
                  <w:r w:rsidRPr="004319D6">
                    <w:t>:]|[:</w:t>
                  </w:r>
                  <w:r w:rsidRPr="004319D6">
                    <w:rPr>
                      <w:b/>
                      <w:bCs/>
                    </w:rPr>
                    <w:t>M</w:t>
                  </w:r>
                  <w:r w:rsidRPr="004319D6">
                    <w:t>:]|</w:t>
                  </w:r>
                  <w:r>
                    <w:t xml:space="preserve"> </w:t>
                  </w:r>
                  <w:r w:rsidRPr="004319D6">
                    <w:t>[:</w:t>
                  </w:r>
                  <w:r w:rsidRPr="004319D6">
                    <w:rPr>
                      <w:b/>
                      <w:bCs/>
                    </w:rPr>
                    <w:t>D</w:t>
                  </w:r>
                  <w:r w:rsidRPr="004319D6">
                    <w:t>:]|[:</w:t>
                  </w:r>
                  <w:r w:rsidRPr="004319D6">
                    <w:rPr>
                      <w:b/>
                      <w:bCs/>
                    </w:rPr>
                    <w:t>B</w:t>
                  </w:r>
                  <w:r w:rsidRPr="004319D6">
                    <w:t>:]|[:</w:t>
                  </w:r>
                  <w:r w:rsidRPr="004319D6">
                    <w:rPr>
                      <w:b/>
                      <w:bCs/>
                    </w:rPr>
                    <w:t>X</w:t>
                  </w:r>
                  <w:r w:rsidRPr="004319D6">
                    <w:t>:]|(:S:)|(:P:))←</w:t>
                  </w:r>
                  <w:r w:rsidRPr="004319D6">
                    <w:rPr>
                      <w:rFonts w:ascii="Calibri" w:hAnsi="Calibri" w:cs="Calibri"/>
                    </w:rPr>
                    <w:t>⚓</w:t>
                  </w:r>
                </w:p>
              </w:tc>
              <w:tc>
                <w:tcPr>
                  <w:tcW w:w="2058" w:type="dxa"/>
                  <w:vAlign w:val="center"/>
                  <w:hideMark/>
                </w:tcPr>
                <w:p w:rsidR="000A53E1" w:rsidRPr="004319D6" w:rsidRDefault="000A53E1" w:rsidP="004319D6">
                  <w:r w:rsidRPr="004319D6">
                    <w:t>Section 7, WLE 7: Z: must be preceded by V, C, N, M, D, B, X, S or P</w:t>
                  </w:r>
                </w:p>
              </w:tc>
            </w:tr>
          </w:tbl>
          <w:p w:rsidR="00796674" w:rsidRPr="004319D6" w:rsidRDefault="000A53E1" w:rsidP="003A5CC9">
            <w:pPr>
              <w:spacing w:after="200" w:line="276" w:lineRule="auto"/>
            </w:pPr>
            <w:r w:rsidRPr="004319D6">
              <w:br/>
            </w:r>
            <w:r w:rsidR="003A5CC9">
              <w:t xml:space="preserve">These rules are affected by the recommendation to list </w:t>
            </w:r>
            <w:proofErr w:type="spellStart"/>
            <w:r w:rsidR="003A5CC9">
              <w:t>ya-phala</w:t>
            </w:r>
            <w:proofErr w:type="spellEnd"/>
            <w:r w:rsidR="003A5CC9">
              <w:t xml:space="preserve"> sequences explicitly as members of the repertoire. (See discussion above)</w:t>
            </w:r>
          </w:p>
        </w:tc>
        <w:tc>
          <w:tcPr>
            <w:tcW w:w="1425" w:type="dxa"/>
          </w:tcPr>
          <w:p w:rsidR="000A53E1" w:rsidRPr="004319D6" w:rsidRDefault="000A53E1" w:rsidP="004319D6">
            <w:pPr>
              <w:spacing w:after="200" w:line="276" w:lineRule="auto"/>
            </w:pPr>
          </w:p>
        </w:tc>
      </w:tr>
      <w:tr w:rsidR="00796674" w:rsidRPr="00FA6FFC" w:rsidTr="00A57CE4">
        <w:tc>
          <w:tcPr>
            <w:tcW w:w="1461" w:type="dxa"/>
          </w:tcPr>
          <w:p w:rsidR="00796674" w:rsidRPr="00FA6FFC" w:rsidRDefault="00796674" w:rsidP="00796674">
            <w:pPr>
              <w:rPr>
                <w:b/>
                <w:bCs/>
                <w:strike/>
              </w:rPr>
            </w:pPr>
          </w:p>
        </w:tc>
        <w:tc>
          <w:tcPr>
            <w:tcW w:w="6690" w:type="dxa"/>
          </w:tcPr>
          <w:p w:rsidR="00796674" w:rsidRPr="00FA6FFC" w:rsidRDefault="00796674" w:rsidP="004319D6">
            <w:pPr>
              <w:rPr>
                <w:strike/>
              </w:rPr>
            </w:pPr>
          </w:p>
        </w:tc>
        <w:tc>
          <w:tcPr>
            <w:tcW w:w="1425" w:type="dxa"/>
          </w:tcPr>
          <w:p w:rsidR="00796674" w:rsidRPr="00FA6FFC" w:rsidRDefault="00796674" w:rsidP="004319D6">
            <w:pPr>
              <w:rPr>
                <w:strike/>
              </w:rPr>
            </w:pPr>
          </w:p>
        </w:tc>
      </w:tr>
      <w:tr w:rsidR="003A5CC9" w:rsidRPr="004319D6" w:rsidTr="00A57CE4">
        <w:tc>
          <w:tcPr>
            <w:tcW w:w="1461" w:type="dxa"/>
          </w:tcPr>
          <w:p w:rsidR="003A5CC9" w:rsidRDefault="003A5CC9" w:rsidP="004319D6">
            <w:pPr>
              <w:rPr>
                <w:b/>
                <w:bCs/>
              </w:rPr>
            </w:pPr>
            <w:r>
              <w:rPr>
                <w:b/>
                <w:bCs/>
              </w:rPr>
              <w:t>Sequences</w:t>
            </w:r>
          </w:p>
        </w:tc>
        <w:tc>
          <w:tcPr>
            <w:tcW w:w="6690" w:type="dxa"/>
          </w:tcPr>
          <w:p w:rsidR="003A5CC9" w:rsidRDefault="003A5CC9" w:rsidP="004319D6">
            <w:r>
              <w:t>The attached XML shows how sequences could be implemented and how the rules would have to be adjusted.</w:t>
            </w:r>
          </w:p>
          <w:p w:rsidR="003A5CC9" w:rsidRPr="000D2A8E" w:rsidRDefault="003A5CC9" w:rsidP="004319D6"/>
        </w:tc>
        <w:tc>
          <w:tcPr>
            <w:tcW w:w="1425" w:type="dxa"/>
          </w:tcPr>
          <w:p w:rsidR="003A5CC9" w:rsidRDefault="003A5CC9" w:rsidP="003A5CC9">
            <w:r>
              <w:t>Please review.</w:t>
            </w:r>
          </w:p>
        </w:tc>
      </w:tr>
      <w:tr w:rsidR="00D35076" w:rsidRPr="00101EDC" w:rsidTr="00A57CE4">
        <w:tc>
          <w:tcPr>
            <w:tcW w:w="1461" w:type="dxa"/>
          </w:tcPr>
          <w:p w:rsidR="00D35076" w:rsidRPr="005B0E59" w:rsidRDefault="00D35076" w:rsidP="00D35076">
            <w:pPr>
              <w:spacing w:before="100" w:beforeAutospacing="1" w:after="100" w:afterAutospacing="1"/>
              <w:rPr>
                <w:rFonts w:ascii="Candara" w:hAnsi="Candara" w:cs="Times New Roman"/>
                <w:b/>
                <w:bCs/>
                <w:sz w:val="20"/>
                <w:szCs w:val="20"/>
              </w:rPr>
            </w:pPr>
            <w:r>
              <w:rPr>
                <w:rFonts w:ascii="Candara" w:hAnsi="Candara" w:cs="Times New Roman"/>
                <w:b/>
                <w:bCs/>
                <w:sz w:val="20"/>
                <w:szCs w:val="20"/>
              </w:rPr>
              <w:t>Detailed editing</w:t>
            </w:r>
          </w:p>
        </w:tc>
        <w:tc>
          <w:tcPr>
            <w:tcW w:w="6690" w:type="dxa"/>
          </w:tcPr>
          <w:p w:rsidR="00D35076" w:rsidRDefault="00D35076" w:rsidP="00D35076">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Copy of XML included with suggested changes.</w:t>
            </w:r>
          </w:p>
        </w:tc>
        <w:tc>
          <w:tcPr>
            <w:tcW w:w="1425" w:type="dxa"/>
          </w:tcPr>
          <w:p w:rsidR="00D35076" w:rsidRDefault="00D35076" w:rsidP="00D35076">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 xml:space="preserve">Please compare to the version submitted for feedback and </w:t>
            </w:r>
            <w:r>
              <w:rPr>
                <w:rFonts w:ascii="Times" w:hAnsi="Times" w:cs="Times New Roman"/>
                <w:sz w:val="20"/>
                <w:szCs w:val="20"/>
                <w:lang w:val="en-GB"/>
              </w:rPr>
              <w:lastRenderedPageBreak/>
              <w:t>note suggested changes, review and use as basis for further edits.</w:t>
            </w:r>
          </w:p>
        </w:tc>
      </w:tr>
      <w:tr w:rsidR="000A53E1" w:rsidRPr="00FA6FFC" w:rsidTr="00A57CE4">
        <w:tc>
          <w:tcPr>
            <w:tcW w:w="1461" w:type="dxa"/>
          </w:tcPr>
          <w:p w:rsidR="000A53E1" w:rsidRPr="00FA6FFC" w:rsidRDefault="000A53E1" w:rsidP="00FC76FA">
            <w:pPr>
              <w:spacing w:before="100" w:beforeAutospacing="1" w:after="100" w:afterAutospacing="1"/>
              <w:rPr>
                <w:rFonts w:ascii="Candara" w:hAnsi="Candara" w:cs="Times New Roman"/>
                <w:b/>
                <w:bCs/>
                <w:strike/>
                <w:lang w:val="en-GB"/>
              </w:rPr>
            </w:pPr>
          </w:p>
        </w:tc>
        <w:tc>
          <w:tcPr>
            <w:tcW w:w="6690" w:type="dxa"/>
          </w:tcPr>
          <w:p w:rsidR="000A53E1" w:rsidRPr="00FA6FFC" w:rsidDel="00B143BD" w:rsidRDefault="000A53E1" w:rsidP="00FC76FA">
            <w:pPr>
              <w:rPr>
                <w:strike/>
                <w:lang w:val="en-GB"/>
              </w:rPr>
            </w:pPr>
          </w:p>
        </w:tc>
        <w:tc>
          <w:tcPr>
            <w:tcW w:w="1425" w:type="dxa"/>
          </w:tcPr>
          <w:p w:rsidR="000A53E1" w:rsidRPr="00FA6FFC" w:rsidRDefault="000A53E1" w:rsidP="00FC76FA">
            <w:pPr>
              <w:spacing w:before="100" w:beforeAutospacing="1" w:after="100" w:afterAutospacing="1"/>
              <w:rPr>
                <w:rFonts w:ascii="Candara" w:hAnsi="Candara" w:cs="Times New Roman"/>
                <w:strike/>
                <w:lang w:val="en-GB"/>
              </w:rPr>
            </w:pPr>
          </w:p>
        </w:tc>
      </w:tr>
    </w:tbl>
    <w:p w:rsidR="004319D6" w:rsidRDefault="004319D6"/>
    <w:p w:rsidR="004319D6" w:rsidRDefault="004319D6" w:rsidP="007A7311">
      <w:pPr>
        <w:pStyle w:val="Heading2"/>
      </w:pPr>
      <w:r>
        <w:t>Test Files</w:t>
      </w:r>
    </w:p>
    <w:p w:rsidR="00FA6FFC" w:rsidRDefault="00FA6FFC" w:rsidP="00FA6FFC"/>
    <w:p w:rsidR="00FA6FFC" w:rsidRDefault="00FA6FFC" w:rsidP="00FA6FFC">
      <w:r>
        <w:t>NOTE added Aug 14</w:t>
      </w:r>
      <w:r w:rsidRPr="00FA6FFC">
        <w:rPr>
          <w:vertAlign w:val="superscript"/>
        </w:rPr>
        <w:t>th</w:t>
      </w:r>
      <w:proofErr w:type="gramStart"/>
      <w:r>
        <w:t xml:space="preserve"> 2018</w:t>
      </w:r>
      <w:proofErr w:type="gramEnd"/>
      <w:r>
        <w:t>:</w:t>
      </w:r>
      <w:r w:rsidR="007A7311">
        <w:t xml:space="preserve"> Older i</w:t>
      </w:r>
      <w:r>
        <w:t>ssues related to the Test Files are most likely now moot, as the test files, unlike the other files, have been revised extensively.</w:t>
      </w:r>
    </w:p>
    <w:p w:rsidR="00A57CE4" w:rsidRPr="00FA6FFC" w:rsidRDefault="00A57CE4" w:rsidP="00FA6FFC"/>
    <w:p w:rsidR="00921793" w:rsidRDefault="00921793"/>
    <w:sectPr w:rsidR="00921793" w:rsidSect="0087638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68D" w:rsidRDefault="0079268D" w:rsidP="000A53E1">
      <w:pPr>
        <w:spacing w:after="0" w:line="240" w:lineRule="auto"/>
      </w:pPr>
      <w:r>
        <w:separator/>
      </w:r>
    </w:p>
  </w:endnote>
  <w:endnote w:type="continuationSeparator" w:id="0">
    <w:p w:rsidR="0079268D" w:rsidRDefault="0079268D" w:rsidP="000A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443209"/>
      <w:docPartObj>
        <w:docPartGallery w:val="Page Numbers (Bottom of Page)"/>
        <w:docPartUnique/>
      </w:docPartObj>
    </w:sdtPr>
    <w:sdtEndPr/>
    <w:sdtContent>
      <w:p w:rsidR="007A7311" w:rsidRDefault="0079268D">
        <w:pPr>
          <w:pStyle w:val="Footer"/>
          <w:jc w:val="center"/>
        </w:pPr>
        <w:r>
          <w:fldChar w:fldCharType="begin"/>
        </w:r>
        <w:r>
          <w:instrText xml:space="preserve"> PAGE   \* MERGEFORMAT </w:instrText>
        </w:r>
        <w:r>
          <w:fldChar w:fldCharType="separate"/>
        </w:r>
        <w:r w:rsidR="00E353C9">
          <w:rPr>
            <w:noProof/>
          </w:rPr>
          <w:t>8</w:t>
        </w:r>
        <w:r>
          <w:rPr>
            <w:noProof/>
          </w:rPr>
          <w:fldChar w:fldCharType="end"/>
        </w:r>
      </w:p>
    </w:sdtContent>
  </w:sdt>
  <w:p w:rsidR="007A7311" w:rsidRDefault="007A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68D" w:rsidRDefault="0079268D" w:rsidP="000A53E1">
      <w:pPr>
        <w:spacing w:after="0" w:line="240" w:lineRule="auto"/>
      </w:pPr>
      <w:r>
        <w:separator/>
      </w:r>
    </w:p>
  </w:footnote>
  <w:footnote w:type="continuationSeparator" w:id="0">
    <w:p w:rsidR="0079268D" w:rsidRDefault="0079268D" w:rsidP="000A5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2B9"/>
    <w:multiLevelType w:val="multilevel"/>
    <w:tmpl w:val="C80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702EF"/>
    <w:multiLevelType w:val="hybridMultilevel"/>
    <w:tmpl w:val="99BE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265CB0"/>
    <w:multiLevelType w:val="hybridMultilevel"/>
    <w:tmpl w:val="8D64D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9C7363"/>
    <w:multiLevelType w:val="hybridMultilevel"/>
    <w:tmpl w:val="C54E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02DB1"/>
    <w:multiLevelType w:val="multilevel"/>
    <w:tmpl w:val="4DD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051B6"/>
    <w:multiLevelType w:val="hybridMultilevel"/>
    <w:tmpl w:val="02A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D7C4C"/>
    <w:multiLevelType w:val="hybridMultilevel"/>
    <w:tmpl w:val="7A2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72DD3"/>
    <w:multiLevelType w:val="hybridMultilevel"/>
    <w:tmpl w:val="8D64D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ED0441"/>
    <w:multiLevelType w:val="hybridMultilevel"/>
    <w:tmpl w:val="BFB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5103F3F"/>
    <w:multiLevelType w:val="hybridMultilevel"/>
    <w:tmpl w:val="288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2"/>
  </w:num>
  <w:num w:numId="6">
    <w:abstractNumId w:val="11"/>
  </w:num>
  <w:num w:numId="7">
    <w:abstractNumId w:val="2"/>
  </w:num>
  <w:num w:numId="8">
    <w:abstractNumId w:val="7"/>
  </w:num>
  <w:num w:numId="9">
    <w:abstractNumId w:val="5"/>
  </w:num>
  <w:num w:numId="10">
    <w:abstractNumId w:val="9"/>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3B93"/>
    <w:rsid w:val="0000787B"/>
    <w:rsid w:val="00032023"/>
    <w:rsid w:val="00060536"/>
    <w:rsid w:val="000755E1"/>
    <w:rsid w:val="000924D6"/>
    <w:rsid w:val="000A53E1"/>
    <w:rsid w:val="000D2A8E"/>
    <w:rsid w:val="000E70DA"/>
    <w:rsid w:val="001A07EF"/>
    <w:rsid w:val="001C66E4"/>
    <w:rsid w:val="001D1E3F"/>
    <w:rsid w:val="001D3FBE"/>
    <w:rsid w:val="00231A18"/>
    <w:rsid w:val="00280763"/>
    <w:rsid w:val="002969A3"/>
    <w:rsid w:val="002E6393"/>
    <w:rsid w:val="003312A2"/>
    <w:rsid w:val="00364AD1"/>
    <w:rsid w:val="00393B93"/>
    <w:rsid w:val="003A5CC9"/>
    <w:rsid w:val="003D3BAD"/>
    <w:rsid w:val="004043CE"/>
    <w:rsid w:val="00420D49"/>
    <w:rsid w:val="004319D6"/>
    <w:rsid w:val="004C48A4"/>
    <w:rsid w:val="0054301E"/>
    <w:rsid w:val="00554375"/>
    <w:rsid w:val="00555A42"/>
    <w:rsid w:val="005E6BE3"/>
    <w:rsid w:val="00680F49"/>
    <w:rsid w:val="00695183"/>
    <w:rsid w:val="006A580B"/>
    <w:rsid w:val="006C658B"/>
    <w:rsid w:val="006D502A"/>
    <w:rsid w:val="006F59E3"/>
    <w:rsid w:val="007213A7"/>
    <w:rsid w:val="0079268D"/>
    <w:rsid w:val="00796674"/>
    <w:rsid w:val="007A7311"/>
    <w:rsid w:val="007B1FA1"/>
    <w:rsid w:val="007F42FF"/>
    <w:rsid w:val="00806394"/>
    <w:rsid w:val="008104D1"/>
    <w:rsid w:val="00876384"/>
    <w:rsid w:val="008B0C50"/>
    <w:rsid w:val="008E424C"/>
    <w:rsid w:val="00921793"/>
    <w:rsid w:val="0094476F"/>
    <w:rsid w:val="009A01C0"/>
    <w:rsid w:val="009A713B"/>
    <w:rsid w:val="009B3364"/>
    <w:rsid w:val="00A2321F"/>
    <w:rsid w:val="00A46301"/>
    <w:rsid w:val="00A57CE4"/>
    <w:rsid w:val="00AC1F43"/>
    <w:rsid w:val="00AD194D"/>
    <w:rsid w:val="00AD1FD6"/>
    <w:rsid w:val="00AF3AA3"/>
    <w:rsid w:val="00B51905"/>
    <w:rsid w:val="00B55487"/>
    <w:rsid w:val="00B72E2B"/>
    <w:rsid w:val="00B941DC"/>
    <w:rsid w:val="00BC408D"/>
    <w:rsid w:val="00BE3AE5"/>
    <w:rsid w:val="00C36AF8"/>
    <w:rsid w:val="00C95F15"/>
    <w:rsid w:val="00CC3291"/>
    <w:rsid w:val="00D07F2C"/>
    <w:rsid w:val="00D35076"/>
    <w:rsid w:val="00D6089C"/>
    <w:rsid w:val="00DF272A"/>
    <w:rsid w:val="00E07384"/>
    <w:rsid w:val="00E31CE8"/>
    <w:rsid w:val="00E33004"/>
    <w:rsid w:val="00E353C9"/>
    <w:rsid w:val="00E458A7"/>
    <w:rsid w:val="00E50E72"/>
    <w:rsid w:val="00E75F44"/>
    <w:rsid w:val="00E81541"/>
    <w:rsid w:val="00E90BDC"/>
    <w:rsid w:val="00EA15DD"/>
    <w:rsid w:val="00F52A87"/>
    <w:rsid w:val="00F57041"/>
    <w:rsid w:val="00FA6FFC"/>
    <w:rsid w:val="00FC76FA"/>
    <w:rsid w:val="00FF1C0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B93"/>
  </w:style>
  <w:style w:type="paragraph" w:styleId="Heading1">
    <w:name w:val="heading 1"/>
    <w:basedOn w:val="Normal"/>
    <w:next w:val="Normal"/>
    <w:link w:val="Heading1Char"/>
    <w:uiPriority w:val="9"/>
    <w:qFormat/>
    <w:rsid w:val="00393B9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B9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B9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3B9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3B9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3B9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B9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B93"/>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93B9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B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3B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3B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B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3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B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3B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3B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B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93B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93B9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93B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B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93B93"/>
    <w:rPr>
      <w:b/>
      <w:bCs/>
    </w:rPr>
  </w:style>
  <w:style w:type="character" w:styleId="Emphasis">
    <w:name w:val="Emphasis"/>
    <w:basedOn w:val="DefaultParagraphFont"/>
    <w:uiPriority w:val="20"/>
    <w:qFormat/>
    <w:rsid w:val="00393B93"/>
    <w:rPr>
      <w:i/>
      <w:iCs/>
    </w:rPr>
  </w:style>
  <w:style w:type="paragraph" w:styleId="NoSpacing">
    <w:name w:val="No Spacing"/>
    <w:uiPriority w:val="1"/>
    <w:qFormat/>
    <w:rsid w:val="00393B93"/>
    <w:pPr>
      <w:spacing w:after="0" w:line="240" w:lineRule="auto"/>
    </w:pPr>
  </w:style>
  <w:style w:type="paragraph" w:styleId="ListParagraph">
    <w:name w:val="List Paragraph"/>
    <w:basedOn w:val="Normal"/>
    <w:uiPriority w:val="34"/>
    <w:qFormat/>
    <w:rsid w:val="00393B93"/>
    <w:pPr>
      <w:ind w:left="720"/>
      <w:contextualSpacing/>
    </w:pPr>
  </w:style>
  <w:style w:type="paragraph" w:styleId="Quote">
    <w:name w:val="Quote"/>
    <w:basedOn w:val="Normal"/>
    <w:next w:val="Normal"/>
    <w:link w:val="QuoteChar"/>
    <w:uiPriority w:val="29"/>
    <w:qFormat/>
    <w:rsid w:val="00393B93"/>
    <w:rPr>
      <w:i/>
      <w:iCs/>
      <w:color w:val="000000" w:themeColor="text1"/>
    </w:rPr>
  </w:style>
  <w:style w:type="character" w:customStyle="1" w:styleId="QuoteChar">
    <w:name w:val="Quote Char"/>
    <w:basedOn w:val="DefaultParagraphFont"/>
    <w:link w:val="Quote"/>
    <w:uiPriority w:val="29"/>
    <w:rsid w:val="00393B93"/>
    <w:rPr>
      <w:i/>
      <w:iCs/>
      <w:color w:val="000000" w:themeColor="text1"/>
    </w:rPr>
  </w:style>
  <w:style w:type="paragraph" w:styleId="IntenseQuote">
    <w:name w:val="Intense Quote"/>
    <w:basedOn w:val="Normal"/>
    <w:next w:val="Normal"/>
    <w:link w:val="IntenseQuoteChar"/>
    <w:uiPriority w:val="30"/>
    <w:qFormat/>
    <w:rsid w:val="00393B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B93"/>
    <w:rPr>
      <w:b/>
      <w:bCs/>
      <w:i/>
      <w:iCs/>
      <w:color w:val="4F81BD" w:themeColor="accent1"/>
    </w:rPr>
  </w:style>
  <w:style w:type="character" w:styleId="SubtleEmphasis">
    <w:name w:val="Subtle Emphasis"/>
    <w:basedOn w:val="DefaultParagraphFont"/>
    <w:uiPriority w:val="19"/>
    <w:qFormat/>
    <w:rsid w:val="00393B93"/>
    <w:rPr>
      <w:i/>
      <w:iCs/>
      <w:color w:val="808080" w:themeColor="text1" w:themeTint="7F"/>
    </w:rPr>
  </w:style>
  <w:style w:type="character" w:styleId="IntenseEmphasis">
    <w:name w:val="Intense Emphasis"/>
    <w:basedOn w:val="DefaultParagraphFont"/>
    <w:uiPriority w:val="21"/>
    <w:qFormat/>
    <w:rsid w:val="00393B93"/>
    <w:rPr>
      <w:b/>
      <w:bCs/>
      <w:i/>
      <w:iCs/>
      <w:color w:val="4F81BD" w:themeColor="accent1"/>
    </w:rPr>
  </w:style>
  <w:style w:type="character" w:styleId="SubtleReference">
    <w:name w:val="Subtle Reference"/>
    <w:basedOn w:val="DefaultParagraphFont"/>
    <w:uiPriority w:val="31"/>
    <w:qFormat/>
    <w:rsid w:val="00393B93"/>
    <w:rPr>
      <w:smallCaps/>
      <w:color w:val="C0504D" w:themeColor="accent2"/>
      <w:u w:val="single"/>
    </w:rPr>
  </w:style>
  <w:style w:type="character" w:styleId="IntenseReference">
    <w:name w:val="Intense Reference"/>
    <w:basedOn w:val="DefaultParagraphFont"/>
    <w:uiPriority w:val="32"/>
    <w:qFormat/>
    <w:rsid w:val="00393B93"/>
    <w:rPr>
      <w:b/>
      <w:bCs/>
      <w:smallCaps/>
      <w:color w:val="C0504D" w:themeColor="accent2"/>
      <w:spacing w:val="5"/>
      <w:u w:val="single"/>
    </w:rPr>
  </w:style>
  <w:style w:type="character" w:styleId="BookTitle">
    <w:name w:val="Book Title"/>
    <w:basedOn w:val="DefaultParagraphFont"/>
    <w:uiPriority w:val="33"/>
    <w:qFormat/>
    <w:rsid w:val="00393B93"/>
    <w:rPr>
      <w:b/>
      <w:bCs/>
      <w:smallCaps/>
      <w:spacing w:val="5"/>
    </w:rPr>
  </w:style>
  <w:style w:type="paragraph" w:styleId="TOCHeading">
    <w:name w:val="TOC Heading"/>
    <w:basedOn w:val="Heading1"/>
    <w:next w:val="Normal"/>
    <w:uiPriority w:val="39"/>
    <w:semiHidden/>
    <w:unhideWhenUsed/>
    <w:qFormat/>
    <w:rsid w:val="00393B93"/>
    <w:pPr>
      <w:outlineLvl w:val="9"/>
    </w:pPr>
  </w:style>
  <w:style w:type="table" w:styleId="TableGrid">
    <w:name w:val="Table Grid"/>
    <w:basedOn w:val="TableNormal"/>
    <w:uiPriority w:val="59"/>
    <w:rsid w:val="00A2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E3"/>
    <w:rPr>
      <w:rFonts w:ascii="Tahoma" w:hAnsi="Tahoma" w:cs="Tahoma"/>
      <w:sz w:val="16"/>
      <w:szCs w:val="16"/>
    </w:rPr>
  </w:style>
  <w:style w:type="character" w:styleId="HTMLCode">
    <w:name w:val="HTML Code"/>
    <w:basedOn w:val="DefaultParagraphFont"/>
    <w:uiPriority w:val="99"/>
    <w:semiHidden/>
    <w:unhideWhenUsed/>
    <w:rsid w:val="005E6BE3"/>
    <w:rPr>
      <w:rFonts w:ascii="Courier New" w:eastAsia="Times New Roman" w:hAnsi="Courier New" w:cs="Courier New"/>
      <w:sz w:val="20"/>
      <w:szCs w:val="20"/>
    </w:rPr>
  </w:style>
  <w:style w:type="character" w:styleId="Hyperlink">
    <w:name w:val="Hyperlink"/>
    <w:basedOn w:val="DefaultParagraphFont"/>
    <w:uiPriority w:val="99"/>
    <w:unhideWhenUsed/>
    <w:rsid w:val="005E6BE3"/>
    <w:rPr>
      <w:color w:val="0000FF"/>
      <w:u w:val="single"/>
    </w:rPr>
  </w:style>
  <w:style w:type="paragraph" w:styleId="Header">
    <w:name w:val="header"/>
    <w:basedOn w:val="Normal"/>
    <w:link w:val="HeaderChar"/>
    <w:uiPriority w:val="99"/>
    <w:semiHidden/>
    <w:unhideWhenUsed/>
    <w:rsid w:val="000A5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3E1"/>
  </w:style>
  <w:style w:type="paragraph" w:styleId="Footer">
    <w:name w:val="footer"/>
    <w:basedOn w:val="Normal"/>
    <w:link w:val="FooterChar"/>
    <w:uiPriority w:val="99"/>
    <w:unhideWhenUsed/>
    <w:rsid w:val="000A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E1"/>
  </w:style>
  <w:style w:type="paragraph" w:styleId="Revision">
    <w:name w:val="Revision"/>
    <w:hidden/>
    <w:uiPriority w:val="99"/>
    <w:semiHidden/>
    <w:rsid w:val="00E07384"/>
    <w:pPr>
      <w:spacing w:after="0" w:line="240" w:lineRule="auto"/>
    </w:pPr>
  </w:style>
  <w:style w:type="character" w:styleId="CommentReference">
    <w:name w:val="annotation reference"/>
    <w:basedOn w:val="DefaultParagraphFont"/>
    <w:uiPriority w:val="99"/>
    <w:semiHidden/>
    <w:unhideWhenUsed/>
    <w:rsid w:val="00FC76FA"/>
    <w:rPr>
      <w:sz w:val="18"/>
      <w:szCs w:val="18"/>
    </w:rPr>
  </w:style>
  <w:style w:type="paragraph" w:styleId="CommentText">
    <w:name w:val="annotation text"/>
    <w:basedOn w:val="Normal"/>
    <w:link w:val="CommentTextChar"/>
    <w:uiPriority w:val="99"/>
    <w:unhideWhenUsed/>
    <w:rsid w:val="00FC76FA"/>
    <w:pPr>
      <w:spacing w:line="240" w:lineRule="auto"/>
    </w:pPr>
    <w:rPr>
      <w:sz w:val="24"/>
      <w:szCs w:val="24"/>
    </w:rPr>
  </w:style>
  <w:style w:type="character" w:customStyle="1" w:styleId="CommentTextChar">
    <w:name w:val="Comment Text Char"/>
    <w:basedOn w:val="DefaultParagraphFont"/>
    <w:link w:val="CommentText"/>
    <w:uiPriority w:val="99"/>
    <w:rsid w:val="00FC76FA"/>
    <w:rPr>
      <w:sz w:val="24"/>
      <w:szCs w:val="24"/>
    </w:rPr>
  </w:style>
  <w:style w:type="paragraph" w:styleId="CommentSubject">
    <w:name w:val="annotation subject"/>
    <w:basedOn w:val="CommentText"/>
    <w:next w:val="CommentText"/>
    <w:link w:val="CommentSubjectChar"/>
    <w:uiPriority w:val="99"/>
    <w:semiHidden/>
    <w:unhideWhenUsed/>
    <w:rsid w:val="00FC76FA"/>
    <w:rPr>
      <w:b/>
      <w:bCs/>
      <w:sz w:val="20"/>
      <w:szCs w:val="20"/>
    </w:rPr>
  </w:style>
  <w:style w:type="character" w:customStyle="1" w:styleId="CommentSubjectChar">
    <w:name w:val="Comment Subject Char"/>
    <w:basedOn w:val="CommentTextChar"/>
    <w:link w:val="CommentSubject"/>
    <w:uiPriority w:val="99"/>
    <w:semiHidden/>
    <w:rsid w:val="00FC7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555">
      <w:bodyDiv w:val="1"/>
      <w:marLeft w:val="0"/>
      <w:marRight w:val="0"/>
      <w:marTop w:val="0"/>
      <w:marBottom w:val="0"/>
      <w:divBdr>
        <w:top w:val="none" w:sz="0" w:space="0" w:color="auto"/>
        <w:left w:val="none" w:sz="0" w:space="0" w:color="auto"/>
        <w:bottom w:val="none" w:sz="0" w:space="0" w:color="auto"/>
        <w:right w:val="none" w:sz="0" w:space="0" w:color="auto"/>
      </w:divBdr>
      <w:divsChild>
        <w:div w:id="40954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1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51890">
      <w:bodyDiv w:val="1"/>
      <w:marLeft w:val="0"/>
      <w:marRight w:val="0"/>
      <w:marTop w:val="0"/>
      <w:marBottom w:val="0"/>
      <w:divBdr>
        <w:top w:val="none" w:sz="0" w:space="0" w:color="auto"/>
        <w:left w:val="none" w:sz="0" w:space="0" w:color="auto"/>
        <w:bottom w:val="none" w:sz="0" w:space="0" w:color="auto"/>
        <w:right w:val="none" w:sz="0" w:space="0" w:color="auto"/>
      </w:divBdr>
      <w:divsChild>
        <w:div w:id="1526944013">
          <w:marLeft w:val="0"/>
          <w:marRight w:val="0"/>
          <w:marTop w:val="0"/>
          <w:marBottom w:val="0"/>
          <w:divBdr>
            <w:top w:val="none" w:sz="0" w:space="0" w:color="auto"/>
            <w:left w:val="none" w:sz="0" w:space="0" w:color="auto"/>
            <w:bottom w:val="none" w:sz="0" w:space="0" w:color="auto"/>
            <w:right w:val="none" w:sz="0" w:space="0" w:color="auto"/>
          </w:divBdr>
          <w:divsChild>
            <w:div w:id="2085714720">
              <w:marLeft w:val="0"/>
              <w:marRight w:val="0"/>
              <w:marTop w:val="0"/>
              <w:marBottom w:val="0"/>
              <w:divBdr>
                <w:top w:val="none" w:sz="0" w:space="0" w:color="auto"/>
                <w:left w:val="none" w:sz="0" w:space="0" w:color="auto"/>
                <w:bottom w:val="none" w:sz="0" w:space="0" w:color="auto"/>
                <w:right w:val="none" w:sz="0" w:space="0" w:color="auto"/>
              </w:divBdr>
            </w:div>
            <w:div w:id="476265058">
              <w:marLeft w:val="0"/>
              <w:marRight w:val="0"/>
              <w:marTop w:val="0"/>
              <w:marBottom w:val="0"/>
              <w:divBdr>
                <w:top w:val="none" w:sz="0" w:space="0" w:color="auto"/>
                <w:left w:val="none" w:sz="0" w:space="0" w:color="auto"/>
                <w:bottom w:val="none" w:sz="0" w:space="0" w:color="auto"/>
                <w:right w:val="none" w:sz="0" w:space="0" w:color="auto"/>
              </w:divBdr>
            </w:div>
            <w:div w:id="12532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266">
      <w:bodyDiv w:val="1"/>
      <w:marLeft w:val="0"/>
      <w:marRight w:val="0"/>
      <w:marTop w:val="0"/>
      <w:marBottom w:val="0"/>
      <w:divBdr>
        <w:top w:val="none" w:sz="0" w:space="0" w:color="auto"/>
        <w:left w:val="none" w:sz="0" w:space="0" w:color="auto"/>
        <w:bottom w:val="none" w:sz="0" w:space="0" w:color="auto"/>
        <w:right w:val="none" w:sz="0" w:space="0" w:color="auto"/>
      </w:divBdr>
    </w:div>
    <w:div w:id="569003437">
      <w:bodyDiv w:val="1"/>
      <w:marLeft w:val="0"/>
      <w:marRight w:val="0"/>
      <w:marTop w:val="0"/>
      <w:marBottom w:val="0"/>
      <w:divBdr>
        <w:top w:val="none" w:sz="0" w:space="0" w:color="auto"/>
        <w:left w:val="none" w:sz="0" w:space="0" w:color="auto"/>
        <w:bottom w:val="none" w:sz="0" w:space="0" w:color="auto"/>
        <w:right w:val="none" w:sz="0" w:space="0" w:color="auto"/>
      </w:divBdr>
    </w:div>
    <w:div w:id="622462665">
      <w:bodyDiv w:val="1"/>
      <w:marLeft w:val="0"/>
      <w:marRight w:val="0"/>
      <w:marTop w:val="0"/>
      <w:marBottom w:val="0"/>
      <w:divBdr>
        <w:top w:val="none" w:sz="0" w:space="0" w:color="auto"/>
        <w:left w:val="none" w:sz="0" w:space="0" w:color="auto"/>
        <w:bottom w:val="none" w:sz="0" w:space="0" w:color="auto"/>
        <w:right w:val="none" w:sz="0" w:space="0" w:color="auto"/>
      </w:divBdr>
    </w:div>
    <w:div w:id="719205061">
      <w:bodyDiv w:val="1"/>
      <w:marLeft w:val="0"/>
      <w:marRight w:val="0"/>
      <w:marTop w:val="0"/>
      <w:marBottom w:val="0"/>
      <w:divBdr>
        <w:top w:val="none" w:sz="0" w:space="0" w:color="auto"/>
        <w:left w:val="none" w:sz="0" w:space="0" w:color="auto"/>
        <w:bottom w:val="none" w:sz="0" w:space="0" w:color="auto"/>
        <w:right w:val="none" w:sz="0" w:space="0" w:color="auto"/>
      </w:divBdr>
    </w:div>
    <w:div w:id="1042441704">
      <w:bodyDiv w:val="1"/>
      <w:marLeft w:val="0"/>
      <w:marRight w:val="0"/>
      <w:marTop w:val="0"/>
      <w:marBottom w:val="0"/>
      <w:divBdr>
        <w:top w:val="none" w:sz="0" w:space="0" w:color="auto"/>
        <w:left w:val="none" w:sz="0" w:space="0" w:color="auto"/>
        <w:bottom w:val="none" w:sz="0" w:space="0" w:color="auto"/>
        <w:right w:val="none" w:sz="0" w:space="0" w:color="auto"/>
      </w:divBdr>
    </w:div>
    <w:div w:id="1068186168">
      <w:bodyDiv w:val="1"/>
      <w:marLeft w:val="0"/>
      <w:marRight w:val="0"/>
      <w:marTop w:val="0"/>
      <w:marBottom w:val="0"/>
      <w:divBdr>
        <w:top w:val="none" w:sz="0" w:space="0" w:color="auto"/>
        <w:left w:val="none" w:sz="0" w:space="0" w:color="auto"/>
        <w:bottom w:val="none" w:sz="0" w:space="0" w:color="auto"/>
        <w:right w:val="none" w:sz="0" w:space="0" w:color="auto"/>
      </w:divBdr>
    </w:div>
    <w:div w:id="1077362629">
      <w:bodyDiv w:val="1"/>
      <w:marLeft w:val="0"/>
      <w:marRight w:val="0"/>
      <w:marTop w:val="0"/>
      <w:marBottom w:val="0"/>
      <w:divBdr>
        <w:top w:val="none" w:sz="0" w:space="0" w:color="auto"/>
        <w:left w:val="none" w:sz="0" w:space="0" w:color="auto"/>
        <w:bottom w:val="none" w:sz="0" w:space="0" w:color="auto"/>
        <w:right w:val="none" w:sz="0" w:space="0" w:color="auto"/>
      </w:divBdr>
    </w:div>
    <w:div w:id="1120564123">
      <w:bodyDiv w:val="1"/>
      <w:marLeft w:val="0"/>
      <w:marRight w:val="0"/>
      <w:marTop w:val="0"/>
      <w:marBottom w:val="0"/>
      <w:divBdr>
        <w:top w:val="none" w:sz="0" w:space="0" w:color="auto"/>
        <w:left w:val="none" w:sz="0" w:space="0" w:color="auto"/>
        <w:bottom w:val="none" w:sz="0" w:space="0" w:color="auto"/>
        <w:right w:val="none" w:sz="0" w:space="0" w:color="auto"/>
      </w:divBdr>
    </w:div>
    <w:div w:id="1197347490">
      <w:bodyDiv w:val="1"/>
      <w:marLeft w:val="0"/>
      <w:marRight w:val="0"/>
      <w:marTop w:val="0"/>
      <w:marBottom w:val="0"/>
      <w:divBdr>
        <w:top w:val="none" w:sz="0" w:space="0" w:color="auto"/>
        <w:left w:val="none" w:sz="0" w:space="0" w:color="auto"/>
        <w:bottom w:val="none" w:sz="0" w:space="0" w:color="auto"/>
        <w:right w:val="none" w:sz="0" w:space="0" w:color="auto"/>
      </w:divBdr>
      <w:divsChild>
        <w:div w:id="100521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039186">
      <w:bodyDiv w:val="1"/>
      <w:marLeft w:val="0"/>
      <w:marRight w:val="0"/>
      <w:marTop w:val="0"/>
      <w:marBottom w:val="0"/>
      <w:divBdr>
        <w:top w:val="none" w:sz="0" w:space="0" w:color="auto"/>
        <w:left w:val="none" w:sz="0" w:space="0" w:color="auto"/>
        <w:bottom w:val="none" w:sz="0" w:space="0" w:color="auto"/>
        <w:right w:val="none" w:sz="0" w:space="0" w:color="auto"/>
      </w:divBdr>
    </w:div>
    <w:div w:id="1514954645">
      <w:bodyDiv w:val="1"/>
      <w:marLeft w:val="0"/>
      <w:marRight w:val="0"/>
      <w:marTop w:val="0"/>
      <w:marBottom w:val="0"/>
      <w:divBdr>
        <w:top w:val="none" w:sz="0" w:space="0" w:color="auto"/>
        <w:left w:val="none" w:sz="0" w:space="0" w:color="auto"/>
        <w:bottom w:val="none" w:sz="0" w:space="0" w:color="auto"/>
        <w:right w:val="none" w:sz="0" w:space="0" w:color="auto"/>
      </w:divBdr>
    </w:div>
    <w:div w:id="1575972994">
      <w:bodyDiv w:val="1"/>
      <w:marLeft w:val="0"/>
      <w:marRight w:val="0"/>
      <w:marTop w:val="0"/>
      <w:marBottom w:val="0"/>
      <w:divBdr>
        <w:top w:val="none" w:sz="0" w:space="0" w:color="auto"/>
        <w:left w:val="none" w:sz="0" w:space="0" w:color="auto"/>
        <w:bottom w:val="none" w:sz="0" w:space="0" w:color="auto"/>
        <w:right w:val="none" w:sz="0" w:space="0" w:color="auto"/>
      </w:divBdr>
    </w:div>
    <w:div w:id="1895308781">
      <w:bodyDiv w:val="1"/>
      <w:marLeft w:val="0"/>
      <w:marRight w:val="0"/>
      <w:marTop w:val="0"/>
      <w:marBottom w:val="0"/>
      <w:divBdr>
        <w:top w:val="none" w:sz="0" w:space="0" w:color="auto"/>
        <w:left w:val="none" w:sz="0" w:space="0" w:color="auto"/>
        <w:bottom w:val="none" w:sz="0" w:space="0" w:color="auto"/>
        <w:right w:val="none" w:sz="0" w:space="0" w:color="auto"/>
      </w:divBdr>
    </w:div>
    <w:div w:id="1908105803">
      <w:bodyDiv w:val="1"/>
      <w:marLeft w:val="0"/>
      <w:marRight w:val="0"/>
      <w:marTop w:val="0"/>
      <w:marBottom w:val="0"/>
      <w:divBdr>
        <w:top w:val="none" w:sz="0" w:space="0" w:color="auto"/>
        <w:left w:val="none" w:sz="0" w:space="0" w:color="auto"/>
        <w:bottom w:val="none" w:sz="0" w:space="0" w:color="auto"/>
        <w:right w:val="none" w:sz="0" w:space="0" w:color="auto"/>
      </w:divBdr>
    </w:div>
    <w:div w:id="1962226911">
      <w:bodyDiv w:val="1"/>
      <w:marLeft w:val="0"/>
      <w:marRight w:val="0"/>
      <w:marTop w:val="0"/>
      <w:marBottom w:val="0"/>
      <w:divBdr>
        <w:top w:val="none" w:sz="0" w:space="0" w:color="auto"/>
        <w:left w:val="none" w:sz="0" w:space="0" w:color="auto"/>
        <w:bottom w:val="none" w:sz="0" w:space="0" w:color="auto"/>
        <w:right w:val="none" w:sz="0" w:space="0" w:color="auto"/>
      </w:divBdr>
    </w:div>
    <w:div w:id="2022079247">
      <w:bodyDiv w:val="1"/>
      <w:marLeft w:val="0"/>
      <w:marRight w:val="0"/>
      <w:marTop w:val="0"/>
      <w:marBottom w:val="0"/>
      <w:divBdr>
        <w:top w:val="none" w:sz="0" w:space="0" w:color="auto"/>
        <w:left w:val="none" w:sz="0" w:space="0" w:color="auto"/>
        <w:bottom w:val="none" w:sz="0" w:space="0" w:color="auto"/>
        <w:right w:val="none" w:sz="0" w:space="0" w:color="auto"/>
      </w:divBdr>
    </w:div>
    <w:div w:id="2034988881">
      <w:bodyDiv w:val="1"/>
      <w:marLeft w:val="0"/>
      <w:marRight w:val="0"/>
      <w:marTop w:val="0"/>
      <w:marBottom w:val="0"/>
      <w:divBdr>
        <w:top w:val="none" w:sz="0" w:space="0" w:color="auto"/>
        <w:left w:val="none" w:sz="0" w:space="0" w:color="auto"/>
        <w:bottom w:val="none" w:sz="0" w:space="0" w:color="auto"/>
        <w:right w:val="none" w:sz="0" w:space="0" w:color="auto"/>
      </w:divBdr>
    </w:div>
    <w:div w:id="21191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src\idntables\test\LGR-3\staging4-NeoB\Element\lgr-3-Bengali-Script-2018-05-15-en.html" TargetMode="External"/><Relationship Id="rId13" Type="http://schemas.openxmlformats.org/officeDocument/2006/relationships/hyperlink" Target="file:///C:\src\idntables\test\LGR-3\staging4-NeoB\Element\lgr-3-Bengali-Script-2018-05-15-en.html" TargetMode="External"/><Relationship Id="rId18" Type="http://schemas.openxmlformats.org/officeDocument/2006/relationships/hyperlink" Target="file:///C:\src\idntables\test\LGR-3\staging4-NeoB\Element\lgr-3-Bengali-Script-2018-05-15-en.html" TargetMode="External"/><Relationship Id="rId26" Type="http://schemas.openxmlformats.org/officeDocument/2006/relationships/hyperlink" Target="file:///C:\src\idntables\test\LGR-3\staging4-NeoB\Element\lgr-3-Bengali-Script-2018-05-15-en.html" TargetMode="External"/><Relationship Id="rId3" Type="http://schemas.openxmlformats.org/officeDocument/2006/relationships/styles" Target="styles.xml"/><Relationship Id="rId21" Type="http://schemas.openxmlformats.org/officeDocument/2006/relationships/hyperlink" Target="file:///C:\src\idntables\test\LGR-3\staging4-NeoB\Element\lgr-3-Bengali-Script-2018-05-15-en.html" TargetMode="External"/><Relationship Id="rId7" Type="http://schemas.openxmlformats.org/officeDocument/2006/relationships/endnotes" Target="endnotes.xml"/><Relationship Id="rId12" Type="http://schemas.openxmlformats.org/officeDocument/2006/relationships/hyperlink" Target="file:///C:\src\idntables\test\LGR-3\staging4-NeoB\Element\lgr-3-Bengali-Script-2018-05-15-en.html" TargetMode="External"/><Relationship Id="rId17" Type="http://schemas.openxmlformats.org/officeDocument/2006/relationships/hyperlink" Target="file:///C:\src\idntables\test\LGR-3\staging4-NeoB\Element\lgr-3-Bengali-Script-2018-05-15-en.html" TargetMode="External"/><Relationship Id="rId25" Type="http://schemas.openxmlformats.org/officeDocument/2006/relationships/hyperlink" Target="file:///C:\src\idntables\test\LGR-3\staging4-NeoB\Element\lgr-3-Bengali-Script-2018-05-15-en.html" TargetMode="External"/><Relationship Id="rId2" Type="http://schemas.openxmlformats.org/officeDocument/2006/relationships/numbering" Target="numbering.xml"/><Relationship Id="rId16" Type="http://schemas.openxmlformats.org/officeDocument/2006/relationships/hyperlink" Target="file:///C:\src\idntables\test\LGR-3\staging4-NeoB\Element\lgr-3-Bengali-Script-2018-05-15-en.html" TargetMode="External"/><Relationship Id="rId20" Type="http://schemas.openxmlformats.org/officeDocument/2006/relationships/hyperlink" Target="file:///C:\src\idntables\test\LGR-3\staging4-NeoB\Element\lgr-3-Bengali-Script-2018-05-15-en.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rc\idntables\test\LGR-3\staging4-NeoB\Element\lgr-3-Bengali-Script-2018-05-15-en.html" TargetMode="External"/><Relationship Id="rId24" Type="http://schemas.openxmlformats.org/officeDocument/2006/relationships/hyperlink" Target="file:///C:\src\idntables\test\LGR-3\staging4-NeoB\Element\lgr-3-Bengali-Script-2018-05-15-en.html" TargetMode="External"/><Relationship Id="rId5" Type="http://schemas.openxmlformats.org/officeDocument/2006/relationships/webSettings" Target="webSettings.xml"/><Relationship Id="rId15" Type="http://schemas.openxmlformats.org/officeDocument/2006/relationships/hyperlink" Target="file:///C:\src\idntables\test\LGR-3\staging4-NeoB\Element\lgr-3-Bengali-Script-2018-05-15-en.html" TargetMode="External"/><Relationship Id="rId23" Type="http://schemas.openxmlformats.org/officeDocument/2006/relationships/hyperlink" Target="file:///C:\src\idntables\test\LGR-3\staging4-NeoB\Element\lgr-3-Bengali-Script-2018-05-15-en.html" TargetMode="External"/><Relationship Id="rId28" Type="http://schemas.openxmlformats.org/officeDocument/2006/relationships/hyperlink" Target="file:///C:\src\idntables\test\LGR-3\staging4-NeoB\Element\lgr-3-Bengali-Script-2018-05-15-en.html" TargetMode="External"/><Relationship Id="rId10" Type="http://schemas.openxmlformats.org/officeDocument/2006/relationships/hyperlink" Target="file:///C:\src\idntables\test\LGR-3\staging4-NeoB\Element\lgr-3-Bengali-Script-2018-05-15-en.html" TargetMode="External"/><Relationship Id="rId19" Type="http://schemas.openxmlformats.org/officeDocument/2006/relationships/hyperlink" Target="file:///C:\src\idntables\test\LGR-3\staging4-NeoB\Element\lgr-3-Bengali-Script-2018-05-15-e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src\idntables\test\LGR-3\staging4-NeoB\Element\lgr-3-Bengali-Script-2018-05-15-en.html" TargetMode="External"/><Relationship Id="rId14" Type="http://schemas.openxmlformats.org/officeDocument/2006/relationships/hyperlink" Target="file:///C:\src\idntables\test\LGR-3\staging4-NeoB\Element\lgr-3-Bengali-Script-2018-05-15-en.html" TargetMode="External"/><Relationship Id="rId22" Type="http://schemas.openxmlformats.org/officeDocument/2006/relationships/hyperlink" Target="file:///C:\src\idntables\test\LGR-3\staging4-NeoB\Element\lgr-3-Bengali-Script-2018-05-15-en.html" TargetMode="External"/><Relationship Id="rId27" Type="http://schemas.openxmlformats.org/officeDocument/2006/relationships/hyperlink" Target="file:///C:\src\idntables\test\LGR-3\staging4-NeoB\Element\lgr-3-Bengali-Script-2018-05-15-e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E9001-7840-4F91-9A5E-8F49A101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2018-08-14T15:36:00Z</dcterms:created>
  <dcterms:modified xsi:type="dcterms:W3CDTF">2018-08-15T17:53:00Z</dcterms:modified>
</cp:coreProperties>
</file>