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0E53" w14:textId="77777777" w:rsidR="00A721ED" w:rsidRDefault="00A721ED" w:rsidP="00A721ED">
      <w:pPr>
        <w:pStyle w:val="Title"/>
      </w:pPr>
      <w:r>
        <w:t xml:space="preserve">Response of IP to Malayalam </w:t>
      </w:r>
      <w:r w:rsidR="00377A18">
        <w:t xml:space="preserve">Draft </w:t>
      </w:r>
      <w:r>
        <w:t>LGR of 2018</w:t>
      </w:r>
      <w:r w:rsidR="0084075A">
        <w:t>-08-07</w:t>
      </w:r>
    </w:p>
    <w:p w14:paraId="702370B3" w14:textId="77777777" w:rsidR="00A721ED" w:rsidRDefault="00D7142E" w:rsidP="00A721ED">
      <w:pPr>
        <w:rPr>
          <w:rFonts w:eastAsia="Times New Roman"/>
        </w:rPr>
      </w:pPr>
      <w:r>
        <w:rPr>
          <w:rFonts w:eastAsia="Times New Roman"/>
        </w:rPr>
        <w:t>DATE: 2018-0</w:t>
      </w:r>
      <w:r w:rsidR="0084075A">
        <w:rPr>
          <w:rFonts w:eastAsia="Times New Roman"/>
        </w:rPr>
        <w:t>8</w:t>
      </w:r>
      <w:r>
        <w:rPr>
          <w:rFonts w:eastAsia="Times New Roman"/>
        </w:rPr>
        <w:t>-</w:t>
      </w:r>
      <w:r w:rsidR="00D06AE6">
        <w:rPr>
          <w:rFonts w:eastAsia="Times New Roman"/>
        </w:rPr>
        <w:t>1</w:t>
      </w:r>
      <w:r w:rsidR="003B3200">
        <w:rPr>
          <w:rFonts w:eastAsia="Times New Roman"/>
        </w:rPr>
        <w:t>5</w:t>
      </w:r>
    </w:p>
    <w:p w14:paraId="1AA76842" w14:textId="77777777" w:rsidR="00A721ED" w:rsidRDefault="00A721ED" w:rsidP="00A721ED">
      <w:pPr>
        <w:pStyle w:val="Heading1"/>
      </w:pPr>
      <w:r>
        <w:t>Overview</w:t>
      </w:r>
    </w:p>
    <w:p w14:paraId="23576EBD" w14:textId="77777777" w:rsidR="0084075A" w:rsidRDefault="00A721ED" w:rsidP="00A721ED">
      <w:r w:rsidRPr="00B55C26">
        <w:t xml:space="preserve">This </w:t>
      </w:r>
      <w:r>
        <w:t>document provides IP response to the Malayalam LGR proposal dated 2018</w:t>
      </w:r>
      <w:r w:rsidR="0084075A">
        <w:t>-08-07</w:t>
      </w:r>
      <w:r w:rsidR="0084075A" w:rsidRPr="0084075A">
        <w:t xml:space="preserve"> </w:t>
      </w:r>
    </w:p>
    <w:p w14:paraId="6C401C6D" w14:textId="77777777" w:rsidR="0084075A" w:rsidRDefault="0084075A" w:rsidP="00A721ED">
      <w:r>
        <w:t>T</w:t>
      </w:r>
      <w:r w:rsidR="006D7D53">
        <w:t>he</w:t>
      </w:r>
      <w:r>
        <w:t xml:space="preserve"> draft reviewed is the second draft of a Malayalam LGR proposal received by the IP and it follows additional discussion in a teleconference to address issues with variants. Overall, there have been substantial improvements, but there are a number of major and minor issues that </w:t>
      </w:r>
      <w:r w:rsidRPr="00EE78E9">
        <w:rPr>
          <w:b/>
          <w:bCs/>
          <w:i/>
          <w:iCs/>
          <w:u w:val="single"/>
        </w:rPr>
        <w:t>require resolution</w:t>
      </w:r>
      <w:r>
        <w:t>.</w:t>
      </w:r>
    </w:p>
    <w:p w14:paraId="728F84A5" w14:textId="77777777" w:rsidR="003B3200" w:rsidRDefault="003B3200" w:rsidP="00A721ED">
      <w:r>
        <w:t>The IP expects to review an updated draft of the proposal before making a final recommendation on whether it is ready for public comment.</w:t>
      </w:r>
    </w:p>
    <w:p w14:paraId="06E0A24F" w14:textId="77777777" w:rsidR="006D7D53" w:rsidRDefault="006D7D53" w:rsidP="00A721ED">
      <w:r>
        <w:t>All of the previously raised issues appear to have been accommodated and are therefore not mentioned here again.</w:t>
      </w:r>
    </w:p>
    <w:p w14:paraId="72BF679E" w14:textId="77777777" w:rsidR="00A721ED" w:rsidRDefault="00A721ED" w:rsidP="00A721ED"/>
    <w:p w14:paraId="33F71E12" w14:textId="77777777" w:rsidR="00A721ED" w:rsidRDefault="00A721ED" w:rsidP="00A721ED">
      <w:pPr>
        <w:pStyle w:val="Heading1"/>
      </w:pPr>
      <w:r>
        <w:t>General Comments</w:t>
      </w:r>
    </w:p>
    <w:tbl>
      <w:tblPr>
        <w:tblStyle w:val="TableGrid"/>
        <w:tblW w:w="0" w:type="auto"/>
        <w:tblLook w:val="04A0" w:firstRow="1" w:lastRow="0" w:firstColumn="1" w:lastColumn="0" w:noHBand="0" w:noVBand="1"/>
      </w:tblPr>
      <w:tblGrid>
        <w:gridCol w:w="1278"/>
        <w:gridCol w:w="4387"/>
        <w:gridCol w:w="1748"/>
        <w:gridCol w:w="1937"/>
      </w:tblGrid>
      <w:tr w:rsidR="007B60CC" w:rsidRPr="004319D6" w14:paraId="6703E7BE" w14:textId="77777777" w:rsidTr="007B60CC">
        <w:tc>
          <w:tcPr>
            <w:tcW w:w="1278" w:type="dxa"/>
          </w:tcPr>
          <w:p w14:paraId="2A49742E" w14:textId="77777777" w:rsidR="007B60CC" w:rsidRPr="004319D6" w:rsidRDefault="007B60CC" w:rsidP="009D484C">
            <w:pPr>
              <w:rPr>
                <w:b/>
                <w:bCs/>
              </w:rPr>
            </w:pPr>
            <w:r w:rsidRPr="004319D6">
              <w:rPr>
                <w:b/>
                <w:bCs/>
              </w:rPr>
              <w:t>Item</w:t>
            </w:r>
          </w:p>
        </w:tc>
        <w:tc>
          <w:tcPr>
            <w:tcW w:w="4825" w:type="dxa"/>
          </w:tcPr>
          <w:p w14:paraId="5EFAC1CE" w14:textId="77777777" w:rsidR="007B60CC" w:rsidRPr="004319D6" w:rsidRDefault="007B60CC" w:rsidP="009D484C">
            <w:pPr>
              <w:rPr>
                <w:b/>
                <w:bCs/>
              </w:rPr>
            </w:pPr>
            <w:r w:rsidRPr="004319D6">
              <w:rPr>
                <w:b/>
                <w:bCs/>
              </w:rPr>
              <w:t>Issue</w:t>
            </w:r>
          </w:p>
        </w:tc>
        <w:tc>
          <w:tcPr>
            <w:tcW w:w="1864" w:type="dxa"/>
          </w:tcPr>
          <w:p w14:paraId="54E9E569" w14:textId="77777777" w:rsidR="007B60CC" w:rsidRPr="004319D6" w:rsidRDefault="007B60CC" w:rsidP="009D484C">
            <w:pPr>
              <w:rPr>
                <w:b/>
                <w:bCs/>
              </w:rPr>
            </w:pPr>
            <w:r w:rsidRPr="004319D6">
              <w:rPr>
                <w:b/>
                <w:bCs/>
              </w:rPr>
              <w:t>IP Comment</w:t>
            </w:r>
          </w:p>
        </w:tc>
        <w:tc>
          <w:tcPr>
            <w:tcW w:w="1383" w:type="dxa"/>
          </w:tcPr>
          <w:p w14:paraId="2C12C45D" w14:textId="77777777" w:rsidR="007B60CC" w:rsidRPr="004319D6" w:rsidRDefault="007B60CC" w:rsidP="009D484C">
            <w:pPr>
              <w:rPr>
                <w:b/>
                <w:bCs/>
              </w:rPr>
            </w:pPr>
            <w:r>
              <w:rPr>
                <w:b/>
                <w:bCs/>
              </w:rPr>
              <w:t>PK</w:t>
            </w:r>
          </w:p>
        </w:tc>
      </w:tr>
      <w:tr w:rsidR="007B60CC" w14:paraId="186AF174" w14:textId="77777777" w:rsidTr="007B60CC">
        <w:tc>
          <w:tcPr>
            <w:tcW w:w="1278" w:type="dxa"/>
          </w:tcPr>
          <w:p w14:paraId="1BDE5A90" w14:textId="77777777" w:rsidR="007B60CC" w:rsidRDefault="007B60CC" w:rsidP="009D484C">
            <w:pPr>
              <w:rPr>
                <w:lang w:val="de-DE"/>
              </w:rPr>
            </w:pPr>
          </w:p>
        </w:tc>
        <w:tc>
          <w:tcPr>
            <w:tcW w:w="4825" w:type="dxa"/>
          </w:tcPr>
          <w:p w14:paraId="3C45076D" w14:textId="77777777" w:rsidR="007B60CC" w:rsidRDefault="007B60CC" w:rsidP="0084075A">
            <w:pPr>
              <w:pStyle w:val="ListParagraph"/>
              <w:ind w:left="0"/>
            </w:pPr>
          </w:p>
        </w:tc>
        <w:tc>
          <w:tcPr>
            <w:tcW w:w="1864" w:type="dxa"/>
          </w:tcPr>
          <w:p w14:paraId="3F3AB485" w14:textId="77777777" w:rsidR="007B60CC" w:rsidRDefault="007B60CC" w:rsidP="009D484C"/>
        </w:tc>
        <w:tc>
          <w:tcPr>
            <w:tcW w:w="1383" w:type="dxa"/>
          </w:tcPr>
          <w:p w14:paraId="4A2C1693" w14:textId="77777777" w:rsidR="007B60CC" w:rsidRDefault="007B60CC" w:rsidP="009D484C"/>
        </w:tc>
      </w:tr>
      <w:tr w:rsidR="007B60CC" w14:paraId="2279C3CF" w14:textId="77777777" w:rsidTr="007B60CC">
        <w:tc>
          <w:tcPr>
            <w:tcW w:w="1278" w:type="dxa"/>
          </w:tcPr>
          <w:p w14:paraId="59BD9FC5" w14:textId="77777777" w:rsidR="007B60CC" w:rsidRDefault="007B60CC" w:rsidP="009B2BA8">
            <w:pPr>
              <w:rPr>
                <w:lang w:val="de-DE"/>
              </w:rPr>
            </w:pPr>
            <w:r>
              <w:rPr>
                <w:lang w:val="de-DE"/>
              </w:rPr>
              <w:t xml:space="preserve">§3 Background on </w:t>
            </w:r>
            <w:proofErr w:type="spellStart"/>
            <w:r>
              <w:rPr>
                <w:lang w:val="de-DE"/>
              </w:rPr>
              <w:t>script</w:t>
            </w:r>
            <w:proofErr w:type="spellEnd"/>
            <w:r>
              <w:rPr>
                <w:lang w:val="de-DE"/>
              </w:rPr>
              <w:t xml:space="preserve"> ..</w:t>
            </w:r>
          </w:p>
        </w:tc>
        <w:tc>
          <w:tcPr>
            <w:tcW w:w="4825" w:type="dxa"/>
          </w:tcPr>
          <w:p w14:paraId="5AA71DFC" w14:textId="77777777" w:rsidR="007B60CC" w:rsidRPr="000A2F01" w:rsidRDefault="007B60CC" w:rsidP="000A2F01">
            <w:pPr>
              <w:pStyle w:val="ListParagraph"/>
              <w:numPr>
                <w:ilvl w:val="0"/>
                <w:numId w:val="11"/>
              </w:numPr>
            </w:pPr>
            <w:r w:rsidRPr="000A2F01">
              <w:t xml:space="preserve">. </w:t>
            </w:r>
            <w:r>
              <w:t>We previously asked “</w:t>
            </w:r>
            <w:r w:rsidRPr="000A2F01">
              <w:t>how does "CHILLU" relate to "CHILLAKSHARAM" and "SAMVRUTHOKARAM"?</w:t>
            </w:r>
            <w:r>
              <w:t>” This particular section we find difficult to follow. If any of these terms have English translations (or glosses) that would improve the explanation.</w:t>
            </w:r>
          </w:p>
          <w:p w14:paraId="58362915" w14:textId="77777777" w:rsidR="007B60CC" w:rsidRDefault="007B60CC" w:rsidP="006C08F7">
            <w:pPr>
              <w:pStyle w:val="ListParagraph"/>
            </w:pPr>
          </w:p>
          <w:p w14:paraId="30D2F0FB" w14:textId="77777777" w:rsidR="007B60CC" w:rsidRDefault="007B60CC" w:rsidP="00C235CC">
            <w:pPr>
              <w:pStyle w:val="ListParagraph"/>
              <w:ind w:left="0"/>
            </w:pPr>
          </w:p>
        </w:tc>
        <w:tc>
          <w:tcPr>
            <w:tcW w:w="1864" w:type="dxa"/>
          </w:tcPr>
          <w:p w14:paraId="2773ABAC" w14:textId="77777777" w:rsidR="007B60CC" w:rsidRDefault="007B60CC" w:rsidP="006C08F7">
            <w:r>
              <w:t>Please consider these suggestions and make appropriate edits.</w:t>
            </w:r>
          </w:p>
        </w:tc>
        <w:tc>
          <w:tcPr>
            <w:tcW w:w="1383" w:type="dxa"/>
          </w:tcPr>
          <w:p w14:paraId="1B8D9AD6" w14:textId="75367783" w:rsidR="007B60CC" w:rsidRDefault="007D6604" w:rsidP="006C08F7">
            <w:r>
              <w:t>Added “</w:t>
            </w:r>
            <w:proofErr w:type="spellStart"/>
            <w:r w:rsidRPr="007D6604">
              <w:t>Chillu</w:t>
            </w:r>
            <w:proofErr w:type="spellEnd"/>
            <w:r w:rsidRPr="007D6604">
              <w:t xml:space="preserve"> letters (</w:t>
            </w:r>
            <w:proofErr w:type="spellStart"/>
            <w:r w:rsidRPr="007D6604">
              <w:t>Chillaksharam</w:t>
            </w:r>
            <w:proofErr w:type="spellEnd"/>
            <w:r w:rsidRPr="007D6604">
              <w:t xml:space="preserve">) and </w:t>
            </w:r>
            <w:proofErr w:type="spellStart"/>
            <w:r w:rsidRPr="007D6604">
              <w:t>Samvruthokarams</w:t>
            </w:r>
            <w:proofErr w:type="spellEnd"/>
            <w:r>
              <w:t>” section at page 9</w:t>
            </w:r>
          </w:p>
        </w:tc>
      </w:tr>
      <w:tr w:rsidR="007B60CC" w14:paraId="3FC0C4C1" w14:textId="77777777" w:rsidTr="007B60CC">
        <w:tc>
          <w:tcPr>
            <w:tcW w:w="1278" w:type="dxa"/>
          </w:tcPr>
          <w:p w14:paraId="34599B4A" w14:textId="77777777" w:rsidR="007B60CC" w:rsidRDefault="007B60CC" w:rsidP="006F0907">
            <w:pPr>
              <w:rPr>
                <w:lang w:val="de-DE"/>
              </w:rPr>
            </w:pPr>
            <w:r>
              <w:rPr>
                <w:lang w:val="de-DE"/>
              </w:rPr>
              <w:t xml:space="preserve">0D33 </w:t>
            </w:r>
            <w:proofErr w:type="spellStart"/>
            <w:r>
              <w:rPr>
                <w:lang w:val="de-DE"/>
              </w:rPr>
              <w:t>0D33</w:t>
            </w:r>
            <w:proofErr w:type="spellEnd"/>
          </w:p>
          <w:p w14:paraId="6CA73D79" w14:textId="77777777" w:rsidR="007B60CC" w:rsidRDefault="007B60CC" w:rsidP="006F0907">
            <w:pPr>
              <w:rPr>
                <w:lang w:val="de-DE"/>
              </w:rPr>
            </w:pPr>
            <w:proofErr w:type="spellStart"/>
            <w:r>
              <w:rPr>
                <w:lang w:val="de-DE"/>
              </w:rPr>
              <w:t>Section</w:t>
            </w:r>
            <w:proofErr w:type="spellEnd"/>
            <w:r>
              <w:rPr>
                <w:lang w:val="de-DE"/>
              </w:rPr>
              <w:t xml:space="preserve"> 6.1, </w:t>
            </w:r>
            <w:proofErr w:type="spellStart"/>
            <w:r>
              <w:rPr>
                <w:lang w:val="de-DE"/>
              </w:rPr>
              <w:t>Section</w:t>
            </w:r>
            <w:proofErr w:type="spellEnd"/>
            <w:r>
              <w:rPr>
                <w:lang w:val="de-DE"/>
              </w:rPr>
              <w:t xml:space="preserve"> 7 </w:t>
            </w:r>
            <w:proofErr w:type="spellStart"/>
            <w:r>
              <w:rPr>
                <w:lang w:val="de-DE"/>
              </w:rPr>
              <w:t>and</w:t>
            </w:r>
            <w:proofErr w:type="spellEnd"/>
            <w:r>
              <w:rPr>
                <w:lang w:val="de-DE"/>
              </w:rPr>
              <w:t xml:space="preserve"> Appendix C</w:t>
            </w:r>
          </w:p>
        </w:tc>
        <w:tc>
          <w:tcPr>
            <w:tcW w:w="4825" w:type="dxa"/>
          </w:tcPr>
          <w:p w14:paraId="66EE31C2" w14:textId="77777777" w:rsidR="007B60CC" w:rsidRDefault="007B60CC" w:rsidP="006F0907">
            <w:pPr>
              <w:spacing w:before="100" w:beforeAutospacing="1" w:after="100" w:afterAutospacing="1"/>
              <w:rPr>
                <w:rFonts w:ascii="Candara" w:hAnsi="Candara" w:cs="Times New Roman"/>
                <w:sz w:val="20"/>
                <w:szCs w:val="20"/>
                <w:lang w:val="en-GB"/>
              </w:rPr>
            </w:pPr>
            <w:r>
              <w:rPr>
                <w:rFonts w:ascii="Candara" w:hAnsi="Candara" w:cs="Times New Roman"/>
                <w:sz w:val="20"/>
                <w:szCs w:val="20"/>
                <w:lang w:val="en-GB"/>
              </w:rPr>
              <w:t>In Section 6.1. the proposal states:</w:t>
            </w:r>
          </w:p>
          <w:p w14:paraId="5AF7C168" w14:textId="77777777" w:rsidR="007B60CC" w:rsidRDefault="007B60CC" w:rsidP="008066DA">
            <w:pPr>
              <w:jc w:val="both"/>
              <w:rPr>
                <w:rFonts w:ascii="Candara" w:hAnsi="Candara" w:cs="Times New Roman"/>
                <w:sz w:val="20"/>
                <w:szCs w:val="20"/>
                <w:lang w:val="en-GB"/>
              </w:rPr>
            </w:pPr>
            <w:r>
              <w:rPr>
                <w:rFonts w:ascii="Candara" w:hAnsi="Candara" w:cs="Times New Roman"/>
                <w:sz w:val="20"/>
                <w:szCs w:val="20"/>
                <w:lang w:val="en-GB"/>
              </w:rPr>
              <w:t>“</w:t>
            </w:r>
            <w:r>
              <w:rPr>
                <w:rFonts w:ascii="Cambria" w:eastAsia="Cambria" w:hAnsi="Cambria" w:cs="Cambria"/>
                <w:color w:val="0A1F24"/>
              </w:rPr>
              <w:t xml:space="preserve">Therefore, NBGP decides not to define Set 2 as variants, and handle this case by using the whole label evaluation rules. The rule will allow </w:t>
            </w:r>
            <w:r>
              <w:rPr>
                <w:rFonts w:ascii="Cambria" w:eastAsia="Cambria" w:hAnsi="Cambria" w:cs="Cambria"/>
              </w:rPr>
              <w:t xml:space="preserve">a consonant </w:t>
            </w:r>
            <w:r>
              <w:rPr>
                <w:rFonts w:ascii="Kartika" w:eastAsia="Kartika" w:hAnsi="Kartika" w:cs="Kartika"/>
                <w:color w:val="0A1F24"/>
                <w:cs/>
                <w:lang w:bidi="ml-IN"/>
              </w:rPr>
              <w:t>ള</w:t>
            </w:r>
            <w:r>
              <w:rPr>
                <w:rFonts w:ascii="Cambria" w:eastAsia="Cambria" w:hAnsi="Cambria" w:cs="Cambria"/>
                <w:color w:val="0A1F24"/>
              </w:rPr>
              <w:t xml:space="preserve"> (0D33) to be followed by a second 0D33, only if an H precedes it.</w:t>
            </w:r>
            <w:r>
              <w:rPr>
                <w:rFonts w:ascii="Candara" w:hAnsi="Candara" w:cs="Times New Roman"/>
                <w:sz w:val="20"/>
                <w:szCs w:val="20"/>
                <w:lang w:val="en-GB"/>
              </w:rPr>
              <w:t>”</w:t>
            </w:r>
          </w:p>
          <w:p w14:paraId="6DC39C21" w14:textId="77777777" w:rsidR="007B60CC" w:rsidRDefault="007B60CC" w:rsidP="008066DA">
            <w:pPr>
              <w:jc w:val="both"/>
              <w:rPr>
                <w:rFonts w:ascii="Candara" w:hAnsi="Candara" w:cs="Times New Roman"/>
                <w:sz w:val="20"/>
                <w:szCs w:val="20"/>
                <w:lang w:val="en-GB"/>
              </w:rPr>
            </w:pPr>
          </w:p>
          <w:p w14:paraId="044986AB" w14:textId="77777777" w:rsidR="007B60CC" w:rsidRPr="003B3200" w:rsidRDefault="007B60CC" w:rsidP="008066DA">
            <w:pPr>
              <w:pStyle w:val="CommentText"/>
              <w:rPr>
                <w:rFonts w:asciiTheme="majorHAnsi" w:hAnsiTheme="majorHAnsi"/>
              </w:rPr>
            </w:pPr>
            <w:r w:rsidRPr="003B3200">
              <w:rPr>
                <w:rFonts w:asciiTheme="majorHAnsi" w:hAnsiTheme="majorHAnsi"/>
              </w:rPr>
              <w:t xml:space="preserve">The wording of this sentence is prone to misreading: it is unclear whether the  “it” at the </w:t>
            </w:r>
            <w:r w:rsidRPr="003B3200">
              <w:rPr>
                <w:rFonts w:asciiTheme="majorHAnsi" w:hAnsiTheme="majorHAnsi"/>
              </w:rPr>
              <w:lastRenderedPageBreak/>
              <w:t xml:space="preserve">end of the sentence refers to the first or second 0D33 is  not clear and would make a difference. As written it could be read as intending to allow the sequence 0D4D 0D33 </w:t>
            </w:r>
            <w:proofErr w:type="spellStart"/>
            <w:r w:rsidRPr="003B3200">
              <w:rPr>
                <w:rFonts w:asciiTheme="majorHAnsi" w:hAnsiTheme="majorHAnsi"/>
              </w:rPr>
              <w:t>0D33</w:t>
            </w:r>
            <w:proofErr w:type="spellEnd"/>
            <w:r w:rsidRPr="003B3200">
              <w:rPr>
                <w:rFonts w:asciiTheme="majorHAnsi" w:hAnsiTheme="majorHAnsi"/>
              </w:rPr>
              <w:t xml:space="preserve"> where the first 0D33 is indeed preceded by a 0D4D and followed by an 0D33.</w:t>
            </w:r>
            <w:r w:rsidRPr="003B3200">
              <w:rPr>
                <w:rFonts w:asciiTheme="majorHAnsi" w:hAnsiTheme="majorHAnsi"/>
              </w:rPr>
              <w:br/>
            </w:r>
            <w:r w:rsidRPr="003B3200">
              <w:rPr>
                <w:rFonts w:asciiTheme="majorHAnsi" w:hAnsiTheme="majorHAnsi"/>
              </w:rPr>
              <w:br/>
              <w:t xml:space="preserve">However, it could also be read as allowing the sequence 0D33 0D4D 0D33 where the second 0D33 is preceded by 0D4D. </w:t>
            </w:r>
          </w:p>
          <w:p w14:paraId="13BFF829" w14:textId="77777777" w:rsidR="007B60CC" w:rsidRDefault="007B60CC" w:rsidP="008066DA">
            <w:pPr>
              <w:pStyle w:val="CommentText"/>
              <w:rPr>
                <w:rFonts w:ascii="Candara" w:hAnsi="Candara" w:cs="Times New Roman"/>
                <w:szCs w:val="20"/>
              </w:rPr>
            </w:pPr>
          </w:p>
          <w:p w14:paraId="469FEC8D" w14:textId="77777777" w:rsidR="007B60CC" w:rsidRDefault="007B60CC" w:rsidP="008066DA">
            <w:pPr>
              <w:jc w:val="both"/>
              <w:rPr>
                <w:rFonts w:ascii="Candara" w:hAnsi="Candara" w:cs="Times New Roman"/>
                <w:sz w:val="20"/>
                <w:szCs w:val="20"/>
                <w:lang w:val="en-GB"/>
              </w:rPr>
            </w:pPr>
          </w:p>
          <w:p w14:paraId="0042A4C9" w14:textId="77777777" w:rsidR="007B60CC" w:rsidRDefault="007B60CC" w:rsidP="008066DA">
            <w:pPr>
              <w:jc w:val="both"/>
              <w:rPr>
                <w:rFonts w:ascii="Candara" w:hAnsi="Candara" w:cs="Times New Roman"/>
                <w:sz w:val="20"/>
                <w:szCs w:val="20"/>
                <w:lang w:val="en-GB"/>
              </w:rPr>
            </w:pPr>
            <w:r>
              <w:rPr>
                <w:rFonts w:ascii="Candara" w:hAnsi="Candara" w:cs="Times New Roman"/>
                <w:sz w:val="20"/>
                <w:szCs w:val="20"/>
                <w:lang w:val="en-GB"/>
              </w:rPr>
              <w:t>In section 7 the proposal contains this unambiguous rule:</w:t>
            </w:r>
          </w:p>
          <w:p w14:paraId="17B8520B" w14:textId="77777777" w:rsidR="007B60CC" w:rsidRDefault="007B60CC" w:rsidP="008066DA">
            <w:pPr>
              <w:jc w:val="both"/>
              <w:rPr>
                <w:rFonts w:ascii="Candara" w:hAnsi="Candara" w:cs="Times New Roman"/>
                <w:sz w:val="20"/>
                <w:szCs w:val="20"/>
                <w:lang w:val="en-GB"/>
              </w:rPr>
            </w:pPr>
          </w:p>
          <w:p w14:paraId="15302B1E" w14:textId="77777777" w:rsidR="007B60CC" w:rsidRDefault="007B60CC" w:rsidP="008066DA">
            <w:pPr>
              <w:spacing w:after="120"/>
              <w:ind w:left="81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cs/>
                <w:lang w:bidi="ml-IN"/>
              </w:rPr>
              <w:t>ള</w:t>
            </w:r>
            <w:r w:rsidRPr="009E1BB5">
              <w:rPr>
                <w:rFonts w:asciiTheme="majorHAnsi" w:eastAsia="Kartika" w:hAnsiTheme="majorHAnsi" w:cs="Kartika"/>
              </w:rPr>
              <w:t xml:space="preserve"> </w:t>
            </w:r>
            <w:r>
              <w:rPr>
                <w:rFonts w:ascii="Kartika" w:eastAsia="Kartika" w:hAnsi="Kartika" w:cs="Kartika"/>
              </w:rPr>
              <w:t>(</w:t>
            </w:r>
            <w:r>
              <w:rPr>
                <w:rFonts w:ascii="Cambria" w:eastAsia="Cambria" w:hAnsi="Cambria" w:cs="Cambria"/>
              </w:rPr>
              <w:t xml:space="preserve">0D33) cannot immediately follow </w:t>
            </w:r>
            <w:r>
              <w:rPr>
                <w:rFonts w:ascii="Kartika" w:eastAsia="Kartika" w:hAnsi="Kartika" w:cs="Kartika"/>
                <w:cs/>
                <w:lang w:bidi="ml-IN"/>
              </w:rPr>
              <w:t>ള</w:t>
            </w:r>
            <w:r w:rsidRPr="009E1BB5">
              <w:rPr>
                <w:rFonts w:asciiTheme="majorHAnsi" w:eastAsia="Kartika" w:hAnsiTheme="majorHAnsi" w:cs="Kartika"/>
              </w:rPr>
              <w:t xml:space="preserve"> </w:t>
            </w:r>
            <w:r>
              <w:rPr>
                <w:rFonts w:ascii="Kartika" w:eastAsia="Kartika" w:hAnsi="Kartika" w:cs="Kartika"/>
              </w:rPr>
              <w:t>(</w:t>
            </w:r>
            <w:r>
              <w:rPr>
                <w:rFonts w:ascii="Cambria" w:eastAsia="Cambria" w:hAnsi="Cambria" w:cs="Cambria"/>
              </w:rPr>
              <w:t>0D33)”</w:t>
            </w:r>
          </w:p>
          <w:p w14:paraId="73F2EBCD" w14:textId="77777777" w:rsidR="007B60CC" w:rsidRDefault="007B60CC" w:rsidP="008066DA">
            <w:r>
              <w:rPr>
                <w:rFonts w:ascii="Cambria" w:eastAsia="Cambria" w:hAnsi="Cambria" w:cs="Cambria"/>
              </w:rPr>
              <w:t xml:space="preserve">The effect of this rule is that </w:t>
            </w:r>
            <w:r>
              <w:rPr>
                <w:rFonts w:ascii="Cambria" w:eastAsia="Cambria" w:hAnsi="Cambria" w:cs="Cambria"/>
                <w:b/>
                <w:bCs/>
                <w:i/>
                <w:iCs/>
              </w:rPr>
              <w:t>any</w:t>
            </w:r>
            <w:r>
              <w:t xml:space="preserve"> combination of 0D33 </w:t>
            </w:r>
            <w:proofErr w:type="spellStart"/>
            <w:r>
              <w:t>0D33</w:t>
            </w:r>
            <w:proofErr w:type="spellEnd"/>
            <w:r>
              <w:t xml:space="preserve"> in a label is disallowed.</w:t>
            </w:r>
          </w:p>
          <w:p w14:paraId="494D1BED" w14:textId="77777777" w:rsidR="007B60CC" w:rsidRDefault="007B60CC" w:rsidP="008066DA"/>
          <w:p w14:paraId="2E353A46" w14:textId="77777777" w:rsidR="007B60CC" w:rsidRDefault="007B60CC" w:rsidP="008066DA">
            <w:r>
              <w:t>However, Appendix C states on page 26:</w:t>
            </w:r>
          </w:p>
          <w:p w14:paraId="4B096DD7" w14:textId="77777777" w:rsidR="007B60CC" w:rsidRDefault="007B60CC" w:rsidP="008066DA"/>
          <w:p w14:paraId="43C7A5D9" w14:textId="77777777" w:rsidR="007B60CC" w:rsidRDefault="007B60CC" w:rsidP="008066DA">
            <w:pPr>
              <w:rPr>
                <w:color w:val="000000"/>
              </w:rPr>
            </w:pPr>
            <w:r>
              <w:t>“</w:t>
            </w:r>
            <w:r>
              <w:rPr>
                <w:color w:val="000000"/>
              </w:rPr>
              <w:t xml:space="preserve">This has been restricted by a WLE rule 7. </w:t>
            </w:r>
            <w:r>
              <w:t>It allows the combination “</w:t>
            </w:r>
            <w:r>
              <w:rPr>
                <w:rFonts w:ascii="Kartika" w:eastAsia="Kartika" w:hAnsi="Kartika" w:cs="Kartika"/>
                <w:cs/>
                <w:lang w:bidi="ml-IN"/>
              </w:rPr>
              <w:t>ള്ളള</w:t>
            </w:r>
            <w:r>
              <w:t>” (0D33 0D4D 0D33 0D33) which is present in words like “</w:t>
            </w:r>
            <w:r>
              <w:rPr>
                <w:rFonts w:ascii="Kartika" w:eastAsia="Kartika" w:hAnsi="Kartika" w:cs="Kartika"/>
                <w:cs/>
                <w:lang w:bidi="ml-IN"/>
              </w:rPr>
              <w:t>ഉള്ളളവ്</w:t>
            </w:r>
            <w:r>
              <w:t xml:space="preserve">” (meaning: inner dimension viz. volume), </w:t>
            </w:r>
            <w:r>
              <w:rPr>
                <w:color w:val="000000"/>
              </w:rPr>
              <w:t>and blocks the combination “</w:t>
            </w:r>
            <w:r>
              <w:rPr>
                <w:rFonts w:ascii="Kartika" w:eastAsia="Kartika" w:hAnsi="Kartika" w:cs="Kartika"/>
                <w:color w:val="000000"/>
                <w:cs/>
                <w:lang w:bidi="ml-IN"/>
              </w:rPr>
              <w:t>ളള്ള</w:t>
            </w:r>
            <w:r>
              <w:rPr>
                <w:color w:val="000000"/>
              </w:rPr>
              <w:t xml:space="preserve">” (0D33 </w:t>
            </w:r>
            <w:proofErr w:type="spellStart"/>
            <w:r>
              <w:rPr>
                <w:color w:val="000000"/>
              </w:rPr>
              <w:t>0D33</w:t>
            </w:r>
            <w:proofErr w:type="spellEnd"/>
            <w:r>
              <w:rPr>
                <w:color w:val="000000"/>
              </w:rPr>
              <w:t xml:space="preserve"> 0D4D 0D33) which is rarely found in usage.”</w:t>
            </w:r>
          </w:p>
          <w:p w14:paraId="5D326061" w14:textId="77777777" w:rsidR="007B60CC" w:rsidRDefault="007B60CC" w:rsidP="008066DA">
            <w:pPr>
              <w:rPr>
                <w:color w:val="000000"/>
              </w:rPr>
            </w:pPr>
          </w:p>
          <w:p w14:paraId="70A84E50" w14:textId="77777777" w:rsidR="007B60CC" w:rsidRDefault="007B60CC" w:rsidP="008066DA">
            <w:pPr>
              <w:rPr>
                <w:color w:val="000000"/>
              </w:rPr>
            </w:pPr>
            <w:r>
              <w:rPr>
                <w:color w:val="000000"/>
              </w:rPr>
              <w:t xml:space="preserve">This latter statement is incorrect, as the 0D33 </w:t>
            </w:r>
            <w:proofErr w:type="spellStart"/>
            <w:r>
              <w:rPr>
                <w:color w:val="000000"/>
              </w:rPr>
              <w:t>0D33</w:t>
            </w:r>
            <w:proofErr w:type="spellEnd"/>
            <w:r>
              <w:rPr>
                <w:color w:val="000000"/>
              </w:rPr>
              <w:t xml:space="preserve"> in the combination “</w:t>
            </w:r>
            <w:r w:rsidRPr="008066DA">
              <w:rPr>
                <w:rFonts w:ascii="Kartika" w:hAnsi="Kartika" w:cs="Kartika" w:hint="cs"/>
                <w:color w:val="000000"/>
                <w:cs/>
                <w:lang w:bidi="ml-IN"/>
              </w:rPr>
              <w:t>ള്ളള</w:t>
            </w:r>
            <w:r w:rsidRPr="008066DA">
              <w:rPr>
                <w:color w:val="000000"/>
              </w:rPr>
              <w:t xml:space="preserve">” (0D33 0D4D </w:t>
            </w:r>
            <w:r w:rsidRPr="008066DA">
              <w:rPr>
                <w:b/>
                <w:bCs/>
                <w:color w:val="000000"/>
              </w:rPr>
              <w:t>0D33 0D33</w:t>
            </w:r>
            <w:r w:rsidRPr="008066DA">
              <w:rPr>
                <w:color w:val="000000"/>
              </w:rPr>
              <w:t>)</w:t>
            </w:r>
            <w:r>
              <w:rPr>
                <w:color w:val="000000"/>
              </w:rPr>
              <w:t xml:space="preserve"> would also be invalid under WLE Rule 7.</w:t>
            </w:r>
          </w:p>
          <w:p w14:paraId="03D1548B" w14:textId="77777777" w:rsidR="007B60CC" w:rsidRDefault="007B60CC" w:rsidP="008066DA">
            <w:pPr>
              <w:rPr>
                <w:color w:val="000000"/>
              </w:rPr>
            </w:pPr>
          </w:p>
          <w:p w14:paraId="10A5072E" w14:textId="77777777" w:rsidR="007B60CC" w:rsidRDefault="007B60CC" w:rsidP="008066DA">
            <w:pPr>
              <w:rPr>
                <w:color w:val="000000"/>
              </w:rPr>
            </w:pPr>
            <w:r>
              <w:rPr>
                <w:color w:val="000000"/>
              </w:rPr>
              <w:t>There are two possibilities:</w:t>
            </w:r>
          </w:p>
          <w:p w14:paraId="26112968" w14:textId="77777777" w:rsidR="007B60CC" w:rsidRDefault="007B60CC" w:rsidP="008066DA">
            <w:pPr>
              <w:rPr>
                <w:color w:val="000000"/>
              </w:rPr>
            </w:pPr>
            <w:r>
              <w:rPr>
                <w:color w:val="000000"/>
              </w:rPr>
              <w:t>1) The statement on p. 26 in Appendix C is incorrect. In that case, it should be corrected.</w:t>
            </w:r>
          </w:p>
          <w:p w14:paraId="7B6E4F5F" w14:textId="77777777" w:rsidR="007B60CC" w:rsidRPr="008066DA" w:rsidRDefault="007B60CC" w:rsidP="008066DA">
            <w:r>
              <w:rPr>
                <w:color w:val="000000"/>
              </w:rPr>
              <w:t xml:space="preserve">2) The statement </w:t>
            </w:r>
            <w:r w:rsidRPr="009E1BB5">
              <w:rPr>
                <w:color w:val="000000"/>
              </w:rPr>
              <w:t xml:space="preserve">on p. 26 in Appendix C </w:t>
            </w:r>
            <w:r>
              <w:rPr>
                <w:color w:val="000000"/>
              </w:rPr>
              <w:t>does describe the actual intent of the GP. In that case, the WLE rule 7 would need to be modified (and the statement on p. 20 in Section 5.x would need to be extended).</w:t>
            </w:r>
          </w:p>
          <w:p w14:paraId="51E7F27C" w14:textId="77777777" w:rsidR="007B60CC" w:rsidRDefault="007B60CC" w:rsidP="008066DA">
            <w:pPr>
              <w:jc w:val="both"/>
              <w:rPr>
                <w:rFonts w:ascii="Candara" w:hAnsi="Candara" w:cs="Times New Roman"/>
                <w:sz w:val="20"/>
                <w:szCs w:val="20"/>
                <w:lang w:val="en-GB"/>
              </w:rPr>
            </w:pPr>
          </w:p>
          <w:p w14:paraId="4A4E6C5E" w14:textId="77777777" w:rsidR="007B60CC" w:rsidRDefault="007B60CC" w:rsidP="008066DA">
            <w:pPr>
              <w:jc w:val="both"/>
              <w:rPr>
                <w:rFonts w:ascii="Candara" w:hAnsi="Candara" w:cs="Times New Roman"/>
                <w:sz w:val="20"/>
                <w:szCs w:val="20"/>
                <w:lang w:val="en-GB"/>
              </w:rPr>
            </w:pPr>
            <w:r>
              <w:rPr>
                <w:rFonts w:ascii="Candara" w:hAnsi="Candara" w:cs="Times New Roman"/>
                <w:sz w:val="20"/>
                <w:szCs w:val="20"/>
                <w:lang w:val="en-GB"/>
              </w:rPr>
              <w:t xml:space="preserve">If needed, a sequence 0D4D 0D33 </w:t>
            </w:r>
            <w:proofErr w:type="spellStart"/>
            <w:r>
              <w:rPr>
                <w:rFonts w:ascii="Candara" w:hAnsi="Candara" w:cs="Times New Roman"/>
                <w:sz w:val="20"/>
                <w:szCs w:val="20"/>
                <w:lang w:val="en-GB"/>
              </w:rPr>
              <w:t>0D33</w:t>
            </w:r>
            <w:proofErr w:type="spellEnd"/>
            <w:r>
              <w:rPr>
                <w:rFonts w:ascii="Candara" w:hAnsi="Candara" w:cs="Times New Roman"/>
                <w:sz w:val="20"/>
                <w:szCs w:val="20"/>
                <w:lang w:val="en-GB"/>
              </w:rPr>
              <w:t xml:space="preserve"> could be added to the repertoire. Adding such a sequence would have the effect of allowing the case </w:t>
            </w:r>
            <w:r w:rsidRPr="00D06AE6">
              <w:rPr>
                <w:rFonts w:ascii="Candara" w:hAnsi="Candara" w:cs="Times New Roman"/>
                <w:sz w:val="20"/>
                <w:szCs w:val="20"/>
              </w:rPr>
              <w:lastRenderedPageBreak/>
              <w:t>“</w:t>
            </w:r>
            <w:r w:rsidRPr="00D06AE6">
              <w:rPr>
                <w:rFonts w:ascii="Kartika" w:hAnsi="Kartika" w:cs="Kartika" w:hint="cs"/>
                <w:sz w:val="20"/>
                <w:szCs w:val="20"/>
                <w:cs/>
                <w:lang w:bidi="ml-IN"/>
              </w:rPr>
              <w:t>ള്ളള</w:t>
            </w:r>
            <w:r w:rsidRPr="00D06AE6">
              <w:rPr>
                <w:rFonts w:ascii="Candara" w:hAnsi="Candara" w:cs="Times New Roman"/>
                <w:sz w:val="20"/>
                <w:szCs w:val="20"/>
              </w:rPr>
              <w:t xml:space="preserve">” (0D33 </w:t>
            </w:r>
            <w:r w:rsidRPr="00D06AE6">
              <w:rPr>
                <w:rFonts w:ascii="Candara" w:hAnsi="Candara" w:cs="Times New Roman"/>
                <w:b/>
                <w:bCs/>
                <w:sz w:val="20"/>
                <w:szCs w:val="20"/>
              </w:rPr>
              <w:t>0D4D 0D33 0D33</w:t>
            </w:r>
            <w:r w:rsidRPr="00D06AE6">
              <w:rPr>
                <w:rFonts w:ascii="Candara" w:hAnsi="Candara" w:cs="Times New Roman"/>
                <w:sz w:val="20"/>
                <w:szCs w:val="20"/>
              </w:rPr>
              <w:t>)</w:t>
            </w:r>
            <w:r>
              <w:rPr>
                <w:rFonts w:ascii="Candara" w:hAnsi="Candara" w:cs="Times New Roman"/>
                <w:sz w:val="20"/>
                <w:szCs w:val="20"/>
              </w:rPr>
              <w:t xml:space="preserve"> while continue to disallow </w:t>
            </w:r>
            <w:r w:rsidRPr="00D06AE6">
              <w:rPr>
                <w:rFonts w:ascii="Candara" w:hAnsi="Candara" w:cs="Times New Roman"/>
                <w:b/>
                <w:bCs/>
                <w:sz w:val="20"/>
                <w:szCs w:val="20"/>
              </w:rPr>
              <w:t xml:space="preserve">0D33 </w:t>
            </w:r>
            <w:proofErr w:type="spellStart"/>
            <w:r w:rsidRPr="00D06AE6">
              <w:rPr>
                <w:rFonts w:ascii="Candara" w:hAnsi="Candara" w:cs="Times New Roman"/>
                <w:b/>
                <w:bCs/>
                <w:sz w:val="20"/>
                <w:szCs w:val="20"/>
              </w:rPr>
              <w:t>0D33</w:t>
            </w:r>
            <w:proofErr w:type="spellEnd"/>
            <w:r>
              <w:rPr>
                <w:rFonts w:ascii="Candara" w:hAnsi="Candara" w:cs="Times New Roman"/>
                <w:sz w:val="20"/>
                <w:szCs w:val="20"/>
              </w:rPr>
              <w:t xml:space="preserve"> everywhere else, including in </w:t>
            </w:r>
            <w:r w:rsidRPr="00D06AE6">
              <w:rPr>
                <w:rFonts w:ascii="Candara" w:hAnsi="Candara" w:cs="Times New Roman"/>
                <w:sz w:val="20"/>
                <w:szCs w:val="20"/>
              </w:rPr>
              <w:t>“</w:t>
            </w:r>
            <w:r w:rsidRPr="00D06AE6">
              <w:rPr>
                <w:rFonts w:ascii="Kartika" w:hAnsi="Kartika" w:cs="Kartika" w:hint="cs"/>
                <w:sz w:val="20"/>
                <w:szCs w:val="20"/>
                <w:cs/>
                <w:lang w:bidi="ml-IN"/>
              </w:rPr>
              <w:t>ളള്ള</w:t>
            </w:r>
            <w:r w:rsidRPr="00D06AE6">
              <w:rPr>
                <w:rFonts w:ascii="Candara" w:hAnsi="Candara" w:cs="Times New Roman"/>
                <w:sz w:val="20"/>
                <w:szCs w:val="20"/>
              </w:rPr>
              <w:t>” (</w:t>
            </w:r>
            <w:r w:rsidRPr="00D06AE6">
              <w:rPr>
                <w:rFonts w:ascii="Candara" w:hAnsi="Candara" w:cs="Times New Roman"/>
                <w:b/>
                <w:bCs/>
                <w:sz w:val="20"/>
                <w:szCs w:val="20"/>
              </w:rPr>
              <w:t xml:space="preserve">0D33 </w:t>
            </w:r>
            <w:proofErr w:type="spellStart"/>
            <w:r w:rsidRPr="00D06AE6">
              <w:rPr>
                <w:rFonts w:ascii="Candara" w:hAnsi="Candara" w:cs="Times New Roman"/>
                <w:b/>
                <w:bCs/>
                <w:sz w:val="20"/>
                <w:szCs w:val="20"/>
              </w:rPr>
              <w:t>0D33</w:t>
            </w:r>
            <w:proofErr w:type="spellEnd"/>
            <w:r w:rsidRPr="00D06AE6">
              <w:rPr>
                <w:rFonts w:ascii="Candara" w:hAnsi="Candara" w:cs="Times New Roman"/>
                <w:sz w:val="20"/>
                <w:szCs w:val="20"/>
              </w:rPr>
              <w:t xml:space="preserve"> 0D4D 0D33)</w:t>
            </w:r>
          </w:p>
        </w:tc>
        <w:tc>
          <w:tcPr>
            <w:tcW w:w="1864" w:type="dxa"/>
          </w:tcPr>
          <w:p w14:paraId="3DA02C83" w14:textId="77777777" w:rsidR="007B60CC" w:rsidRDefault="007B60CC" w:rsidP="006F0907">
            <w:r>
              <w:lastRenderedPageBreak/>
              <w:t>Please reaffirm the exact intent of the restriction on 0D33 and make any edits in explanatory texts or LGR specifications as needed.</w:t>
            </w:r>
          </w:p>
        </w:tc>
        <w:tc>
          <w:tcPr>
            <w:tcW w:w="1383" w:type="dxa"/>
          </w:tcPr>
          <w:p w14:paraId="60A93986" w14:textId="6ADCC75F" w:rsidR="00E37243" w:rsidRDefault="00952B15" w:rsidP="00E37243">
            <w:pPr>
              <w:rPr>
                <w:rFonts w:ascii="Cambria" w:hAnsi="Cambria"/>
                <w:color w:val="0A1F24"/>
              </w:rPr>
            </w:pPr>
            <w:r>
              <w:rPr>
                <w:rFonts w:ascii="Cambria" w:eastAsia="Cambria" w:hAnsi="Cambria" w:cs="Cambria"/>
                <w:color w:val="0A1F24"/>
              </w:rPr>
              <w:t xml:space="preserve">Added </w:t>
            </w:r>
            <w:r w:rsidR="00E37243">
              <w:rPr>
                <w:rFonts w:ascii="Cambria" w:hAnsi="Cambria"/>
                <w:color w:val="0A1F24"/>
              </w:rPr>
              <w:t xml:space="preserve">a sequence </w:t>
            </w:r>
            <w:r w:rsidR="005236CE">
              <w:rPr>
                <w:rFonts w:ascii="Cambria" w:hAnsi="Cambria"/>
                <w:color w:val="0A1F24"/>
              </w:rPr>
              <w:t xml:space="preserve">0D33 </w:t>
            </w:r>
            <w:r w:rsidR="00E37243">
              <w:rPr>
                <w:rFonts w:ascii="Cambria" w:hAnsi="Cambria"/>
                <w:color w:val="0A1F24"/>
              </w:rPr>
              <w:t xml:space="preserve">0D4D 0D33. </w:t>
            </w:r>
          </w:p>
          <w:p w14:paraId="7B518655" w14:textId="019B535F" w:rsidR="00E37243" w:rsidRDefault="00E37243" w:rsidP="00E37243">
            <w:pPr>
              <w:rPr>
                <w:rFonts w:ascii="Cambria" w:hAnsi="Cambria"/>
                <w:color w:val="0A1F24"/>
              </w:rPr>
            </w:pPr>
          </w:p>
          <w:p w14:paraId="3EDA0F58" w14:textId="12F13522" w:rsidR="00E37243" w:rsidRPr="00E37243" w:rsidRDefault="00E37243" w:rsidP="00E37243">
            <w:pPr>
              <w:rPr>
                <w:rFonts w:ascii="Cambria" w:hAnsi="Cambria"/>
                <w:color w:val="0A1F24"/>
              </w:rPr>
            </w:pPr>
            <w:r>
              <w:rPr>
                <w:rFonts w:ascii="Cambria" w:hAnsi="Cambria"/>
                <w:color w:val="0A1F24"/>
              </w:rPr>
              <w:t xml:space="preserve">The intention is to allow </w:t>
            </w:r>
            <w:r>
              <w:t>“</w:t>
            </w:r>
            <w:r>
              <w:rPr>
                <w:rFonts w:ascii="Kartika" w:eastAsia="Kartika" w:hAnsi="Kartika" w:cs="Kartika"/>
                <w:cs/>
                <w:lang w:bidi="ml-IN"/>
              </w:rPr>
              <w:t>ള്ളള</w:t>
            </w:r>
            <w:r>
              <w:t xml:space="preserve">” (0D33 0D4D 0D33 0D33) but block </w:t>
            </w:r>
            <w:r>
              <w:rPr>
                <w:color w:val="000000"/>
              </w:rPr>
              <w:t xml:space="preserve">blocks the combination </w:t>
            </w:r>
            <w:r>
              <w:rPr>
                <w:color w:val="000000"/>
              </w:rPr>
              <w:lastRenderedPageBreak/>
              <w:t>“</w:t>
            </w:r>
            <w:r>
              <w:rPr>
                <w:rFonts w:ascii="Kartika" w:eastAsia="Kartika" w:hAnsi="Kartika" w:cs="Kartika"/>
                <w:color w:val="000000"/>
                <w:cs/>
                <w:lang w:bidi="ml-IN"/>
              </w:rPr>
              <w:t>ളള്ള</w:t>
            </w:r>
            <w:r>
              <w:rPr>
                <w:color w:val="000000"/>
              </w:rPr>
              <w:t xml:space="preserve">” (0D33 </w:t>
            </w:r>
            <w:proofErr w:type="spellStart"/>
            <w:r>
              <w:rPr>
                <w:color w:val="000000"/>
              </w:rPr>
              <w:t>0D33</w:t>
            </w:r>
            <w:proofErr w:type="spellEnd"/>
            <w:r>
              <w:rPr>
                <w:color w:val="000000"/>
              </w:rPr>
              <w:t xml:space="preserve"> 0D4D 0D33)</w:t>
            </w:r>
          </w:p>
          <w:p w14:paraId="44D879AD" w14:textId="4575D7C0" w:rsidR="007B60CC" w:rsidRDefault="007B60CC" w:rsidP="006F0907"/>
        </w:tc>
      </w:tr>
      <w:tr w:rsidR="007B60CC" w14:paraId="6D632F1F" w14:textId="77777777" w:rsidTr="007B60CC">
        <w:tc>
          <w:tcPr>
            <w:tcW w:w="1278" w:type="dxa"/>
          </w:tcPr>
          <w:p w14:paraId="6148F0F6" w14:textId="77777777" w:rsidR="007B60CC" w:rsidRDefault="007B60CC" w:rsidP="009D484C">
            <w:r>
              <w:lastRenderedPageBreak/>
              <w:t>References</w:t>
            </w:r>
          </w:p>
        </w:tc>
        <w:tc>
          <w:tcPr>
            <w:tcW w:w="4825" w:type="dxa"/>
          </w:tcPr>
          <w:p w14:paraId="4650E6D5" w14:textId="77777777" w:rsidR="007B60CC" w:rsidRDefault="007B60CC" w:rsidP="009D484C">
            <w:pPr>
              <w:pStyle w:val="ListParagraph"/>
              <w:numPr>
                <w:ilvl w:val="0"/>
                <w:numId w:val="6"/>
              </w:numPr>
              <w:ind w:left="228" w:hanging="270"/>
            </w:pPr>
            <w:r>
              <w:t>Some of the punctuation and other conventions in listing references are still a bit different from the majority of LGR proposals – some tweaks have been suggested.</w:t>
            </w:r>
          </w:p>
          <w:p w14:paraId="28B44E93" w14:textId="77777777" w:rsidR="007B60CC" w:rsidRDefault="007B60CC" w:rsidP="009B2BA8">
            <w:pPr>
              <w:pStyle w:val="ListParagraph"/>
              <w:ind w:left="228"/>
            </w:pPr>
          </w:p>
        </w:tc>
        <w:tc>
          <w:tcPr>
            <w:tcW w:w="1864" w:type="dxa"/>
          </w:tcPr>
          <w:p w14:paraId="28372509" w14:textId="77777777" w:rsidR="007B60CC" w:rsidRDefault="007B60CC" w:rsidP="009D484C">
            <w:r>
              <w:t>Please make edits as suggested</w:t>
            </w:r>
          </w:p>
        </w:tc>
        <w:tc>
          <w:tcPr>
            <w:tcW w:w="1383" w:type="dxa"/>
          </w:tcPr>
          <w:p w14:paraId="6694969F" w14:textId="3B30396F" w:rsidR="007B60CC" w:rsidRDefault="00C36951" w:rsidP="009D484C">
            <w:r>
              <w:t>Accepted suggestions.</w:t>
            </w:r>
          </w:p>
        </w:tc>
      </w:tr>
    </w:tbl>
    <w:p w14:paraId="11139E8B" w14:textId="77777777" w:rsidR="009D484C" w:rsidRDefault="009D484C"/>
    <w:p w14:paraId="38B5EBBA" w14:textId="77777777" w:rsidR="00A721ED" w:rsidRPr="00A721ED" w:rsidRDefault="00A721ED" w:rsidP="0005427D">
      <w:pPr>
        <w:pStyle w:val="Heading1"/>
      </w:pPr>
      <w:r>
        <w:t>Whole Label Evaluation Rules</w:t>
      </w:r>
    </w:p>
    <w:tbl>
      <w:tblPr>
        <w:tblStyle w:val="TableGrid"/>
        <w:tblW w:w="0" w:type="auto"/>
        <w:tblLook w:val="04A0" w:firstRow="1" w:lastRow="0" w:firstColumn="1" w:lastColumn="0" w:noHBand="0" w:noVBand="1"/>
      </w:tblPr>
      <w:tblGrid>
        <w:gridCol w:w="972"/>
        <w:gridCol w:w="4029"/>
        <w:gridCol w:w="2335"/>
        <w:gridCol w:w="2014"/>
      </w:tblGrid>
      <w:tr w:rsidR="00C36951" w:rsidRPr="00A721ED" w14:paraId="6C6188E9" w14:textId="311D475E" w:rsidTr="00C36951">
        <w:tc>
          <w:tcPr>
            <w:tcW w:w="972" w:type="dxa"/>
          </w:tcPr>
          <w:p w14:paraId="3620FF02" w14:textId="77777777" w:rsidR="00C36951" w:rsidRPr="00A721ED" w:rsidRDefault="00C36951" w:rsidP="00A721ED">
            <w:pPr>
              <w:pStyle w:val="NoSpacing"/>
              <w:rPr>
                <w:b/>
                <w:bCs/>
              </w:rPr>
            </w:pPr>
            <w:r w:rsidRPr="00A721ED">
              <w:rPr>
                <w:b/>
                <w:bCs/>
              </w:rPr>
              <w:t>Item</w:t>
            </w:r>
          </w:p>
        </w:tc>
        <w:tc>
          <w:tcPr>
            <w:tcW w:w="4029" w:type="dxa"/>
          </w:tcPr>
          <w:p w14:paraId="2AE3D1A9" w14:textId="77777777" w:rsidR="00C36951" w:rsidRPr="00A721ED" w:rsidRDefault="00C36951" w:rsidP="00A721ED">
            <w:pPr>
              <w:pStyle w:val="NoSpacing"/>
              <w:rPr>
                <w:b/>
                <w:bCs/>
              </w:rPr>
            </w:pPr>
            <w:r w:rsidRPr="00A721ED">
              <w:rPr>
                <w:b/>
                <w:bCs/>
              </w:rPr>
              <w:t>Issue</w:t>
            </w:r>
          </w:p>
        </w:tc>
        <w:tc>
          <w:tcPr>
            <w:tcW w:w="2335" w:type="dxa"/>
          </w:tcPr>
          <w:p w14:paraId="00EF0362" w14:textId="77777777" w:rsidR="00C36951" w:rsidRPr="00A721ED" w:rsidRDefault="00C36951" w:rsidP="00A721ED">
            <w:pPr>
              <w:pStyle w:val="NoSpacing"/>
              <w:rPr>
                <w:b/>
                <w:bCs/>
              </w:rPr>
            </w:pPr>
            <w:r w:rsidRPr="00A721ED">
              <w:rPr>
                <w:b/>
                <w:bCs/>
              </w:rPr>
              <w:t>IP Comment</w:t>
            </w:r>
          </w:p>
        </w:tc>
        <w:tc>
          <w:tcPr>
            <w:tcW w:w="2014" w:type="dxa"/>
          </w:tcPr>
          <w:p w14:paraId="4B47A854" w14:textId="5803F47E" w:rsidR="00C36951" w:rsidRPr="00A721ED" w:rsidRDefault="00C36951" w:rsidP="00A721ED">
            <w:pPr>
              <w:pStyle w:val="NoSpacing"/>
              <w:rPr>
                <w:b/>
                <w:bCs/>
              </w:rPr>
            </w:pPr>
            <w:r>
              <w:rPr>
                <w:b/>
                <w:bCs/>
              </w:rPr>
              <w:t>PK</w:t>
            </w:r>
          </w:p>
        </w:tc>
      </w:tr>
      <w:tr w:rsidR="00C36951" w:rsidRPr="00A721ED" w14:paraId="0306B1E3" w14:textId="17118DC9" w:rsidTr="00C36951">
        <w:tc>
          <w:tcPr>
            <w:tcW w:w="972" w:type="dxa"/>
          </w:tcPr>
          <w:p w14:paraId="74CE4954" w14:textId="77777777" w:rsidR="00C36951" w:rsidRPr="000A2F01" w:rsidRDefault="00C36951" w:rsidP="00A721ED">
            <w:pPr>
              <w:spacing w:after="200" w:line="276" w:lineRule="auto"/>
            </w:pPr>
            <w:r>
              <w:rPr>
                <w:lang w:val="de-DE"/>
              </w:rPr>
              <w:t>§7</w:t>
            </w:r>
          </w:p>
        </w:tc>
        <w:tc>
          <w:tcPr>
            <w:tcW w:w="4029" w:type="dxa"/>
          </w:tcPr>
          <w:p w14:paraId="28E01C78" w14:textId="77777777" w:rsidR="00C36951" w:rsidRDefault="00C36951" w:rsidP="000A2F01">
            <w:pPr>
              <w:pStyle w:val="ListParagraph"/>
              <w:numPr>
                <w:ilvl w:val="0"/>
                <w:numId w:val="10"/>
              </w:numPr>
            </w:pPr>
            <w:r>
              <w:t xml:space="preserve">The use of WLE to handle the case of 0D33 </w:t>
            </w:r>
            <w:proofErr w:type="spellStart"/>
            <w:r>
              <w:t>0D33</w:t>
            </w:r>
            <w:proofErr w:type="spellEnd"/>
            <w:r>
              <w:t xml:space="preserve"> appears promising, however, some statements in Appendix C seem to indicate a different understanding of the intended restriction. </w:t>
            </w:r>
          </w:p>
          <w:p w14:paraId="38B0F24C" w14:textId="77777777" w:rsidR="00C36951" w:rsidRDefault="00C36951" w:rsidP="000A2F01">
            <w:pPr>
              <w:pStyle w:val="ListParagraph"/>
              <w:numPr>
                <w:ilvl w:val="0"/>
                <w:numId w:val="10"/>
              </w:numPr>
            </w:pPr>
            <w:r>
              <w:t xml:space="preserve">To match the modified restriction as expressed in Appendix </w:t>
            </w:r>
            <w:proofErr w:type="spellStart"/>
            <w:r>
              <w:t>C,an</w:t>
            </w:r>
            <w:proofErr w:type="spellEnd"/>
            <w:r>
              <w:t xml:space="preserve"> exception would need to be added. This is best done not by modifying the rule 7, but, e.g. by defining sequence 0D33 0D4D 0D33 so that it can be followed by 0D33.</w:t>
            </w:r>
          </w:p>
          <w:p w14:paraId="774C2B1E" w14:textId="77777777" w:rsidR="00C36951" w:rsidRPr="00A721ED" w:rsidRDefault="00C36951" w:rsidP="009B2BA8">
            <w:pPr>
              <w:pStyle w:val="ListParagraph"/>
              <w:numPr>
                <w:ilvl w:val="0"/>
                <w:numId w:val="10"/>
              </w:numPr>
            </w:pPr>
            <w:r>
              <w:t>Doing this would not require any change to the rules as stated, but would require a change to section 5 and the XML data (addition of the section).</w:t>
            </w:r>
          </w:p>
        </w:tc>
        <w:tc>
          <w:tcPr>
            <w:tcW w:w="2335" w:type="dxa"/>
          </w:tcPr>
          <w:p w14:paraId="401F121D" w14:textId="77777777" w:rsidR="00C36951" w:rsidRPr="00A721ED" w:rsidRDefault="00C36951" w:rsidP="00A721ED">
            <w:pPr>
              <w:spacing w:after="200" w:line="276" w:lineRule="auto"/>
            </w:pPr>
            <w:r>
              <w:t>See separate discussion</w:t>
            </w:r>
          </w:p>
        </w:tc>
        <w:tc>
          <w:tcPr>
            <w:tcW w:w="2014" w:type="dxa"/>
          </w:tcPr>
          <w:p w14:paraId="177927BF" w14:textId="7DC13D52" w:rsidR="00C36951" w:rsidRDefault="00C36951" w:rsidP="00A721ED">
            <w:r>
              <w:t xml:space="preserve">Accept the attached XML. </w:t>
            </w:r>
          </w:p>
        </w:tc>
      </w:tr>
    </w:tbl>
    <w:p w14:paraId="32E312A7" w14:textId="77777777" w:rsidR="00A721ED" w:rsidRDefault="00A721ED" w:rsidP="00A721ED">
      <w:pPr>
        <w:ind w:left="432"/>
        <w:rPr>
          <w:b/>
          <w:bCs/>
        </w:rPr>
      </w:pPr>
    </w:p>
    <w:p w14:paraId="4C4F6B8F" w14:textId="77777777" w:rsidR="00A721ED" w:rsidRPr="00A721ED" w:rsidRDefault="00A721ED" w:rsidP="0005427D">
      <w:pPr>
        <w:pStyle w:val="Heading1"/>
      </w:pPr>
      <w:r>
        <w:t>XML file specific</w:t>
      </w:r>
    </w:p>
    <w:tbl>
      <w:tblPr>
        <w:tblStyle w:val="TableGrid"/>
        <w:tblW w:w="0" w:type="auto"/>
        <w:tblLook w:val="04A0" w:firstRow="1" w:lastRow="0" w:firstColumn="1" w:lastColumn="0" w:noHBand="0" w:noVBand="1"/>
      </w:tblPr>
      <w:tblGrid>
        <w:gridCol w:w="1439"/>
        <w:gridCol w:w="3885"/>
        <w:gridCol w:w="2294"/>
        <w:gridCol w:w="1732"/>
      </w:tblGrid>
      <w:tr w:rsidR="00C36951" w:rsidRPr="00A721ED" w14:paraId="73948651" w14:textId="26D230D9" w:rsidTr="00C36951">
        <w:tc>
          <w:tcPr>
            <w:tcW w:w="1439" w:type="dxa"/>
          </w:tcPr>
          <w:p w14:paraId="1DDE2418" w14:textId="77777777" w:rsidR="00C36951" w:rsidRPr="00A721ED" w:rsidRDefault="00C36951" w:rsidP="00A721ED">
            <w:pPr>
              <w:pStyle w:val="NoSpacing"/>
              <w:rPr>
                <w:b/>
                <w:bCs/>
              </w:rPr>
            </w:pPr>
            <w:r w:rsidRPr="00A721ED">
              <w:rPr>
                <w:b/>
                <w:bCs/>
              </w:rPr>
              <w:t>Item</w:t>
            </w:r>
          </w:p>
        </w:tc>
        <w:tc>
          <w:tcPr>
            <w:tcW w:w="3885" w:type="dxa"/>
          </w:tcPr>
          <w:p w14:paraId="6E1B69B5" w14:textId="77777777" w:rsidR="00C36951" w:rsidRPr="00A721ED" w:rsidRDefault="00C36951" w:rsidP="00A721ED">
            <w:pPr>
              <w:pStyle w:val="NoSpacing"/>
              <w:rPr>
                <w:b/>
                <w:bCs/>
              </w:rPr>
            </w:pPr>
            <w:r w:rsidRPr="00A721ED">
              <w:rPr>
                <w:b/>
                <w:bCs/>
              </w:rPr>
              <w:t>Issue</w:t>
            </w:r>
          </w:p>
        </w:tc>
        <w:tc>
          <w:tcPr>
            <w:tcW w:w="2294" w:type="dxa"/>
          </w:tcPr>
          <w:p w14:paraId="2CB33F6A" w14:textId="77777777" w:rsidR="00C36951" w:rsidRPr="00A721ED" w:rsidRDefault="00C36951" w:rsidP="00A721ED">
            <w:pPr>
              <w:pStyle w:val="NoSpacing"/>
              <w:rPr>
                <w:b/>
                <w:bCs/>
              </w:rPr>
            </w:pPr>
            <w:r w:rsidRPr="00A721ED">
              <w:rPr>
                <w:b/>
                <w:bCs/>
              </w:rPr>
              <w:t>IP Comment</w:t>
            </w:r>
          </w:p>
        </w:tc>
        <w:tc>
          <w:tcPr>
            <w:tcW w:w="1732" w:type="dxa"/>
          </w:tcPr>
          <w:p w14:paraId="68A8AAEE" w14:textId="6592FACB" w:rsidR="00C36951" w:rsidRPr="00A721ED" w:rsidRDefault="00C36951" w:rsidP="00A721ED">
            <w:pPr>
              <w:pStyle w:val="NoSpacing"/>
              <w:rPr>
                <w:b/>
                <w:bCs/>
              </w:rPr>
            </w:pPr>
            <w:r>
              <w:rPr>
                <w:b/>
                <w:bCs/>
              </w:rPr>
              <w:t>PK</w:t>
            </w:r>
          </w:p>
        </w:tc>
      </w:tr>
      <w:tr w:rsidR="00C36951" w:rsidRPr="00A721ED" w14:paraId="7200517D" w14:textId="29B24BD9" w:rsidTr="00C36951">
        <w:tc>
          <w:tcPr>
            <w:tcW w:w="1439" w:type="dxa"/>
          </w:tcPr>
          <w:p w14:paraId="23F1D633" w14:textId="77777777" w:rsidR="00C36951" w:rsidRPr="00A721ED" w:rsidRDefault="00C36951" w:rsidP="00A721ED">
            <w:pPr>
              <w:spacing w:after="200" w:line="276" w:lineRule="auto"/>
            </w:pPr>
            <w:r>
              <w:t>XML: &lt;description&gt;</w:t>
            </w:r>
          </w:p>
        </w:tc>
        <w:tc>
          <w:tcPr>
            <w:tcW w:w="3885" w:type="dxa"/>
          </w:tcPr>
          <w:p w14:paraId="0FB33746" w14:textId="77777777" w:rsidR="00C36951" w:rsidRDefault="00C36951" w:rsidP="00B60953">
            <w:pPr>
              <w:pStyle w:val="ListParagraph"/>
              <w:numPr>
                <w:ilvl w:val="0"/>
                <w:numId w:val="8"/>
              </w:numPr>
              <w:ind w:left="362"/>
            </w:pPr>
            <w:r>
              <w:t>In the first paragraph of “Overview” the wrong name was given for the name of the proposal.</w:t>
            </w:r>
          </w:p>
          <w:p w14:paraId="695C3C9D" w14:textId="77777777" w:rsidR="00C36951" w:rsidRDefault="00C36951" w:rsidP="00B60953">
            <w:pPr>
              <w:pStyle w:val="ListParagraph"/>
              <w:numPr>
                <w:ilvl w:val="0"/>
                <w:numId w:val="8"/>
              </w:numPr>
              <w:ind w:left="362"/>
            </w:pPr>
            <w:r>
              <w:t>In “Repertoire” The Unicode (</w:t>
            </w:r>
            <w:proofErr w:type="spellStart"/>
            <w:r>
              <w:t>gc</w:t>
            </w:r>
            <w:proofErr w:type="spellEnd"/>
            <w:r>
              <w:t>) is not listed</w:t>
            </w:r>
          </w:p>
          <w:p w14:paraId="128E381E" w14:textId="77777777" w:rsidR="00C36951" w:rsidRDefault="00C36951" w:rsidP="00B60953">
            <w:pPr>
              <w:pStyle w:val="ListParagraph"/>
              <w:numPr>
                <w:ilvl w:val="0"/>
                <w:numId w:val="8"/>
              </w:numPr>
              <w:ind w:left="362"/>
            </w:pPr>
            <w:r>
              <w:t>In “repertoire” need to mention that there is a sequence that has been added (U+0D28 …) for variant purposes.</w:t>
            </w:r>
          </w:p>
          <w:p w14:paraId="750B8BA5" w14:textId="77777777" w:rsidR="00C36951" w:rsidRDefault="00C36951" w:rsidP="00B60953">
            <w:pPr>
              <w:pStyle w:val="ListParagraph"/>
              <w:numPr>
                <w:ilvl w:val="0"/>
                <w:numId w:val="8"/>
              </w:numPr>
              <w:ind w:left="362"/>
            </w:pPr>
            <w:r>
              <w:lastRenderedPageBreak/>
              <w:t xml:space="preserve">If a 0D33 0D4d 0D33 sequence added as may result from a separate discussion, it would need to be mentioned here (in “Repertoire”). </w:t>
            </w:r>
          </w:p>
          <w:p w14:paraId="56F93459" w14:textId="77777777" w:rsidR="00C36951" w:rsidRDefault="00C36951" w:rsidP="00B60953">
            <w:pPr>
              <w:pStyle w:val="ListParagraph"/>
              <w:numPr>
                <w:ilvl w:val="0"/>
                <w:numId w:val="8"/>
              </w:numPr>
              <w:ind w:left="362"/>
            </w:pPr>
            <w:r>
              <w:t>in “Variants” there is no mention of in-script variants. Something like “there are two sequences in Malayalam that are defined as in-script variants, see  Section … in [proposal]”</w:t>
            </w:r>
          </w:p>
          <w:p w14:paraId="315A1A77" w14:textId="77777777" w:rsidR="00C36951" w:rsidRPr="00A721ED" w:rsidRDefault="00C36951" w:rsidP="003B3200">
            <w:pPr>
              <w:pStyle w:val="ListParagraph"/>
              <w:numPr>
                <w:ilvl w:val="0"/>
                <w:numId w:val="8"/>
              </w:numPr>
              <w:ind w:left="362"/>
            </w:pPr>
          </w:p>
        </w:tc>
        <w:tc>
          <w:tcPr>
            <w:tcW w:w="2294" w:type="dxa"/>
          </w:tcPr>
          <w:p w14:paraId="68B622CA" w14:textId="77777777" w:rsidR="00C36951" w:rsidRDefault="00C36951" w:rsidP="00B60953">
            <w:pPr>
              <w:spacing w:after="200" w:line="276" w:lineRule="auto"/>
            </w:pPr>
            <w:r>
              <w:lastRenderedPageBreak/>
              <w:t>Please review and make additional changes as needed</w:t>
            </w:r>
          </w:p>
          <w:p w14:paraId="2E619E3D" w14:textId="77777777" w:rsidR="00C36951" w:rsidRPr="00A721ED" w:rsidRDefault="00C36951" w:rsidP="00B60953">
            <w:pPr>
              <w:spacing w:after="200" w:line="276" w:lineRule="auto"/>
            </w:pPr>
            <w:r>
              <w:t>(Not all of the items here are already covered in the attached XML)</w:t>
            </w:r>
          </w:p>
        </w:tc>
        <w:tc>
          <w:tcPr>
            <w:tcW w:w="1732" w:type="dxa"/>
          </w:tcPr>
          <w:p w14:paraId="22D500BF" w14:textId="2BBD1E69" w:rsidR="00C36951" w:rsidRDefault="0036016D" w:rsidP="00B60953">
            <w:r>
              <w:t>a) A</w:t>
            </w:r>
            <w:r w:rsidR="00C36951">
              <w:t xml:space="preserve">ccepted the change. </w:t>
            </w:r>
          </w:p>
          <w:p w14:paraId="5C6D00DD" w14:textId="54F7073F" w:rsidR="00C36951" w:rsidRDefault="00C36951" w:rsidP="00B60953">
            <w:r>
              <w:t xml:space="preserve">b) </w:t>
            </w:r>
            <w:r w:rsidR="0036016D">
              <w:t xml:space="preserve">No action. GC never listed in other LGRs. </w:t>
            </w:r>
          </w:p>
          <w:p w14:paraId="2C8FE88E" w14:textId="5DB28652" w:rsidR="0036016D" w:rsidRDefault="00E401F9" w:rsidP="00B60953">
            <w:r>
              <w:t>c) Added the</w:t>
            </w:r>
            <w:r w:rsidR="0036016D">
              <w:t xml:space="preserve">  sequence. </w:t>
            </w:r>
          </w:p>
          <w:p w14:paraId="07CE10F0" w14:textId="7D8DD402" w:rsidR="00E401F9" w:rsidRDefault="00E401F9" w:rsidP="00E401F9">
            <w:r>
              <w:t xml:space="preserve">d) Added the  sequence. </w:t>
            </w:r>
          </w:p>
          <w:p w14:paraId="450B3FFF" w14:textId="5BA2E96F" w:rsidR="00E401F9" w:rsidRDefault="00E401F9" w:rsidP="00E401F9"/>
          <w:p w14:paraId="13E23253" w14:textId="66E4CAEC" w:rsidR="00E401F9" w:rsidRDefault="00E401F9" w:rsidP="00E401F9">
            <w:r>
              <w:lastRenderedPageBreak/>
              <w:t xml:space="preserve">e) Added the in-script variant </w:t>
            </w:r>
            <w:r w:rsidR="00E15495">
              <w:t>description</w:t>
            </w:r>
            <w:r>
              <w:t xml:space="preserve">. </w:t>
            </w:r>
          </w:p>
          <w:p w14:paraId="24D7D9DF" w14:textId="77777777" w:rsidR="00E401F9" w:rsidRDefault="00E401F9" w:rsidP="00B60953"/>
          <w:p w14:paraId="571C3565" w14:textId="77777777" w:rsidR="00E401F9" w:rsidRDefault="00E401F9" w:rsidP="00B60953"/>
          <w:p w14:paraId="5FD4D23F" w14:textId="77777777" w:rsidR="00E401F9" w:rsidRDefault="00E401F9" w:rsidP="00B60953"/>
          <w:p w14:paraId="51233E68" w14:textId="77777777" w:rsidR="00E401F9" w:rsidRDefault="00E401F9" w:rsidP="00B60953"/>
          <w:p w14:paraId="38148013" w14:textId="4465BF64" w:rsidR="00E401F9" w:rsidRDefault="00E401F9" w:rsidP="00E401F9">
            <w:pPr>
              <w:pStyle w:val="ListParagraph"/>
              <w:ind w:left="360"/>
            </w:pPr>
          </w:p>
        </w:tc>
      </w:tr>
      <w:tr w:rsidR="00C36951" w:rsidRPr="00A721ED" w14:paraId="0F84E97D" w14:textId="0582343E" w:rsidTr="00C36951">
        <w:tc>
          <w:tcPr>
            <w:tcW w:w="1439" w:type="dxa"/>
          </w:tcPr>
          <w:p w14:paraId="1143259E" w14:textId="77777777" w:rsidR="00C36951" w:rsidRDefault="00C36951" w:rsidP="00A721ED">
            <w:r>
              <w:lastRenderedPageBreak/>
              <w:t>XML: &lt;data&gt;</w:t>
            </w:r>
          </w:p>
        </w:tc>
        <w:tc>
          <w:tcPr>
            <w:tcW w:w="3885" w:type="dxa"/>
          </w:tcPr>
          <w:p w14:paraId="5806E5F4" w14:textId="77777777" w:rsidR="00C36951" w:rsidRDefault="00C36951" w:rsidP="003B3200">
            <w:pPr>
              <w:pStyle w:val="ListParagraph"/>
              <w:ind w:left="2"/>
            </w:pPr>
            <w:r w:rsidRPr="003B3200">
              <w:t>If 0D7B has a not-when rule "follows-B-X-or-H" that looks behind, shouldn't 0D7B 0D31 have the same rule too?</w:t>
            </w:r>
            <w:r>
              <w:t xml:space="preserve"> Otherwise any sequence 0D7B 0D31 would be allowed to follow B , X or H.</w:t>
            </w:r>
          </w:p>
          <w:p w14:paraId="1BB0AD64" w14:textId="77777777" w:rsidR="00C36951" w:rsidRDefault="00C36951" w:rsidP="003B3200">
            <w:pPr>
              <w:pStyle w:val="ListParagraph"/>
              <w:ind w:left="2"/>
            </w:pPr>
          </w:p>
          <w:p w14:paraId="63F89072" w14:textId="77777777" w:rsidR="00C36951" w:rsidRPr="003B3200" w:rsidRDefault="00C36951" w:rsidP="003B3200">
            <w:pPr>
              <w:pStyle w:val="ListParagraph"/>
              <w:ind w:left="2"/>
            </w:pPr>
            <w:r>
              <w:t>As the sequence has been defined to allow a variant and not for the purpose of creating an exception to the WLE rule, the XML should be fixed to:</w:t>
            </w:r>
          </w:p>
          <w:p w14:paraId="51CA4B51" w14:textId="77777777" w:rsidR="00C36951" w:rsidRPr="003B3200" w:rsidRDefault="00C36951" w:rsidP="003B3200">
            <w:pPr>
              <w:ind w:left="2"/>
            </w:pPr>
          </w:p>
          <w:p w14:paraId="58B83D76" w14:textId="77777777" w:rsidR="00C36951" w:rsidRPr="003B3200" w:rsidRDefault="00C36951" w:rsidP="003B3200">
            <w:pPr>
              <w:ind w:left="2"/>
            </w:pPr>
            <w:r>
              <w:t> </w:t>
            </w:r>
            <w:r w:rsidRPr="003B3200">
              <w:t xml:space="preserve">&lt;char </w:t>
            </w:r>
            <w:proofErr w:type="spellStart"/>
            <w:r w:rsidRPr="003B3200">
              <w:t>cp</w:t>
            </w:r>
            <w:proofErr w:type="spellEnd"/>
            <w:r w:rsidRPr="003B3200">
              <w:t>="0D7B" not-when="follows-B-X-or-H" tag="</w:t>
            </w:r>
            <w:proofErr w:type="spellStart"/>
            <w:r w:rsidRPr="003B3200">
              <w:t>Chillu</w:t>
            </w:r>
            <w:proofErr w:type="spellEnd"/>
            <w:r w:rsidRPr="003B3200">
              <w:t>" ref="106" comment="MALAYALAM LETTER CHILLU N" /&gt;</w:t>
            </w:r>
          </w:p>
          <w:p w14:paraId="2F1ACC4F" w14:textId="77777777" w:rsidR="00C36951" w:rsidRPr="003B3200" w:rsidRDefault="00C36951" w:rsidP="003B3200">
            <w:pPr>
              <w:ind w:left="2"/>
            </w:pPr>
            <w:r w:rsidRPr="003B3200">
              <w:t xml:space="preserve">        &lt;char </w:t>
            </w:r>
            <w:proofErr w:type="spellStart"/>
            <w:r w:rsidRPr="003B3200">
              <w:t>cp</w:t>
            </w:r>
            <w:proofErr w:type="spellEnd"/>
            <w:r w:rsidRPr="003B3200">
              <w:t xml:space="preserve">="0D7B 0D31" </w:t>
            </w:r>
            <w:r w:rsidRPr="003B3200">
              <w:rPr>
                <w:b/>
                <w:bCs/>
              </w:rPr>
              <w:t xml:space="preserve">not-when="follows-B-X-or-H" </w:t>
            </w:r>
            <w:r w:rsidRPr="003B3200">
              <w:t>ref="106" &gt;</w:t>
            </w:r>
          </w:p>
          <w:p w14:paraId="321CB084" w14:textId="77777777" w:rsidR="00C36951" w:rsidRPr="003B3200" w:rsidRDefault="00C36951" w:rsidP="003B3200">
            <w:pPr>
              <w:ind w:left="2"/>
            </w:pPr>
            <w:r w:rsidRPr="003B3200">
              <w:t>            &lt;</w:t>
            </w:r>
            <w:proofErr w:type="spellStart"/>
            <w:r w:rsidRPr="003B3200">
              <w:t>var</w:t>
            </w:r>
            <w:proofErr w:type="spellEnd"/>
            <w:r w:rsidRPr="003B3200">
              <w:t xml:space="preserve"> </w:t>
            </w:r>
            <w:proofErr w:type="spellStart"/>
            <w:r w:rsidRPr="003B3200">
              <w:t>cp</w:t>
            </w:r>
            <w:proofErr w:type="spellEnd"/>
            <w:r w:rsidRPr="003B3200">
              <w:t>="0D28 0D4D 0D31" type="blocked" /&gt;</w:t>
            </w:r>
          </w:p>
          <w:p w14:paraId="11AC8C2D" w14:textId="77777777" w:rsidR="00C36951" w:rsidRDefault="00C36951" w:rsidP="003B3200">
            <w:pPr>
              <w:ind w:left="2"/>
            </w:pPr>
            <w:r w:rsidRPr="003B3200">
              <w:t>        &lt;/char&gt;</w:t>
            </w:r>
          </w:p>
          <w:p w14:paraId="238A541F" w14:textId="77777777" w:rsidR="00C36951" w:rsidRDefault="00C36951" w:rsidP="003B3200">
            <w:pPr>
              <w:ind w:left="2"/>
            </w:pPr>
            <w:r>
              <w:t>Because there is reason for sequence 0D28 0D4D 0D31 other than when it can be a variant for 0D7B 0D31 the IP believes, it should also have the not-when rule applied to it.</w:t>
            </w:r>
          </w:p>
          <w:p w14:paraId="0CC9DE77" w14:textId="77777777" w:rsidR="00C36951" w:rsidRPr="003B3200" w:rsidRDefault="00C36951" w:rsidP="003B3200">
            <w:pPr>
              <w:ind w:left="2"/>
            </w:pPr>
            <w:r>
              <w:t xml:space="preserve">Note that because 0D28 exists by itself in the repertoire where it does not have a context rule, this does not prevent labels from containing  </w:t>
            </w:r>
            <w:r w:rsidRPr="003B3200">
              <w:t>0D28 0D4D 0D31</w:t>
            </w:r>
            <w:r>
              <w:t xml:space="preserve"> after a B-X-or-H,  but in those cases, that sequence is not a variant.</w:t>
            </w:r>
          </w:p>
          <w:p w14:paraId="37682D5C" w14:textId="77777777" w:rsidR="00C36951" w:rsidRPr="003B3200" w:rsidRDefault="00C36951" w:rsidP="003B3200">
            <w:pPr>
              <w:ind w:left="2"/>
            </w:pPr>
          </w:p>
          <w:p w14:paraId="32A0E9C1" w14:textId="77777777" w:rsidR="00C36951" w:rsidRDefault="00C36951" w:rsidP="003B3200">
            <w:pPr>
              <w:pStyle w:val="ListParagraph"/>
              <w:ind w:left="362"/>
            </w:pPr>
          </w:p>
        </w:tc>
        <w:tc>
          <w:tcPr>
            <w:tcW w:w="2294" w:type="dxa"/>
          </w:tcPr>
          <w:p w14:paraId="623467F4" w14:textId="77777777" w:rsidR="00C36951" w:rsidRDefault="00C36951" w:rsidP="003B3200">
            <w:r>
              <w:t>Please review and correct if appropriate (this correction has been made in the accompanying draft XML file)</w:t>
            </w:r>
          </w:p>
        </w:tc>
        <w:tc>
          <w:tcPr>
            <w:tcW w:w="1732" w:type="dxa"/>
          </w:tcPr>
          <w:p w14:paraId="6F1AF21B" w14:textId="12B99C30" w:rsidR="00C36951" w:rsidRDefault="00E15495" w:rsidP="003B3200">
            <w:r>
              <w:t xml:space="preserve">Accepted the </w:t>
            </w:r>
            <w:r w:rsidR="000E09F6">
              <w:t xml:space="preserve">suggested change. </w:t>
            </w:r>
          </w:p>
        </w:tc>
      </w:tr>
      <w:tr w:rsidR="00C36951" w14:paraId="1C4BB4A4" w14:textId="77C6EFDD" w:rsidTr="00C36951">
        <w:tc>
          <w:tcPr>
            <w:tcW w:w="1439" w:type="dxa"/>
          </w:tcPr>
          <w:p w14:paraId="78FE1ED3" w14:textId="77777777" w:rsidR="00C36951" w:rsidRPr="005B0E59" w:rsidRDefault="00C36951" w:rsidP="009D484C">
            <w:pPr>
              <w:spacing w:before="100" w:beforeAutospacing="1" w:after="100" w:afterAutospacing="1"/>
              <w:rPr>
                <w:rFonts w:ascii="Candara" w:hAnsi="Candara" w:cs="Times New Roman"/>
                <w:b/>
                <w:bCs/>
              </w:rPr>
            </w:pPr>
            <w:r>
              <w:rPr>
                <w:rFonts w:ascii="Candara" w:hAnsi="Candara" w:cs="Times New Roman"/>
                <w:b/>
                <w:bCs/>
              </w:rPr>
              <w:t>Detailed editing</w:t>
            </w:r>
          </w:p>
        </w:tc>
        <w:tc>
          <w:tcPr>
            <w:tcW w:w="3885" w:type="dxa"/>
          </w:tcPr>
          <w:p w14:paraId="47F16A41" w14:textId="77777777" w:rsidR="00C36951" w:rsidRDefault="00C36951" w:rsidP="009D484C">
            <w:pPr>
              <w:spacing w:before="100" w:beforeAutospacing="1" w:after="100" w:afterAutospacing="1"/>
              <w:rPr>
                <w:rFonts w:ascii="Times" w:hAnsi="Times" w:cs="Times New Roman"/>
                <w:lang w:val="en-GB"/>
              </w:rPr>
            </w:pPr>
            <w:r>
              <w:rPr>
                <w:rFonts w:ascii="Times" w:hAnsi="Times" w:cs="Times New Roman"/>
                <w:lang w:val="en-GB"/>
              </w:rPr>
              <w:t>Copy of XML included with suggested changes.</w:t>
            </w:r>
          </w:p>
        </w:tc>
        <w:tc>
          <w:tcPr>
            <w:tcW w:w="2294" w:type="dxa"/>
          </w:tcPr>
          <w:p w14:paraId="13862525" w14:textId="77777777" w:rsidR="00C36951" w:rsidRDefault="00C36951" w:rsidP="009D484C">
            <w:pPr>
              <w:spacing w:before="100" w:beforeAutospacing="1" w:after="100" w:afterAutospacing="1"/>
              <w:rPr>
                <w:rFonts w:ascii="Times" w:hAnsi="Times" w:cs="Times New Roman"/>
                <w:lang w:val="en-GB"/>
              </w:rPr>
            </w:pPr>
            <w:r>
              <w:rPr>
                <w:rFonts w:ascii="Times" w:hAnsi="Times" w:cs="Times New Roman"/>
                <w:lang w:val="en-GB"/>
              </w:rPr>
              <w:t xml:space="preserve">Please compare to the version submitted for feedback and note suggested changes, </w:t>
            </w:r>
            <w:r>
              <w:rPr>
                <w:rFonts w:ascii="Times" w:hAnsi="Times" w:cs="Times New Roman"/>
                <w:lang w:val="en-GB"/>
              </w:rPr>
              <w:lastRenderedPageBreak/>
              <w:t>review and use as b</w:t>
            </w:r>
            <w:bookmarkStart w:id="0" w:name="_GoBack"/>
            <w:bookmarkEnd w:id="0"/>
            <w:r>
              <w:rPr>
                <w:rFonts w:ascii="Times" w:hAnsi="Times" w:cs="Times New Roman"/>
                <w:lang w:val="en-GB"/>
              </w:rPr>
              <w:t>asis for further edits.</w:t>
            </w:r>
          </w:p>
        </w:tc>
        <w:tc>
          <w:tcPr>
            <w:tcW w:w="1732" w:type="dxa"/>
          </w:tcPr>
          <w:p w14:paraId="25ECED71" w14:textId="7C171311" w:rsidR="00C36951" w:rsidRDefault="000E09F6" w:rsidP="009D484C">
            <w:pPr>
              <w:spacing w:before="100" w:beforeAutospacing="1" w:after="100" w:afterAutospacing="1"/>
              <w:rPr>
                <w:rFonts w:ascii="Times" w:hAnsi="Times" w:cs="Times New Roman"/>
                <w:lang w:val="en-GB"/>
              </w:rPr>
            </w:pPr>
            <w:r>
              <w:rPr>
                <w:rFonts w:ascii="Times" w:hAnsi="Times" w:cs="Times New Roman"/>
                <w:lang w:val="en-GB"/>
              </w:rPr>
              <w:lastRenderedPageBreak/>
              <w:t>Accepted changes.</w:t>
            </w:r>
          </w:p>
        </w:tc>
      </w:tr>
    </w:tbl>
    <w:p w14:paraId="1F5DB3E6" w14:textId="77777777" w:rsidR="00A721ED" w:rsidRDefault="00A721ED" w:rsidP="00A721ED">
      <w:pPr>
        <w:ind w:left="432"/>
        <w:rPr>
          <w:b/>
          <w:bCs/>
        </w:rPr>
      </w:pPr>
    </w:p>
    <w:p w14:paraId="68CB3A7F" w14:textId="77777777" w:rsidR="00A721ED" w:rsidRPr="00A721ED" w:rsidRDefault="00A721ED" w:rsidP="0005427D">
      <w:pPr>
        <w:pStyle w:val="Heading1"/>
      </w:pPr>
      <w:r>
        <w:t>Test files</w:t>
      </w:r>
    </w:p>
    <w:tbl>
      <w:tblPr>
        <w:tblStyle w:val="TableGrid"/>
        <w:tblW w:w="0" w:type="auto"/>
        <w:tblLook w:val="04A0" w:firstRow="1" w:lastRow="0" w:firstColumn="1" w:lastColumn="0" w:noHBand="0" w:noVBand="1"/>
      </w:tblPr>
      <w:tblGrid>
        <w:gridCol w:w="974"/>
        <w:gridCol w:w="3896"/>
        <w:gridCol w:w="2445"/>
        <w:gridCol w:w="2035"/>
      </w:tblGrid>
      <w:tr w:rsidR="000E09F6" w:rsidRPr="00A721ED" w14:paraId="61586FED" w14:textId="6968E267" w:rsidTr="000E09F6">
        <w:tc>
          <w:tcPr>
            <w:tcW w:w="974" w:type="dxa"/>
          </w:tcPr>
          <w:p w14:paraId="578FFFF7" w14:textId="77777777" w:rsidR="000E09F6" w:rsidRPr="00A721ED" w:rsidRDefault="000E09F6" w:rsidP="00A721ED">
            <w:pPr>
              <w:pStyle w:val="NoSpacing"/>
              <w:rPr>
                <w:b/>
                <w:bCs/>
              </w:rPr>
            </w:pPr>
            <w:r w:rsidRPr="00A721ED">
              <w:rPr>
                <w:b/>
                <w:bCs/>
              </w:rPr>
              <w:t>Item</w:t>
            </w:r>
          </w:p>
        </w:tc>
        <w:tc>
          <w:tcPr>
            <w:tcW w:w="3896" w:type="dxa"/>
          </w:tcPr>
          <w:p w14:paraId="4A5B7ACD" w14:textId="77777777" w:rsidR="000E09F6" w:rsidRPr="00A721ED" w:rsidRDefault="000E09F6" w:rsidP="00A721ED">
            <w:pPr>
              <w:pStyle w:val="NoSpacing"/>
              <w:rPr>
                <w:b/>
                <w:bCs/>
              </w:rPr>
            </w:pPr>
            <w:r w:rsidRPr="00A721ED">
              <w:rPr>
                <w:b/>
                <w:bCs/>
              </w:rPr>
              <w:t>Issue</w:t>
            </w:r>
          </w:p>
        </w:tc>
        <w:tc>
          <w:tcPr>
            <w:tcW w:w="2445" w:type="dxa"/>
          </w:tcPr>
          <w:p w14:paraId="3282DCAC" w14:textId="77777777" w:rsidR="000E09F6" w:rsidRPr="00A721ED" w:rsidRDefault="000E09F6" w:rsidP="00A721ED">
            <w:pPr>
              <w:pStyle w:val="NoSpacing"/>
              <w:rPr>
                <w:b/>
                <w:bCs/>
              </w:rPr>
            </w:pPr>
            <w:r w:rsidRPr="00A721ED">
              <w:rPr>
                <w:b/>
                <w:bCs/>
              </w:rPr>
              <w:t>IP Comment</w:t>
            </w:r>
          </w:p>
        </w:tc>
        <w:tc>
          <w:tcPr>
            <w:tcW w:w="2035" w:type="dxa"/>
          </w:tcPr>
          <w:p w14:paraId="77C27C21" w14:textId="4A5DE7BD" w:rsidR="000E09F6" w:rsidRPr="00A721ED" w:rsidRDefault="000E09F6" w:rsidP="00A721ED">
            <w:pPr>
              <w:pStyle w:val="NoSpacing"/>
              <w:rPr>
                <w:b/>
                <w:bCs/>
              </w:rPr>
            </w:pPr>
            <w:r>
              <w:rPr>
                <w:b/>
                <w:bCs/>
              </w:rPr>
              <w:t>PK</w:t>
            </w:r>
          </w:p>
        </w:tc>
      </w:tr>
      <w:tr w:rsidR="000E09F6" w:rsidRPr="00A721ED" w14:paraId="4767C44E" w14:textId="7B2101B5" w:rsidTr="000E09F6">
        <w:tc>
          <w:tcPr>
            <w:tcW w:w="974" w:type="dxa"/>
          </w:tcPr>
          <w:p w14:paraId="18CAAED7" w14:textId="77777777" w:rsidR="000E09F6" w:rsidRPr="00A721ED" w:rsidRDefault="000E09F6" w:rsidP="00A721ED">
            <w:pPr>
              <w:spacing w:after="200" w:line="276" w:lineRule="auto"/>
            </w:pPr>
            <w:r>
              <w:t>Test file</w:t>
            </w:r>
          </w:p>
        </w:tc>
        <w:tc>
          <w:tcPr>
            <w:tcW w:w="3896" w:type="dxa"/>
          </w:tcPr>
          <w:p w14:paraId="32A23C7B" w14:textId="77777777" w:rsidR="000E09F6" w:rsidRDefault="000E09F6" w:rsidP="00A721ED">
            <w:pPr>
              <w:pStyle w:val="ListParagraph"/>
              <w:numPr>
                <w:ilvl w:val="0"/>
                <w:numId w:val="4"/>
              </w:numPr>
              <w:ind w:left="268" w:hanging="268"/>
            </w:pPr>
            <w:r>
              <w:t xml:space="preserve">The test file results generally match the Pass/Fail indications in the test label file – except for the WLE rule about leading </w:t>
            </w:r>
            <w:proofErr w:type="spellStart"/>
            <w:r>
              <w:t>Chillu</w:t>
            </w:r>
            <w:proofErr w:type="spellEnd"/>
            <w:r>
              <w:t>, where Pass/Fail seems to be designated in the opposite sense (Fail should mean that the label is invalid).</w:t>
            </w:r>
          </w:p>
          <w:p w14:paraId="14F71460" w14:textId="77777777" w:rsidR="000E09F6" w:rsidRPr="00A721ED" w:rsidRDefault="000E09F6" w:rsidP="009B2BA8">
            <w:pPr>
              <w:pStyle w:val="ListParagraph"/>
              <w:ind w:left="448"/>
            </w:pPr>
          </w:p>
        </w:tc>
        <w:tc>
          <w:tcPr>
            <w:tcW w:w="2445" w:type="dxa"/>
          </w:tcPr>
          <w:p w14:paraId="65D56A9C" w14:textId="77777777" w:rsidR="000E09F6" w:rsidRPr="00A721ED" w:rsidRDefault="000E09F6" w:rsidP="00A721ED">
            <w:pPr>
              <w:spacing w:after="200" w:line="276" w:lineRule="auto"/>
            </w:pPr>
            <w:r>
              <w:t>Please provide test file according to specification.</w:t>
            </w:r>
          </w:p>
        </w:tc>
        <w:tc>
          <w:tcPr>
            <w:tcW w:w="2035" w:type="dxa"/>
          </w:tcPr>
          <w:p w14:paraId="3C4B898B" w14:textId="517C609E" w:rsidR="000E09F6" w:rsidRDefault="000E09F6" w:rsidP="00A721ED">
            <w:r>
              <w:t>The test file updated.</w:t>
            </w:r>
          </w:p>
        </w:tc>
      </w:tr>
    </w:tbl>
    <w:p w14:paraId="72E2B1CF" w14:textId="77777777" w:rsidR="00A721ED" w:rsidRDefault="00A721ED"/>
    <w:p w14:paraId="7DCC4B5B" w14:textId="77777777" w:rsidR="00D7142E" w:rsidRDefault="00D7142E" w:rsidP="00D7142E"/>
    <w:sectPr w:rsidR="00D7142E" w:rsidSect="0087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Khmer M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oolBoran">
    <w:altName w:val="Cambria"/>
    <w:panose1 w:val="020B0604020202020204"/>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Kartika">
    <w:altName w:val="Gentium Basic"/>
    <w:panose1 w:val="02020503030404060203"/>
    <w:charset w:val="00"/>
    <w:family w:val="roman"/>
    <w:pitch w:val="variable"/>
    <w:sig w:usb0="008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DB1"/>
    <w:multiLevelType w:val="hybridMultilevel"/>
    <w:tmpl w:val="69A44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C7645D"/>
    <w:multiLevelType w:val="hybridMultilevel"/>
    <w:tmpl w:val="60AAB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145C8"/>
    <w:multiLevelType w:val="hybridMultilevel"/>
    <w:tmpl w:val="9E0249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CB7361"/>
    <w:multiLevelType w:val="hybridMultilevel"/>
    <w:tmpl w:val="5F66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03A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3CA53E7"/>
    <w:multiLevelType w:val="hybridMultilevel"/>
    <w:tmpl w:val="0B9474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109F5"/>
    <w:multiLevelType w:val="hybridMultilevel"/>
    <w:tmpl w:val="786EA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111A2"/>
    <w:multiLevelType w:val="hybridMultilevel"/>
    <w:tmpl w:val="60AAB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E3575"/>
    <w:multiLevelType w:val="hybridMultilevel"/>
    <w:tmpl w:val="FBF80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72DD3"/>
    <w:multiLevelType w:val="hybridMultilevel"/>
    <w:tmpl w:val="69A44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2425AE"/>
    <w:multiLevelType w:val="hybridMultilevel"/>
    <w:tmpl w:val="89E223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FB3DA8"/>
    <w:multiLevelType w:val="hybridMultilevel"/>
    <w:tmpl w:val="293C6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9"/>
  </w:num>
  <w:num w:numId="6">
    <w:abstractNumId w:val="6"/>
  </w:num>
  <w:num w:numId="7">
    <w:abstractNumId w:val="11"/>
  </w:num>
  <w:num w:numId="8">
    <w:abstractNumId w:val="7"/>
  </w:num>
  <w:num w:numId="9">
    <w:abstractNumId w:val="0"/>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proofState w:spelling="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ED"/>
    <w:rsid w:val="0005427D"/>
    <w:rsid w:val="000A2F01"/>
    <w:rsid w:val="000B7E40"/>
    <w:rsid w:val="000E09F6"/>
    <w:rsid w:val="000E7863"/>
    <w:rsid w:val="00146E73"/>
    <w:rsid w:val="00191859"/>
    <w:rsid w:val="00241F9F"/>
    <w:rsid w:val="002E28A1"/>
    <w:rsid w:val="00326392"/>
    <w:rsid w:val="0036016D"/>
    <w:rsid w:val="00364AD1"/>
    <w:rsid w:val="00377A18"/>
    <w:rsid w:val="003929D7"/>
    <w:rsid w:val="003B3200"/>
    <w:rsid w:val="003D49FB"/>
    <w:rsid w:val="005177EB"/>
    <w:rsid w:val="0052166A"/>
    <w:rsid w:val="005236CE"/>
    <w:rsid w:val="00532821"/>
    <w:rsid w:val="00571B3F"/>
    <w:rsid w:val="00576C5A"/>
    <w:rsid w:val="005B6D75"/>
    <w:rsid w:val="005D01A3"/>
    <w:rsid w:val="006414C4"/>
    <w:rsid w:val="00670774"/>
    <w:rsid w:val="006762FE"/>
    <w:rsid w:val="006C08F7"/>
    <w:rsid w:val="006D7D53"/>
    <w:rsid w:val="007213A7"/>
    <w:rsid w:val="007B60CC"/>
    <w:rsid w:val="007D6604"/>
    <w:rsid w:val="007F42FF"/>
    <w:rsid w:val="008066DA"/>
    <w:rsid w:val="00830B79"/>
    <w:rsid w:val="0084075A"/>
    <w:rsid w:val="00876384"/>
    <w:rsid w:val="008A2196"/>
    <w:rsid w:val="008E057F"/>
    <w:rsid w:val="008F5FD9"/>
    <w:rsid w:val="00952B15"/>
    <w:rsid w:val="0095683F"/>
    <w:rsid w:val="009625D2"/>
    <w:rsid w:val="009B2BA8"/>
    <w:rsid w:val="009D484C"/>
    <w:rsid w:val="009E1BB5"/>
    <w:rsid w:val="00A057D2"/>
    <w:rsid w:val="00A20A2C"/>
    <w:rsid w:val="00A3138E"/>
    <w:rsid w:val="00A721ED"/>
    <w:rsid w:val="00AC274B"/>
    <w:rsid w:val="00AD1FD6"/>
    <w:rsid w:val="00B60953"/>
    <w:rsid w:val="00BC02A7"/>
    <w:rsid w:val="00C36951"/>
    <w:rsid w:val="00C4766E"/>
    <w:rsid w:val="00CB7A2C"/>
    <w:rsid w:val="00CC3291"/>
    <w:rsid w:val="00CF3823"/>
    <w:rsid w:val="00D06AE6"/>
    <w:rsid w:val="00D47550"/>
    <w:rsid w:val="00D7142E"/>
    <w:rsid w:val="00E15495"/>
    <w:rsid w:val="00E37243"/>
    <w:rsid w:val="00E401F9"/>
    <w:rsid w:val="00EA5748"/>
    <w:rsid w:val="00EE78E9"/>
    <w:rsid w:val="00F5478A"/>
    <w:rsid w:val="00FD746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D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1ED"/>
    <w:rPr>
      <w:rFonts w:eastAsiaTheme="minorEastAsia"/>
      <w:lang w:bidi="en-US"/>
    </w:rPr>
  </w:style>
  <w:style w:type="paragraph" w:styleId="Heading1">
    <w:name w:val="heading 1"/>
    <w:basedOn w:val="Normal"/>
    <w:next w:val="Normal"/>
    <w:link w:val="Heading1Char"/>
    <w:uiPriority w:val="9"/>
    <w:qFormat/>
    <w:rsid w:val="00A721E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1E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21E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1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21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1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1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1ED"/>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21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1ED"/>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A721ED"/>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A721ED"/>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A721ED"/>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A721ED"/>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A721ED"/>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A721ED"/>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A721ED"/>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A721ED"/>
    <w:rPr>
      <w:rFonts w:asciiTheme="majorHAnsi" w:eastAsiaTheme="majorEastAsia" w:hAnsiTheme="majorHAnsi" w:cstheme="majorBidi"/>
      <w:i/>
      <w:iCs/>
      <w:color w:val="404040" w:themeColor="text1" w:themeTint="BF"/>
      <w:sz w:val="20"/>
      <w:szCs w:val="20"/>
      <w:lang w:bidi="en-US"/>
    </w:rPr>
  </w:style>
  <w:style w:type="paragraph" w:styleId="Title">
    <w:name w:val="Title"/>
    <w:basedOn w:val="Normal"/>
    <w:next w:val="Normal"/>
    <w:link w:val="TitleChar"/>
    <w:uiPriority w:val="10"/>
    <w:qFormat/>
    <w:rsid w:val="00A72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ED"/>
    <w:rPr>
      <w:rFonts w:asciiTheme="majorHAnsi" w:eastAsiaTheme="majorEastAsia" w:hAnsiTheme="majorHAnsi" w:cstheme="majorBidi"/>
      <w:color w:val="17365D" w:themeColor="text2" w:themeShade="BF"/>
      <w:spacing w:val="5"/>
      <w:kern w:val="28"/>
      <w:sz w:val="52"/>
      <w:szCs w:val="52"/>
      <w:lang w:bidi="en-US"/>
    </w:rPr>
  </w:style>
  <w:style w:type="table" w:styleId="TableGrid">
    <w:name w:val="Table Grid"/>
    <w:basedOn w:val="TableNormal"/>
    <w:uiPriority w:val="59"/>
    <w:rsid w:val="00A721ED"/>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1ED"/>
    <w:pPr>
      <w:ind w:left="720"/>
      <w:contextualSpacing/>
    </w:pPr>
  </w:style>
  <w:style w:type="paragraph" w:styleId="NoSpacing">
    <w:name w:val="No Spacing"/>
    <w:uiPriority w:val="1"/>
    <w:qFormat/>
    <w:rsid w:val="00A721ED"/>
    <w:pPr>
      <w:spacing w:after="0" w:line="240" w:lineRule="auto"/>
    </w:pPr>
    <w:rPr>
      <w:rFonts w:eastAsiaTheme="minorEastAsia"/>
      <w:lang w:bidi="en-US"/>
    </w:rPr>
  </w:style>
  <w:style w:type="paragraph" w:styleId="BalloonText">
    <w:name w:val="Balloon Text"/>
    <w:basedOn w:val="Normal"/>
    <w:link w:val="BalloonTextChar"/>
    <w:uiPriority w:val="99"/>
    <w:semiHidden/>
    <w:unhideWhenUsed/>
    <w:rsid w:val="00A7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ED"/>
    <w:rPr>
      <w:rFonts w:ascii="Tahoma" w:eastAsiaTheme="minorEastAsia" w:hAnsi="Tahoma" w:cs="Tahoma"/>
      <w:sz w:val="16"/>
      <w:szCs w:val="16"/>
      <w:lang w:bidi="en-US"/>
    </w:rPr>
  </w:style>
  <w:style w:type="paragraph" w:styleId="Subtitle">
    <w:name w:val="Subtitle"/>
    <w:basedOn w:val="Normal"/>
    <w:next w:val="Normal"/>
    <w:link w:val="SubtitleChar"/>
    <w:uiPriority w:val="11"/>
    <w:qFormat/>
    <w:rsid w:val="009D48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484C"/>
    <w:rPr>
      <w:rFonts w:asciiTheme="majorHAnsi" w:eastAsiaTheme="majorEastAsia" w:hAnsiTheme="majorHAnsi" w:cstheme="majorBidi"/>
      <w:i/>
      <w:iCs/>
      <w:color w:val="4F81BD" w:themeColor="accent1"/>
      <w:spacing w:val="15"/>
      <w:sz w:val="24"/>
      <w:szCs w:val="24"/>
      <w:lang w:bidi="en-US"/>
    </w:rPr>
  </w:style>
  <w:style w:type="paragraph" w:styleId="CommentText">
    <w:name w:val="annotation text"/>
    <w:basedOn w:val="Normal"/>
    <w:link w:val="CommentTextChar"/>
    <w:uiPriority w:val="99"/>
    <w:unhideWhenUsed/>
    <w:rsid w:val="00241F9F"/>
    <w:pPr>
      <w:spacing w:after="0" w:line="240" w:lineRule="auto"/>
    </w:pPr>
    <w:rPr>
      <w:rFonts w:ascii="Arial" w:eastAsia="Arial" w:hAnsi="Arial" w:cs="Cordia New"/>
      <w:sz w:val="20"/>
      <w:szCs w:val="25"/>
      <w:lang w:val="en-GB" w:bidi="th-TH"/>
    </w:rPr>
  </w:style>
  <w:style w:type="character" w:customStyle="1" w:styleId="CommentTextChar">
    <w:name w:val="Comment Text Char"/>
    <w:basedOn w:val="DefaultParagraphFont"/>
    <w:link w:val="CommentText"/>
    <w:uiPriority w:val="99"/>
    <w:rsid w:val="00241F9F"/>
    <w:rPr>
      <w:rFonts w:ascii="Arial" w:eastAsia="Arial" w:hAnsi="Arial" w:cs="Cordia New"/>
      <w:sz w:val="20"/>
      <w:szCs w:val="25"/>
      <w:lang w:val="en-GB" w:bidi="th-TH"/>
    </w:rPr>
  </w:style>
  <w:style w:type="character" w:styleId="CommentReference">
    <w:name w:val="annotation reference"/>
    <w:basedOn w:val="DefaultParagraphFont"/>
    <w:uiPriority w:val="99"/>
    <w:semiHidden/>
    <w:unhideWhenUsed/>
    <w:rsid w:val="00241F9F"/>
    <w:rPr>
      <w:sz w:val="16"/>
      <w:szCs w:val="16"/>
    </w:rPr>
  </w:style>
  <w:style w:type="character" w:styleId="Hyperlink">
    <w:name w:val="Hyperlink"/>
    <w:basedOn w:val="DefaultParagraphFont"/>
    <w:uiPriority w:val="99"/>
    <w:unhideWhenUsed/>
    <w:rsid w:val="00962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606">
      <w:bodyDiv w:val="1"/>
      <w:marLeft w:val="0"/>
      <w:marRight w:val="0"/>
      <w:marTop w:val="0"/>
      <w:marBottom w:val="0"/>
      <w:divBdr>
        <w:top w:val="none" w:sz="0" w:space="0" w:color="auto"/>
        <w:left w:val="none" w:sz="0" w:space="0" w:color="auto"/>
        <w:bottom w:val="none" w:sz="0" w:space="0" w:color="auto"/>
        <w:right w:val="none" w:sz="0" w:space="0" w:color="auto"/>
      </w:divBdr>
    </w:div>
    <w:div w:id="626620782">
      <w:bodyDiv w:val="1"/>
      <w:marLeft w:val="0"/>
      <w:marRight w:val="0"/>
      <w:marTop w:val="0"/>
      <w:marBottom w:val="0"/>
      <w:divBdr>
        <w:top w:val="none" w:sz="0" w:space="0" w:color="auto"/>
        <w:left w:val="none" w:sz="0" w:space="0" w:color="auto"/>
        <w:bottom w:val="none" w:sz="0" w:space="0" w:color="auto"/>
        <w:right w:val="none" w:sz="0" w:space="0" w:color="auto"/>
      </w:divBdr>
    </w:div>
    <w:div w:id="820200019">
      <w:bodyDiv w:val="1"/>
      <w:marLeft w:val="0"/>
      <w:marRight w:val="0"/>
      <w:marTop w:val="0"/>
      <w:marBottom w:val="0"/>
      <w:divBdr>
        <w:top w:val="none" w:sz="0" w:space="0" w:color="auto"/>
        <w:left w:val="none" w:sz="0" w:space="0" w:color="auto"/>
        <w:bottom w:val="none" w:sz="0" w:space="0" w:color="auto"/>
        <w:right w:val="none" w:sz="0" w:space="0" w:color="auto"/>
      </w:divBdr>
    </w:div>
    <w:div w:id="869027490">
      <w:bodyDiv w:val="1"/>
      <w:marLeft w:val="0"/>
      <w:marRight w:val="0"/>
      <w:marTop w:val="0"/>
      <w:marBottom w:val="0"/>
      <w:divBdr>
        <w:top w:val="none" w:sz="0" w:space="0" w:color="auto"/>
        <w:left w:val="none" w:sz="0" w:space="0" w:color="auto"/>
        <w:bottom w:val="none" w:sz="0" w:space="0" w:color="auto"/>
        <w:right w:val="none" w:sz="0" w:space="0" w:color="auto"/>
      </w:divBdr>
    </w:div>
    <w:div w:id="889995083">
      <w:bodyDiv w:val="1"/>
      <w:marLeft w:val="0"/>
      <w:marRight w:val="0"/>
      <w:marTop w:val="0"/>
      <w:marBottom w:val="0"/>
      <w:divBdr>
        <w:top w:val="none" w:sz="0" w:space="0" w:color="auto"/>
        <w:left w:val="none" w:sz="0" w:space="0" w:color="auto"/>
        <w:bottom w:val="none" w:sz="0" w:space="0" w:color="auto"/>
        <w:right w:val="none" w:sz="0" w:space="0" w:color="auto"/>
      </w:divBdr>
    </w:div>
    <w:div w:id="1035275748">
      <w:bodyDiv w:val="1"/>
      <w:marLeft w:val="0"/>
      <w:marRight w:val="0"/>
      <w:marTop w:val="0"/>
      <w:marBottom w:val="0"/>
      <w:divBdr>
        <w:top w:val="none" w:sz="0" w:space="0" w:color="auto"/>
        <w:left w:val="none" w:sz="0" w:space="0" w:color="auto"/>
        <w:bottom w:val="none" w:sz="0" w:space="0" w:color="auto"/>
        <w:right w:val="none" w:sz="0" w:space="0" w:color="auto"/>
      </w:divBdr>
      <w:divsChild>
        <w:div w:id="382094818">
          <w:marLeft w:val="0"/>
          <w:marRight w:val="0"/>
          <w:marTop w:val="0"/>
          <w:marBottom w:val="0"/>
          <w:divBdr>
            <w:top w:val="none" w:sz="0" w:space="0" w:color="auto"/>
            <w:left w:val="none" w:sz="0" w:space="0" w:color="auto"/>
            <w:bottom w:val="none" w:sz="0" w:space="0" w:color="auto"/>
            <w:right w:val="none" w:sz="0" w:space="0" w:color="auto"/>
          </w:divBdr>
        </w:div>
        <w:div w:id="1707948358">
          <w:marLeft w:val="0"/>
          <w:marRight w:val="0"/>
          <w:marTop w:val="0"/>
          <w:marBottom w:val="0"/>
          <w:divBdr>
            <w:top w:val="none" w:sz="0" w:space="0" w:color="auto"/>
            <w:left w:val="none" w:sz="0" w:space="0" w:color="auto"/>
            <w:bottom w:val="none" w:sz="0" w:space="0" w:color="auto"/>
            <w:right w:val="none" w:sz="0" w:space="0" w:color="auto"/>
          </w:divBdr>
        </w:div>
        <w:div w:id="1973249506">
          <w:marLeft w:val="0"/>
          <w:marRight w:val="0"/>
          <w:marTop w:val="0"/>
          <w:marBottom w:val="0"/>
          <w:divBdr>
            <w:top w:val="none" w:sz="0" w:space="0" w:color="auto"/>
            <w:left w:val="none" w:sz="0" w:space="0" w:color="auto"/>
            <w:bottom w:val="none" w:sz="0" w:space="0" w:color="auto"/>
            <w:right w:val="none" w:sz="0" w:space="0" w:color="auto"/>
          </w:divBdr>
          <w:divsChild>
            <w:div w:id="1436168903">
              <w:marLeft w:val="0"/>
              <w:marRight w:val="0"/>
              <w:marTop w:val="0"/>
              <w:marBottom w:val="0"/>
              <w:divBdr>
                <w:top w:val="none" w:sz="0" w:space="0" w:color="auto"/>
                <w:left w:val="none" w:sz="0" w:space="0" w:color="auto"/>
                <w:bottom w:val="none" w:sz="0" w:space="0" w:color="auto"/>
                <w:right w:val="none" w:sz="0" w:space="0" w:color="auto"/>
              </w:divBdr>
            </w:div>
            <w:div w:id="281426267">
              <w:marLeft w:val="0"/>
              <w:marRight w:val="0"/>
              <w:marTop w:val="0"/>
              <w:marBottom w:val="0"/>
              <w:divBdr>
                <w:top w:val="none" w:sz="0" w:space="0" w:color="auto"/>
                <w:left w:val="none" w:sz="0" w:space="0" w:color="auto"/>
                <w:bottom w:val="none" w:sz="0" w:space="0" w:color="auto"/>
                <w:right w:val="none" w:sz="0" w:space="0" w:color="auto"/>
              </w:divBdr>
            </w:div>
          </w:divsChild>
        </w:div>
        <w:div w:id="747927586">
          <w:marLeft w:val="0"/>
          <w:marRight w:val="0"/>
          <w:marTop w:val="0"/>
          <w:marBottom w:val="0"/>
          <w:divBdr>
            <w:top w:val="none" w:sz="0" w:space="0" w:color="auto"/>
            <w:left w:val="none" w:sz="0" w:space="0" w:color="auto"/>
            <w:bottom w:val="none" w:sz="0" w:space="0" w:color="auto"/>
            <w:right w:val="none" w:sz="0" w:space="0" w:color="auto"/>
          </w:divBdr>
          <w:divsChild>
            <w:div w:id="623273686">
              <w:marLeft w:val="0"/>
              <w:marRight w:val="0"/>
              <w:marTop w:val="0"/>
              <w:marBottom w:val="0"/>
              <w:divBdr>
                <w:top w:val="none" w:sz="0" w:space="0" w:color="auto"/>
                <w:left w:val="none" w:sz="0" w:space="0" w:color="auto"/>
                <w:bottom w:val="none" w:sz="0" w:space="0" w:color="auto"/>
                <w:right w:val="none" w:sz="0" w:space="0" w:color="auto"/>
              </w:divBdr>
            </w:div>
            <w:div w:id="998655629">
              <w:marLeft w:val="0"/>
              <w:marRight w:val="0"/>
              <w:marTop w:val="0"/>
              <w:marBottom w:val="0"/>
              <w:divBdr>
                <w:top w:val="none" w:sz="0" w:space="0" w:color="auto"/>
                <w:left w:val="none" w:sz="0" w:space="0" w:color="auto"/>
                <w:bottom w:val="none" w:sz="0" w:space="0" w:color="auto"/>
                <w:right w:val="none" w:sz="0" w:space="0" w:color="auto"/>
              </w:divBdr>
            </w:div>
          </w:divsChild>
        </w:div>
        <w:div w:id="1726295563">
          <w:marLeft w:val="0"/>
          <w:marRight w:val="0"/>
          <w:marTop w:val="0"/>
          <w:marBottom w:val="0"/>
          <w:divBdr>
            <w:top w:val="none" w:sz="0" w:space="0" w:color="auto"/>
            <w:left w:val="none" w:sz="0" w:space="0" w:color="auto"/>
            <w:bottom w:val="none" w:sz="0" w:space="0" w:color="auto"/>
            <w:right w:val="none" w:sz="0" w:space="0" w:color="auto"/>
          </w:divBdr>
        </w:div>
        <w:div w:id="2143619207">
          <w:marLeft w:val="0"/>
          <w:marRight w:val="0"/>
          <w:marTop w:val="0"/>
          <w:marBottom w:val="0"/>
          <w:divBdr>
            <w:top w:val="none" w:sz="0" w:space="0" w:color="auto"/>
            <w:left w:val="none" w:sz="0" w:space="0" w:color="auto"/>
            <w:bottom w:val="none" w:sz="0" w:space="0" w:color="auto"/>
            <w:right w:val="none" w:sz="0" w:space="0" w:color="auto"/>
          </w:divBdr>
        </w:div>
      </w:divsChild>
    </w:div>
    <w:div w:id="1063287324">
      <w:bodyDiv w:val="1"/>
      <w:marLeft w:val="0"/>
      <w:marRight w:val="0"/>
      <w:marTop w:val="0"/>
      <w:marBottom w:val="0"/>
      <w:divBdr>
        <w:top w:val="none" w:sz="0" w:space="0" w:color="auto"/>
        <w:left w:val="none" w:sz="0" w:space="0" w:color="auto"/>
        <w:bottom w:val="none" w:sz="0" w:space="0" w:color="auto"/>
        <w:right w:val="none" w:sz="0" w:space="0" w:color="auto"/>
      </w:divBdr>
    </w:div>
    <w:div w:id="1172333135">
      <w:bodyDiv w:val="1"/>
      <w:marLeft w:val="0"/>
      <w:marRight w:val="0"/>
      <w:marTop w:val="0"/>
      <w:marBottom w:val="0"/>
      <w:divBdr>
        <w:top w:val="none" w:sz="0" w:space="0" w:color="auto"/>
        <w:left w:val="none" w:sz="0" w:space="0" w:color="auto"/>
        <w:bottom w:val="none" w:sz="0" w:space="0" w:color="auto"/>
        <w:right w:val="none" w:sz="0" w:space="0" w:color="auto"/>
      </w:divBdr>
    </w:div>
    <w:div w:id="1269655755">
      <w:bodyDiv w:val="1"/>
      <w:marLeft w:val="0"/>
      <w:marRight w:val="0"/>
      <w:marTop w:val="0"/>
      <w:marBottom w:val="0"/>
      <w:divBdr>
        <w:top w:val="none" w:sz="0" w:space="0" w:color="auto"/>
        <w:left w:val="none" w:sz="0" w:space="0" w:color="auto"/>
        <w:bottom w:val="none" w:sz="0" w:space="0" w:color="auto"/>
        <w:right w:val="none" w:sz="0" w:space="0" w:color="auto"/>
      </w:divBdr>
    </w:div>
    <w:div w:id="1392540426">
      <w:bodyDiv w:val="1"/>
      <w:marLeft w:val="0"/>
      <w:marRight w:val="0"/>
      <w:marTop w:val="0"/>
      <w:marBottom w:val="0"/>
      <w:divBdr>
        <w:top w:val="none" w:sz="0" w:space="0" w:color="auto"/>
        <w:left w:val="none" w:sz="0" w:space="0" w:color="auto"/>
        <w:bottom w:val="none" w:sz="0" w:space="0" w:color="auto"/>
        <w:right w:val="none" w:sz="0" w:space="0" w:color="auto"/>
      </w:divBdr>
      <w:divsChild>
        <w:div w:id="1986619137">
          <w:marLeft w:val="0"/>
          <w:marRight w:val="0"/>
          <w:marTop w:val="0"/>
          <w:marBottom w:val="0"/>
          <w:divBdr>
            <w:top w:val="none" w:sz="0" w:space="0" w:color="auto"/>
            <w:left w:val="none" w:sz="0" w:space="0" w:color="auto"/>
            <w:bottom w:val="none" w:sz="0" w:space="0" w:color="auto"/>
            <w:right w:val="none" w:sz="0" w:space="0" w:color="auto"/>
          </w:divBdr>
        </w:div>
        <w:div w:id="967126903">
          <w:marLeft w:val="0"/>
          <w:marRight w:val="0"/>
          <w:marTop w:val="0"/>
          <w:marBottom w:val="0"/>
          <w:divBdr>
            <w:top w:val="none" w:sz="0" w:space="0" w:color="auto"/>
            <w:left w:val="none" w:sz="0" w:space="0" w:color="auto"/>
            <w:bottom w:val="none" w:sz="0" w:space="0" w:color="auto"/>
            <w:right w:val="none" w:sz="0" w:space="0" w:color="auto"/>
          </w:divBdr>
        </w:div>
        <w:div w:id="155538329">
          <w:marLeft w:val="0"/>
          <w:marRight w:val="0"/>
          <w:marTop w:val="0"/>
          <w:marBottom w:val="0"/>
          <w:divBdr>
            <w:top w:val="none" w:sz="0" w:space="0" w:color="auto"/>
            <w:left w:val="none" w:sz="0" w:space="0" w:color="auto"/>
            <w:bottom w:val="none" w:sz="0" w:space="0" w:color="auto"/>
            <w:right w:val="none" w:sz="0" w:space="0" w:color="auto"/>
          </w:divBdr>
          <w:divsChild>
            <w:div w:id="42682408">
              <w:marLeft w:val="0"/>
              <w:marRight w:val="0"/>
              <w:marTop w:val="0"/>
              <w:marBottom w:val="0"/>
              <w:divBdr>
                <w:top w:val="none" w:sz="0" w:space="0" w:color="auto"/>
                <w:left w:val="none" w:sz="0" w:space="0" w:color="auto"/>
                <w:bottom w:val="none" w:sz="0" w:space="0" w:color="auto"/>
                <w:right w:val="none" w:sz="0" w:space="0" w:color="auto"/>
              </w:divBdr>
            </w:div>
            <w:div w:id="1228221927">
              <w:marLeft w:val="0"/>
              <w:marRight w:val="0"/>
              <w:marTop w:val="0"/>
              <w:marBottom w:val="0"/>
              <w:divBdr>
                <w:top w:val="none" w:sz="0" w:space="0" w:color="auto"/>
                <w:left w:val="none" w:sz="0" w:space="0" w:color="auto"/>
                <w:bottom w:val="none" w:sz="0" w:space="0" w:color="auto"/>
                <w:right w:val="none" w:sz="0" w:space="0" w:color="auto"/>
              </w:divBdr>
            </w:div>
          </w:divsChild>
        </w:div>
        <w:div w:id="1682656441">
          <w:marLeft w:val="0"/>
          <w:marRight w:val="0"/>
          <w:marTop w:val="0"/>
          <w:marBottom w:val="0"/>
          <w:divBdr>
            <w:top w:val="none" w:sz="0" w:space="0" w:color="auto"/>
            <w:left w:val="none" w:sz="0" w:space="0" w:color="auto"/>
            <w:bottom w:val="none" w:sz="0" w:space="0" w:color="auto"/>
            <w:right w:val="none" w:sz="0" w:space="0" w:color="auto"/>
          </w:divBdr>
          <w:divsChild>
            <w:div w:id="1119643785">
              <w:marLeft w:val="0"/>
              <w:marRight w:val="0"/>
              <w:marTop w:val="0"/>
              <w:marBottom w:val="0"/>
              <w:divBdr>
                <w:top w:val="none" w:sz="0" w:space="0" w:color="auto"/>
                <w:left w:val="none" w:sz="0" w:space="0" w:color="auto"/>
                <w:bottom w:val="none" w:sz="0" w:space="0" w:color="auto"/>
                <w:right w:val="none" w:sz="0" w:space="0" w:color="auto"/>
              </w:divBdr>
            </w:div>
            <w:div w:id="1700542694">
              <w:marLeft w:val="0"/>
              <w:marRight w:val="0"/>
              <w:marTop w:val="0"/>
              <w:marBottom w:val="0"/>
              <w:divBdr>
                <w:top w:val="none" w:sz="0" w:space="0" w:color="auto"/>
                <w:left w:val="none" w:sz="0" w:space="0" w:color="auto"/>
                <w:bottom w:val="none" w:sz="0" w:space="0" w:color="auto"/>
                <w:right w:val="none" w:sz="0" w:space="0" w:color="auto"/>
              </w:divBdr>
            </w:div>
          </w:divsChild>
        </w:div>
        <w:div w:id="1875262568">
          <w:marLeft w:val="0"/>
          <w:marRight w:val="0"/>
          <w:marTop w:val="0"/>
          <w:marBottom w:val="0"/>
          <w:divBdr>
            <w:top w:val="none" w:sz="0" w:space="0" w:color="auto"/>
            <w:left w:val="none" w:sz="0" w:space="0" w:color="auto"/>
            <w:bottom w:val="none" w:sz="0" w:space="0" w:color="auto"/>
            <w:right w:val="none" w:sz="0" w:space="0" w:color="auto"/>
          </w:divBdr>
        </w:div>
        <w:div w:id="244455074">
          <w:marLeft w:val="0"/>
          <w:marRight w:val="0"/>
          <w:marTop w:val="0"/>
          <w:marBottom w:val="0"/>
          <w:divBdr>
            <w:top w:val="none" w:sz="0" w:space="0" w:color="auto"/>
            <w:left w:val="none" w:sz="0" w:space="0" w:color="auto"/>
            <w:bottom w:val="none" w:sz="0" w:space="0" w:color="auto"/>
            <w:right w:val="none" w:sz="0" w:space="0" w:color="auto"/>
          </w:divBdr>
        </w:div>
      </w:divsChild>
    </w:div>
    <w:div w:id="1474902917">
      <w:bodyDiv w:val="1"/>
      <w:marLeft w:val="0"/>
      <w:marRight w:val="0"/>
      <w:marTop w:val="0"/>
      <w:marBottom w:val="0"/>
      <w:divBdr>
        <w:top w:val="none" w:sz="0" w:space="0" w:color="auto"/>
        <w:left w:val="none" w:sz="0" w:space="0" w:color="auto"/>
        <w:bottom w:val="none" w:sz="0" w:space="0" w:color="auto"/>
        <w:right w:val="none" w:sz="0" w:space="0" w:color="auto"/>
      </w:divBdr>
    </w:div>
    <w:div w:id="1583492231">
      <w:bodyDiv w:val="1"/>
      <w:marLeft w:val="0"/>
      <w:marRight w:val="0"/>
      <w:marTop w:val="0"/>
      <w:marBottom w:val="0"/>
      <w:divBdr>
        <w:top w:val="none" w:sz="0" w:space="0" w:color="auto"/>
        <w:left w:val="none" w:sz="0" w:space="0" w:color="auto"/>
        <w:bottom w:val="none" w:sz="0" w:space="0" w:color="auto"/>
        <w:right w:val="none" w:sz="0" w:space="0" w:color="auto"/>
      </w:divBdr>
    </w:div>
    <w:div w:id="1650791272">
      <w:bodyDiv w:val="1"/>
      <w:marLeft w:val="0"/>
      <w:marRight w:val="0"/>
      <w:marTop w:val="0"/>
      <w:marBottom w:val="0"/>
      <w:divBdr>
        <w:top w:val="none" w:sz="0" w:space="0" w:color="auto"/>
        <w:left w:val="none" w:sz="0" w:space="0" w:color="auto"/>
        <w:bottom w:val="none" w:sz="0" w:space="0" w:color="auto"/>
        <w:right w:val="none" w:sz="0" w:space="0" w:color="auto"/>
      </w:divBdr>
    </w:div>
    <w:div w:id="1805583145">
      <w:bodyDiv w:val="1"/>
      <w:marLeft w:val="0"/>
      <w:marRight w:val="0"/>
      <w:marTop w:val="0"/>
      <w:marBottom w:val="0"/>
      <w:divBdr>
        <w:top w:val="none" w:sz="0" w:space="0" w:color="auto"/>
        <w:left w:val="none" w:sz="0" w:space="0" w:color="auto"/>
        <w:bottom w:val="none" w:sz="0" w:space="0" w:color="auto"/>
        <w:right w:val="none" w:sz="0" w:space="0" w:color="auto"/>
      </w:divBdr>
    </w:div>
    <w:div w:id="1883469608">
      <w:bodyDiv w:val="1"/>
      <w:marLeft w:val="0"/>
      <w:marRight w:val="0"/>
      <w:marTop w:val="0"/>
      <w:marBottom w:val="0"/>
      <w:divBdr>
        <w:top w:val="none" w:sz="0" w:space="0" w:color="auto"/>
        <w:left w:val="none" w:sz="0" w:space="0" w:color="auto"/>
        <w:bottom w:val="none" w:sz="0" w:space="0" w:color="auto"/>
        <w:right w:val="none" w:sz="0" w:space="0" w:color="auto"/>
      </w:divBdr>
    </w:div>
    <w:div w:id="1937980070">
      <w:bodyDiv w:val="1"/>
      <w:marLeft w:val="0"/>
      <w:marRight w:val="0"/>
      <w:marTop w:val="0"/>
      <w:marBottom w:val="0"/>
      <w:divBdr>
        <w:top w:val="none" w:sz="0" w:space="0" w:color="auto"/>
        <w:left w:val="none" w:sz="0" w:space="0" w:color="auto"/>
        <w:bottom w:val="none" w:sz="0" w:space="0" w:color="auto"/>
        <w:right w:val="none" w:sz="0" w:space="0" w:color="auto"/>
      </w:divBdr>
    </w:div>
    <w:div w:id="19943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E3CDA-881B-D545-9768-96B1B8FA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2018-08-20T09:20:00Z</dcterms:created>
  <dcterms:modified xsi:type="dcterms:W3CDTF">2018-08-30T13:01:00Z</dcterms:modified>
</cp:coreProperties>
</file>