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0659" w:rsidRDefault="004F2139" w:rsidP="00223FBB">
      <w:pPr>
        <w:pStyle w:val="Heading2"/>
      </w:pPr>
      <w:r>
        <w:t>Neo-Brahmi Generation Panel</w:t>
      </w:r>
    </w:p>
    <w:p w:rsidR="004F2139" w:rsidRPr="00223FBB" w:rsidRDefault="004F2139" w:rsidP="00223FBB">
      <w:pPr>
        <w:pStyle w:val="Heading1"/>
        <w:pBdr>
          <w:bottom w:val="single" w:sz="6" w:space="1" w:color="auto"/>
        </w:pBdr>
        <w:rPr>
          <w:rFonts w:ascii="Cambria" w:hAnsi="Cambria"/>
          <w:b/>
          <w:bCs/>
          <w:sz w:val="36"/>
          <w:szCs w:val="36"/>
        </w:rPr>
      </w:pPr>
      <w:r w:rsidRPr="00223FBB">
        <w:rPr>
          <w:rFonts w:ascii="Cambria" w:hAnsi="Cambria"/>
          <w:b/>
          <w:bCs/>
          <w:sz w:val="36"/>
          <w:szCs w:val="36"/>
        </w:rPr>
        <w:t>Analysis of comments for Bangla script LGR Proposal for the Root Zone</w:t>
      </w:r>
    </w:p>
    <w:p w:rsidR="004F2139" w:rsidRDefault="004F2139" w:rsidP="00223FBB">
      <w:r>
        <w:t>Revision: May 11, 2020</w:t>
      </w:r>
    </w:p>
    <w:p w:rsidR="004F2139" w:rsidRDefault="004F2139"/>
    <w:p w:rsidR="004F2139" w:rsidRDefault="004F2139" w:rsidP="004F2139">
      <w:r>
        <w:t>Neo-Brahmi Generation Panel (NBGP) published the Bangla script LGR Proposal for the Root Zone for public comment on 2 March 2020.</w:t>
      </w:r>
      <w:r>
        <w:tab/>
        <w:t>This document is an additional document of</w:t>
      </w:r>
      <w:r>
        <w:tab/>
      </w:r>
    </w:p>
    <w:p w:rsidR="004F2139" w:rsidRDefault="004F2139" w:rsidP="004F2139">
      <w:r>
        <w:t>The public comment report,</w:t>
      </w:r>
      <w:r>
        <w:tab/>
        <w:t>collecting NBGP analyses as well as the concluded responses.</w:t>
      </w:r>
      <w:r>
        <w:tab/>
      </w:r>
    </w:p>
    <w:p w:rsidR="004F2139" w:rsidRDefault="004F2139" w:rsidP="004F2139">
      <w:r>
        <w:t>There</w:t>
      </w:r>
      <w:r w:rsidR="0037232C">
        <w:t xml:space="preserve"> </w:t>
      </w:r>
      <w:r>
        <w:t>are nine (9) comment submissions. The analyses are as follow:</w:t>
      </w:r>
    </w:p>
    <w:p w:rsidR="004F2139" w:rsidRDefault="004F2139" w:rsidP="004F2139"/>
    <w:tbl>
      <w:tblPr>
        <w:tblStyle w:val="TableGrid"/>
        <w:tblW w:w="0" w:type="auto"/>
        <w:tblLook w:val="04A0" w:firstRow="1" w:lastRow="0" w:firstColumn="1" w:lastColumn="0" w:noHBand="0" w:noVBand="1"/>
      </w:tblPr>
      <w:tblGrid>
        <w:gridCol w:w="625"/>
        <w:gridCol w:w="630"/>
        <w:gridCol w:w="1080"/>
        <w:gridCol w:w="7015"/>
      </w:tblGrid>
      <w:tr w:rsidR="00F37819" w:rsidTr="004F2139">
        <w:tc>
          <w:tcPr>
            <w:tcW w:w="625" w:type="dxa"/>
            <w:shd w:val="clear" w:color="auto" w:fill="E7E6E6" w:themeFill="background2"/>
          </w:tcPr>
          <w:p w:rsidR="004F2139" w:rsidRDefault="004F2139" w:rsidP="004F2139">
            <w:r>
              <w:t>No.</w:t>
            </w:r>
          </w:p>
        </w:tc>
        <w:tc>
          <w:tcPr>
            <w:tcW w:w="630" w:type="dxa"/>
            <w:shd w:val="clear" w:color="auto" w:fill="E7E6E6" w:themeFill="background2"/>
          </w:tcPr>
          <w:p w:rsidR="004F2139" w:rsidRDefault="004F2139" w:rsidP="004F2139">
            <w:r>
              <w:t>1</w:t>
            </w:r>
          </w:p>
        </w:tc>
        <w:tc>
          <w:tcPr>
            <w:tcW w:w="1080" w:type="dxa"/>
            <w:shd w:val="clear" w:color="auto" w:fill="E7E6E6" w:themeFill="background2"/>
          </w:tcPr>
          <w:p w:rsidR="004F2139" w:rsidRDefault="004F2139" w:rsidP="004F2139">
            <w:r>
              <w:t>From</w:t>
            </w:r>
          </w:p>
        </w:tc>
        <w:tc>
          <w:tcPr>
            <w:tcW w:w="7015" w:type="dxa"/>
            <w:shd w:val="clear" w:color="auto" w:fill="E7E6E6" w:themeFill="background2"/>
          </w:tcPr>
          <w:p w:rsidR="004F2139" w:rsidRDefault="004F2139" w:rsidP="004F2139">
            <w:r>
              <w:t>Integration Panel (IP)</w:t>
            </w:r>
          </w:p>
        </w:tc>
      </w:tr>
      <w:tr w:rsidR="004F2139" w:rsidTr="004F2139">
        <w:tc>
          <w:tcPr>
            <w:tcW w:w="1255" w:type="dxa"/>
            <w:gridSpan w:val="2"/>
            <w:shd w:val="clear" w:color="auto" w:fill="auto"/>
          </w:tcPr>
          <w:p w:rsidR="004F2139" w:rsidRDefault="004F2139" w:rsidP="004F2139">
            <w:r>
              <w:t>Comment</w:t>
            </w:r>
          </w:p>
        </w:tc>
        <w:tc>
          <w:tcPr>
            <w:tcW w:w="8095" w:type="dxa"/>
            <w:gridSpan w:val="2"/>
            <w:shd w:val="clear" w:color="auto" w:fill="auto"/>
          </w:tcPr>
          <w:p w:rsidR="004F2139" w:rsidRPr="004F2139" w:rsidRDefault="004F2139" w:rsidP="004F2139">
            <w:pPr>
              <w:rPr>
                <w:rFonts w:ascii="Arial" w:hAnsi="Arial" w:cs="Arial"/>
                <w:sz w:val="8"/>
                <w:szCs w:val="8"/>
              </w:rPr>
            </w:pPr>
            <w:r w:rsidRPr="004F2139">
              <w:t>Using the list of delegated IDN TLDs, the IP performed collision checks and found one collision.</w:t>
            </w:r>
            <w:r w:rsidRPr="003001D0">
              <w:rPr>
                <w:rFonts w:ascii="Arial" w:hAnsi="Arial" w:cs="Arial"/>
                <w:highlight w:val="yellow"/>
              </w:rPr>
              <w:t xml:space="preserve"> </w:t>
            </w:r>
            <w:r w:rsidRPr="003001D0">
              <w:rPr>
                <w:rFonts w:ascii="Arial" w:hAnsi="Arial" w:cs="Arial"/>
                <w:highlight w:val="yellow"/>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9"/>
            </w:tblGrid>
            <w:tr w:rsidR="004F2139" w:rsidRPr="003001D0" w:rsidTr="00CB1E6A">
              <w:trPr>
                <w:trHeight w:val="449"/>
              </w:trPr>
              <w:tc>
                <w:tcPr>
                  <w:tcW w:w="9391" w:type="dxa"/>
                  <w:vAlign w:val="center"/>
                </w:tcPr>
                <w:p w:rsidR="004F2139" w:rsidRPr="004F2139" w:rsidRDefault="004F2139" w:rsidP="004F2139">
                  <w:pPr>
                    <w:jc w:val="center"/>
                    <w:rPr>
                      <w:rFonts w:ascii="Menlo" w:hAnsi="Menlo" w:cs="Menlo"/>
                      <w:sz w:val="18"/>
                      <w:szCs w:val="18"/>
                    </w:rPr>
                  </w:pPr>
                  <w:r w:rsidRPr="004F2139">
                    <w:rPr>
                      <w:rFonts w:ascii="Menlo" w:hAnsi="Menlo" w:cs="Menlo"/>
                      <w:noProof/>
                      <w:sz w:val="18"/>
                      <w:szCs w:val="18"/>
                    </w:rPr>
                    <w:drawing>
                      <wp:inline distT="0" distB="0" distL="0" distR="0" wp14:anchorId="0EF30473" wp14:editId="1BFE6295">
                        <wp:extent cx="505838" cy="1713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292" cy="175212"/>
                                </a:xfrm>
                                <a:prstGeom prst="rect">
                                  <a:avLst/>
                                </a:prstGeom>
                              </pic:spPr>
                            </pic:pic>
                          </a:graphicData>
                        </a:graphic>
                      </wp:inline>
                    </w:drawing>
                  </w:r>
                  <w:r w:rsidRPr="004F2139">
                    <w:rPr>
                      <w:rFonts w:ascii="Menlo" w:hAnsi="Menlo" w:cs="Menlo"/>
                      <w:sz w:val="18"/>
                      <w:szCs w:val="18"/>
                    </w:rPr>
                    <w:t xml:space="preserve"> (09AD 09BE 09B0 09A4)  &lt;==&gt; </w:t>
                  </w:r>
                  <w:r w:rsidRPr="004F2139">
                    <w:rPr>
                      <w:rFonts w:ascii="Menlo" w:hAnsi="Menlo" w:cs="Menlo"/>
                      <w:noProof/>
                      <w:sz w:val="18"/>
                      <w:szCs w:val="18"/>
                    </w:rPr>
                    <w:drawing>
                      <wp:inline distT="0" distB="0" distL="0" distR="0" wp14:anchorId="0918A774" wp14:editId="11DCBEE5">
                        <wp:extent cx="515566" cy="171855"/>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919" cy="175306"/>
                                </a:xfrm>
                                <a:prstGeom prst="rect">
                                  <a:avLst/>
                                </a:prstGeom>
                              </pic:spPr>
                            </pic:pic>
                          </a:graphicData>
                        </a:graphic>
                      </wp:inline>
                    </w:drawing>
                  </w:r>
                  <w:r w:rsidRPr="004F2139">
                    <w:rPr>
                      <w:rFonts w:ascii="Menlo" w:hAnsi="Menlo" w:cs="Menlo"/>
                      <w:sz w:val="18"/>
                      <w:szCs w:val="18"/>
                    </w:rPr>
                    <w:t xml:space="preserve"> (09AD 09BE 09F0 09A4)</w:t>
                  </w:r>
                </w:p>
              </w:tc>
            </w:tr>
          </w:tbl>
          <w:p w:rsidR="004F2139" w:rsidRPr="003001D0" w:rsidRDefault="004F2139" w:rsidP="004F2139">
            <w:pPr>
              <w:rPr>
                <w:rFonts w:ascii="Arial" w:hAnsi="Arial" w:cs="Arial"/>
                <w:highlight w:val="yellow"/>
              </w:rPr>
            </w:pPr>
          </w:p>
          <w:p w:rsidR="004F2139" w:rsidRPr="004F2139" w:rsidRDefault="004F2139" w:rsidP="004F2139">
            <w:r w:rsidRPr="004F2139">
              <w:t>The labels in question differ between code points 09B0 and 09F0, which are blocked variants in the Bangla LGR. These labels spell "India" in Bangla and Assamese and are both currently delegated.</w:t>
            </w:r>
          </w:p>
          <w:p w:rsidR="004F2139" w:rsidRPr="004F2139" w:rsidRDefault="004F2139" w:rsidP="004F2139"/>
          <w:p w:rsidR="004F2139" w:rsidRPr="004F2139" w:rsidRDefault="004F2139" w:rsidP="004F2139">
            <w:r w:rsidRPr="004F2139">
              <w:t xml:space="preserve">Normally, with a blocked disposition, a label can only exist in the spelling used by one community, and members of the other community might be unable to access the label altogether. To be able to address such usability issues, variants can be made allocatable, which would allow the same resource to be made available equally for each community. </w:t>
            </w:r>
          </w:p>
          <w:p w:rsidR="004F2139" w:rsidRPr="004F2139" w:rsidRDefault="004F2139" w:rsidP="004F2139"/>
          <w:p w:rsidR="004F2139" w:rsidRPr="004F2139" w:rsidRDefault="004F2139" w:rsidP="004F2139">
            <w:r w:rsidRPr="004F2139">
              <w:t>The IP brings this to the attention of the community. There is no requirement for the RZ-LGR to cover every previously delegated IDN TLDs. However, the NBGP may decide based on the usability considerations to make a change or to better explain the rationale for the existing design.</w:t>
            </w:r>
          </w:p>
          <w:p w:rsidR="004F2139" w:rsidRDefault="004F2139" w:rsidP="004F2139"/>
        </w:tc>
      </w:tr>
      <w:tr w:rsidR="004F2139" w:rsidTr="004F2139">
        <w:tc>
          <w:tcPr>
            <w:tcW w:w="1255" w:type="dxa"/>
            <w:gridSpan w:val="2"/>
          </w:tcPr>
          <w:p w:rsidR="00F37819" w:rsidRDefault="004F2139" w:rsidP="00F37819">
            <w:r w:rsidRPr="00F37819">
              <w:t>NBGP Analysis</w:t>
            </w:r>
          </w:p>
          <w:p w:rsidR="004F2139" w:rsidRPr="00A470D7" w:rsidRDefault="004F2139" w:rsidP="00F37819">
            <w:pPr>
              <w:rPr>
                <w:color w:val="FF0000"/>
              </w:rPr>
            </w:pPr>
          </w:p>
        </w:tc>
        <w:tc>
          <w:tcPr>
            <w:tcW w:w="8095" w:type="dxa"/>
            <w:gridSpan w:val="2"/>
          </w:tcPr>
          <w:p w:rsidR="00F37819" w:rsidRPr="00F37819" w:rsidRDefault="00F37819" w:rsidP="00F37819">
            <w:pPr>
              <w:rPr>
                <w:rFonts w:ascii="Shonar Bangla" w:hAnsi="Shonar Bangla" w:cs="Shonar Bangla"/>
                <w:lang w:bidi="as-IN"/>
              </w:rPr>
            </w:pPr>
            <w:r w:rsidRPr="00F37819">
              <w:t>Both dispositions address the security issue. However, there are different usability implications</w:t>
            </w:r>
            <w:r w:rsidRPr="00F37819">
              <w:t xml:space="preserve">. </w:t>
            </w:r>
            <w:r w:rsidRPr="00F37819">
              <w:rPr>
                <w:rFonts w:ascii="Calibri" w:hAnsi="Calibri" w:cs="Calibri"/>
              </w:rPr>
              <w:t xml:space="preserve">The NBGP used an example of the labels </w:t>
            </w:r>
            <w:r w:rsidRPr="00F37819">
              <w:rPr>
                <w:rFonts w:ascii="Shonar Bangla" w:hAnsi="Shonar Bangla" w:cs="Shonar Bangla" w:hint="cs"/>
                <w:cs/>
                <w:lang w:bidi="bn-IN"/>
              </w:rPr>
              <w:t>রাজা</w:t>
            </w:r>
            <w:r w:rsidRPr="00F37819">
              <w:rPr>
                <w:rFonts w:ascii="Calibri" w:hAnsi="Calibri" w:cs="Calibri"/>
              </w:rPr>
              <w:t xml:space="preserve"> and </w:t>
            </w:r>
            <w:r w:rsidRPr="00F37819">
              <w:rPr>
                <w:rFonts w:ascii="Shonar Bangla" w:hAnsi="Shonar Bangla" w:cs="Shonar Bangla" w:hint="cs"/>
                <w:cs/>
                <w:lang w:bidi="as-IN"/>
              </w:rPr>
              <w:t>ৰাজা</w:t>
            </w:r>
            <w:r w:rsidRPr="00F37819">
              <w:rPr>
                <w:rFonts w:ascii="Calibri" w:hAnsi="Calibri" w:cs="Calibri"/>
                <w:lang w:bidi="as-IN"/>
              </w:rPr>
              <w:t>, trying to answer the following question:</w:t>
            </w:r>
            <w:r>
              <w:rPr>
                <w:rFonts w:ascii="Shonar Bangla" w:hAnsi="Shonar Bangla" w:cs="Shonar Bangla"/>
                <w:lang w:bidi="as-IN"/>
              </w:rPr>
              <w:t xml:space="preserve"> </w:t>
            </w:r>
            <w:r>
              <w:rPr>
                <w:i/>
                <w:iCs/>
              </w:rPr>
              <w:t>“</w:t>
            </w:r>
            <w:r w:rsidRPr="00F37819">
              <w:rPr>
                <w:i/>
                <w:iCs/>
              </w:rPr>
              <w:t xml:space="preserve">Should the Bangla LGR solution be ‘allocatable’ variant mapping; If a company applies for </w:t>
            </w:r>
            <w:r w:rsidRPr="00F37819">
              <w:rPr>
                <w:rFonts w:ascii="Shonar Bangla" w:hAnsi="Shonar Bangla" w:cs="Shonar Bangla" w:hint="cs"/>
                <w:i/>
                <w:iCs/>
                <w:cs/>
                <w:lang w:bidi="as-IN"/>
              </w:rPr>
              <w:t>ৰাজা</w:t>
            </w:r>
            <w:r w:rsidRPr="00F37819">
              <w:rPr>
                <w:i/>
                <w:iCs/>
              </w:rPr>
              <w:t>,</w:t>
            </w:r>
            <w:r w:rsidRPr="00F37819">
              <w:rPr>
                <w:i/>
                <w:iCs/>
                <w:cs/>
                <w:lang w:bidi="as-IN"/>
              </w:rPr>
              <w:t xml:space="preserve"> </w:t>
            </w:r>
            <w:r w:rsidRPr="00F37819">
              <w:rPr>
                <w:i/>
                <w:iCs/>
              </w:rPr>
              <w:t>then which option should be considered?</w:t>
            </w:r>
            <w:r>
              <w:rPr>
                <w:i/>
                <w:iCs/>
              </w:rPr>
              <w:t>”</w:t>
            </w:r>
          </w:p>
          <w:p w:rsidR="00F37819" w:rsidRPr="00F37819" w:rsidRDefault="00F37819" w:rsidP="00F37819">
            <w:pPr>
              <w:pStyle w:val="ListParagraph"/>
              <w:numPr>
                <w:ilvl w:val="0"/>
                <w:numId w:val="1"/>
              </w:numPr>
            </w:pPr>
            <w:r w:rsidRPr="00F37819">
              <w:rPr>
                <w:b/>
                <w:bCs/>
              </w:rPr>
              <w:t xml:space="preserve">‘blocked’ </w:t>
            </w:r>
            <w:r w:rsidRPr="00F37819">
              <w:t>variant codepoints (current solution</w:t>
            </w:r>
            <w:r>
              <w:t>, case 2</w:t>
            </w:r>
          </w:p>
          <w:p w:rsidR="00F37819" w:rsidRPr="00F37819" w:rsidRDefault="00F37819" w:rsidP="00F37819">
            <w:pPr>
              <w:pStyle w:val="ListParagraph"/>
              <w:numPr>
                <w:ilvl w:val="1"/>
                <w:numId w:val="1"/>
              </w:numPr>
            </w:pPr>
            <w:r w:rsidRPr="00F37819">
              <w:t xml:space="preserve">Only original label </w:t>
            </w:r>
            <w:r w:rsidRPr="00F37819">
              <w:rPr>
                <w:rFonts w:ascii="Shonar Bangla" w:hAnsi="Shonar Bangla" w:cs="Shonar Bangla" w:hint="cs"/>
                <w:cs/>
                <w:lang w:bidi="bn-IN"/>
              </w:rPr>
              <w:t>ৰাজা</w:t>
            </w:r>
            <w:r w:rsidRPr="00F37819">
              <w:t xml:space="preserve"> is available in the </w:t>
            </w:r>
            <w:r>
              <w:t>root-zone</w:t>
            </w:r>
            <w:r w:rsidRPr="00F37819">
              <w:t>.</w:t>
            </w:r>
          </w:p>
          <w:p w:rsidR="00F37819" w:rsidRDefault="00F37819" w:rsidP="00F37819">
            <w:pPr>
              <w:pStyle w:val="ListParagraph"/>
              <w:numPr>
                <w:ilvl w:val="1"/>
                <w:numId w:val="1"/>
              </w:numPr>
            </w:pPr>
            <w:r w:rsidRPr="00F37819">
              <w:t xml:space="preserve">This option might limit the usability e.g. customer who does not have </w:t>
            </w:r>
            <w:r w:rsidRPr="00F37819">
              <w:rPr>
                <w:rFonts w:ascii="Shonar Bangla" w:hAnsi="Shonar Bangla" w:cs="Shonar Bangla" w:hint="cs"/>
                <w:cs/>
                <w:lang w:bidi="bn-IN"/>
              </w:rPr>
              <w:t>ৰ</w:t>
            </w:r>
            <w:r w:rsidRPr="00F37819">
              <w:t xml:space="preserve"> on the keyboard would not be able to access </w:t>
            </w:r>
            <w:r w:rsidRPr="00F37819">
              <w:rPr>
                <w:rFonts w:ascii="Shonar Bangla" w:hAnsi="Shonar Bangla" w:cs="Shonar Bangla" w:hint="cs"/>
                <w:cs/>
                <w:lang w:bidi="bn-IN"/>
              </w:rPr>
              <w:t>ৰাজা</w:t>
            </w:r>
            <w:r w:rsidRPr="00F37819">
              <w:t xml:space="preserve">, because they would only be able to type  </w:t>
            </w:r>
            <w:r w:rsidRPr="00F37819">
              <w:rPr>
                <w:rFonts w:ascii="Shonar Bangla" w:hAnsi="Shonar Bangla" w:cs="Shonar Bangla" w:hint="cs"/>
                <w:cs/>
                <w:lang w:bidi="bn-IN"/>
              </w:rPr>
              <w:t>রাজা</w:t>
            </w:r>
            <w:r w:rsidRPr="00F37819">
              <w:t xml:space="preserve"> TLD.</w:t>
            </w:r>
          </w:p>
          <w:p w:rsidR="00F37819" w:rsidRPr="00F37819" w:rsidRDefault="00F37819" w:rsidP="00F37819">
            <w:pPr>
              <w:pStyle w:val="ListParagraph"/>
              <w:ind w:left="1440"/>
            </w:pPr>
            <w:bookmarkStart w:id="0" w:name="_GoBack"/>
            <w:bookmarkEnd w:id="0"/>
          </w:p>
          <w:p w:rsidR="00F37819" w:rsidRPr="00F37819" w:rsidRDefault="00F37819" w:rsidP="00F37819">
            <w:pPr>
              <w:pStyle w:val="ListParagraph"/>
              <w:numPr>
                <w:ilvl w:val="0"/>
                <w:numId w:val="1"/>
              </w:numPr>
            </w:pPr>
            <w:r w:rsidRPr="00F37819">
              <w:rPr>
                <w:b/>
                <w:bCs/>
              </w:rPr>
              <w:lastRenderedPageBreak/>
              <w:t xml:space="preserve">‘allocatable’ </w:t>
            </w:r>
            <w:r w:rsidRPr="00F37819">
              <w:t>variant codepoints</w:t>
            </w:r>
          </w:p>
          <w:p w:rsidR="00F37819" w:rsidRDefault="00F37819" w:rsidP="00F37819">
            <w:pPr>
              <w:pStyle w:val="ListParagraph"/>
              <w:numPr>
                <w:ilvl w:val="1"/>
                <w:numId w:val="1"/>
              </w:numPr>
            </w:pPr>
            <w:r w:rsidRPr="00F37819">
              <w:rPr>
                <w:lang w:val="en-SG"/>
              </w:rPr>
              <w:t xml:space="preserve">Both original label </w:t>
            </w:r>
            <w:r w:rsidRPr="00F37819">
              <w:rPr>
                <w:rFonts w:ascii="Shonar Bangla" w:hAnsi="Shonar Bangla" w:cs="Shonar Bangla" w:hint="cs"/>
                <w:cs/>
                <w:lang w:bidi="bn-IN"/>
              </w:rPr>
              <w:t>ৰাজা</w:t>
            </w:r>
            <w:r w:rsidRPr="00F37819">
              <w:t xml:space="preserve"> and variant labels </w:t>
            </w:r>
            <w:r w:rsidRPr="00F37819">
              <w:rPr>
                <w:rFonts w:ascii="Shonar Bangla" w:hAnsi="Shonar Bangla" w:cs="Shonar Bangla" w:hint="cs"/>
                <w:cs/>
                <w:lang w:bidi="bn-IN"/>
              </w:rPr>
              <w:t>রাজা</w:t>
            </w:r>
            <w:r>
              <w:rPr>
                <w:rFonts w:ascii="Shonar Bangla" w:hAnsi="Shonar Bangla" w:cs="Shonar Bangla"/>
                <w:lang w:bidi="bn-IN"/>
              </w:rPr>
              <w:t xml:space="preserve"> </w:t>
            </w:r>
            <w:r w:rsidRPr="00F37819">
              <w:t xml:space="preserve">are available in the </w:t>
            </w:r>
            <w:r>
              <w:t>root-zone</w:t>
            </w:r>
            <w:r w:rsidRPr="00F37819">
              <w:t>.</w:t>
            </w:r>
          </w:p>
          <w:p w:rsidR="00F37819" w:rsidRPr="00F37819" w:rsidRDefault="00F37819" w:rsidP="004F2139">
            <w:pPr>
              <w:pStyle w:val="ListParagraph"/>
              <w:numPr>
                <w:ilvl w:val="1"/>
                <w:numId w:val="1"/>
              </w:numPr>
            </w:pPr>
            <w:r w:rsidRPr="00F37819">
              <w:rPr>
                <w:lang w:val="en-SG"/>
              </w:rPr>
              <w:t xml:space="preserve">Better for usability, it is possible for users to access either </w:t>
            </w:r>
            <w:r w:rsidRPr="00F37819">
              <w:rPr>
                <w:rFonts w:ascii="Shonar Bangla" w:hAnsi="Shonar Bangla" w:cs="Shonar Bangla" w:hint="cs"/>
                <w:cs/>
                <w:lang w:bidi="bn-IN"/>
              </w:rPr>
              <w:t>ৰাজা</w:t>
            </w:r>
            <w:r w:rsidRPr="00F37819">
              <w:t xml:space="preserve"> or </w:t>
            </w:r>
            <w:r w:rsidRPr="00F37819">
              <w:rPr>
                <w:rFonts w:ascii="Shonar Bangla" w:hAnsi="Shonar Bangla" w:cs="Shonar Bangla" w:hint="cs"/>
                <w:cs/>
                <w:lang w:bidi="bn-IN"/>
              </w:rPr>
              <w:t>রাজা</w:t>
            </w:r>
            <w:r w:rsidRPr="00F37819">
              <w:t xml:space="preserve"> </w:t>
            </w:r>
            <w:r w:rsidRPr="00F37819">
              <w:rPr>
                <w:lang w:val="en-SG"/>
              </w:rPr>
              <w:t xml:space="preserve">TLD. </w:t>
            </w:r>
            <w:r>
              <w:rPr>
                <w:lang w:val="en-SG"/>
              </w:rPr>
              <w:br/>
            </w:r>
          </w:p>
          <w:p w:rsidR="004F2139" w:rsidRDefault="00F37819" w:rsidP="00F37819">
            <w:pPr>
              <w:jc w:val="center"/>
            </w:pPr>
            <w:r>
              <w:rPr>
                <w:noProof/>
                <w:lang w:val="en-SG"/>
              </w:rPr>
              <w:drawing>
                <wp:inline distT="0" distB="0" distL="0" distR="0">
                  <wp:extent cx="4542804" cy="1867112"/>
                  <wp:effectExtent l="0" t="0" r="3810" b="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11 at 15.19.45.png"/>
                          <pic:cNvPicPr/>
                        </pic:nvPicPr>
                        <pic:blipFill>
                          <a:blip r:embed="rId10">
                            <a:extLst>
                              <a:ext uri="{28A0092B-C50C-407E-A947-70E740481C1C}">
                                <a14:useLocalDpi xmlns:a14="http://schemas.microsoft.com/office/drawing/2010/main" val="0"/>
                              </a:ext>
                            </a:extLst>
                          </a:blip>
                          <a:stretch>
                            <a:fillRect/>
                          </a:stretch>
                        </pic:blipFill>
                        <pic:spPr>
                          <a:xfrm>
                            <a:off x="0" y="0"/>
                            <a:ext cx="4563563" cy="1875644"/>
                          </a:xfrm>
                          <a:prstGeom prst="rect">
                            <a:avLst/>
                          </a:prstGeom>
                        </pic:spPr>
                      </pic:pic>
                    </a:graphicData>
                  </a:graphic>
                </wp:inline>
              </w:drawing>
            </w:r>
            <w:r w:rsidRPr="00F37819">
              <w:rPr>
                <w:lang w:val="en-SG"/>
              </w:rPr>
              <w:br/>
            </w:r>
          </w:p>
        </w:tc>
      </w:tr>
      <w:tr w:rsidR="004F2139" w:rsidTr="00F31FEC">
        <w:trPr>
          <w:trHeight w:val="737"/>
        </w:trPr>
        <w:tc>
          <w:tcPr>
            <w:tcW w:w="1255" w:type="dxa"/>
            <w:gridSpan w:val="2"/>
          </w:tcPr>
          <w:p w:rsidR="004F2139" w:rsidRPr="00F37819" w:rsidRDefault="004F2139" w:rsidP="004F2139">
            <w:r w:rsidRPr="00F37819">
              <w:lastRenderedPageBreak/>
              <w:t>NBGP Concluded Response</w:t>
            </w:r>
          </w:p>
          <w:p w:rsidR="00F37819" w:rsidRPr="00A470D7" w:rsidRDefault="00F37819" w:rsidP="00F31FEC">
            <w:pPr>
              <w:rPr>
                <w:color w:val="FF0000"/>
              </w:rPr>
            </w:pPr>
          </w:p>
        </w:tc>
        <w:tc>
          <w:tcPr>
            <w:tcW w:w="8095" w:type="dxa"/>
            <w:gridSpan w:val="2"/>
          </w:tcPr>
          <w:p w:rsidR="00F31FEC" w:rsidRPr="003D6EC7" w:rsidRDefault="00F31FEC" w:rsidP="00F31FEC">
            <w:pPr>
              <w:rPr>
                <w:color w:val="FF0000"/>
              </w:rPr>
            </w:pPr>
            <w:r w:rsidRPr="003D6EC7">
              <w:rPr>
                <w:color w:val="FF0000"/>
              </w:rPr>
              <w:t xml:space="preserve">&lt; to be </w:t>
            </w:r>
            <w:r>
              <w:rPr>
                <w:color w:val="FF0000"/>
              </w:rPr>
              <w:t>discussed and finalized</w:t>
            </w:r>
            <w:r w:rsidRPr="003D6EC7">
              <w:rPr>
                <w:color w:val="FF0000"/>
              </w:rPr>
              <w:t xml:space="preserve"> on 11 May 2020&gt;</w:t>
            </w:r>
          </w:p>
          <w:p w:rsidR="00F31FEC" w:rsidRDefault="00F37819" w:rsidP="00F37819">
            <w:r>
              <w:t>The N</w:t>
            </w:r>
            <w:r w:rsidR="00F31FEC">
              <w:t>BGP</w:t>
            </w:r>
            <w:r w:rsidRPr="00F37819">
              <w:t xml:space="preserve"> decided to </w:t>
            </w:r>
            <w:r w:rsidR="00F31FEC">
              <w:t xml:space="preserve">update the disposition of </w:t>
            </w:r>
            <w:r w:rsidR="00F31FEC" w:rsidRPr="004F2139">
              <w:t>code points 09B0 and 09F0</w:t>
            </w:r>
            <w:r w:rsidR="00F31FEC">
              <w:t xml:space="preserve"> variants as ‘allocatable’. The LGR proposal will be updated accordingly. </w:t>
            </w:r>
          </w:p>
          <w:p w:rsidR="00F31FEC" w:rsidRDefault="00F31FEC" w:rsidP="00F37819"/>
          <w:p w:rsidR="004F2139" w:rsidRDefault="004F2139" w:rsidP="00F31FEC"/>
        </w:tc>
      </w:tr>
    </w:tbl>
    <w:p w:rsidR="004F2139" w:rsidRDefault="004F2139" w:rsidP="004F2139"/>
    <w:p w:rsidR="004F2139" w:rsidRDefault="004F2139" w:rsidP="004F2139"/>
    <w:p w:rsidR="004F2139" w:rsidRDefault="004F2139" w:rsidP="004F2139"/>
    <w:tbl>
      <w:tblPr>
        <w:tblStyle w:val="TableGrid"/>
        <w:tblW w:w="0" w:type="auto"/>
        <w:tblLook w:val="04A0" w:firstRow="1" w:lastRow="0" w:firstColumn="1" w:lastColumn="0" w:noHBand="0" w:noVBand="1"/>
      </w:tblPr>
      <w:tblGrid>
        <w:gridCol w:w="625"/>
        <w:gridCol w:w="630"/>
        <w:gridCol w:w="1080"/>
        <w:gridCol w:w="7015"/>
      </w:tblGrid>
      <w:tr w:rsidR="004F2139" w:rsidTr="00CB1E6A">
        <w:tc>
          <w:tcPr>
            <w:tcW w:w="625" w:type="dxa"/>
            <w:shd w:val="clear" w:color="auto" w:fill="E7E6E6" w:themeFill="background2"/>
          </w:tcPr>
          <w:p w:rsidR="004F2139" w:rsidRDefault="004F2139" w:rsidP="00CB1E6A">
            <w:r>
              <w:t>No.</w:t>
            </w:r>
          </w:p>
        </w:tc>
        <w:tc>
          <w:tcPr>
            <w:tcW w:w="630" w:type="dxa"/>
            <w:shd w:val="clear" w:color="auto" w:fill="E7E6E6" w:themeFill="background2"/>
          </w:tcPr>
          <w:p w:rsidR="004F2139" w:rsidRDefault="004F2139" w:rsidP="00CB1E6A">
            <w:r>
              <w:t>2</w:t>
            </w:r>
          </w:p>
        </w:tc>
        <w:tc>
          <w:tcPr>
            <w:tcW w:w="1080" w:type="dxa"/>
            <w:shd w:val="clear" w:color="auto" w:fill="E7E6E6" w:themeFill="background2"/>
          </w:tcPr>
          <w:p w:rsidR="004F2139" w:rsidRDefault="004F2139" w:rsidP="00CB1E6A">
            <w:r>
              <w:t>From</w:t>
            </w:r>
          </w:p>
        </w:tc>
        <w:tc>
          <w:tcPr>
            <w:tcW w:w="7015" w:type="dxa"/>
            <w:shd w:val="clear" w:color="auto" w:fill="E7E6E6" w:themeFill="background2"/>
          </w:tcPr>
          <w:p w:rsidR="004F2139" w:rsidRDefault="004F2139" w:rsidP="00CB1E6A">
            <w:r w:rsidRPr="004F2139">
              <w:t xml:space="preserve">Vernacular Internet Ecosystem Working Group </w:t>
            </w:r>
            <w:r>
              <w:t>(VIEW Group)</w:t>
            </w:r>
          </w:p>
        </w:tc>
      </w:tr>
      <w:tr w:rsidR="004F2139" w:rsidTr="00CB1E6A">
        <w:tc>
          <w:tcPr>
            <w:tcW w:w="1255" w:type="dxa"/>
            <w:gridSpan w:val="2"/>
            <w:shd w:val="clear" w:color="auto" w:fill="auto"/>
          </w:tcPr>
          <w:p w:rsidR="004F2139" w:rsidRDefault="004F2139" w:rsidP="00CB1E6A">
            <w:r>
              <w:t>Comment</w:t>
            </w:r>
          </w:p>
        </w:tc>
        <w:tc>
          <w:tcPr>
            <w:tcW w:w="8095" w:type="dxa"/>
            <w:gridSpan w:val="2"/>
            <w:shd w:val="clear" w:color="auto" w:fill="auto"/>
          </w:tcPr>
          <w:p w:rsidR="004F2139" w:rsidRDefault="004F2139" w:rsidP="003D6EC7">
            <w:pPr>
              <w:spacing w:after="120"/>
            </w:pPr>
            <w:r w:rsidRPr="004F2139">
              <w:t xml:space="preserve">VIEW Group has taken its members’ input from academia and industry, as well as social organizations. The overwhelming response was received in </w:t>
            </w:r>
            <w:proofErr w:type="spellStart"/>
            <w:r w:rsidRPr="004F2139">
              <w:t>favour</w:t>
            </w:r>
            <w:proofErr w:type="spellEnd"/>
            <w:r w:rsidRPr="004F2139">
              <w:t xml:space="preserve"> of the proposal.</w:t>
            </w:r>
            <w:r>
              <w:t xml:space="preserve"> </w:t>
            </w:r>
            <w:r w:rsidRPr="004F2139">
              <w:t>VIEW Group reviewed the proposal and found it well constructed, covering all the important aspects. It does not see any substantial change is required.</w:t>
            </w:r>
          </w:p>
        </w:tc>
      </w:tr>
      <w:tr w:rsidR="004F2139" w:rsidTr="00A470D7">
        <w:trPr>
          <w:trHeight w:val="683"/>
        </w:trPr>
        <w:tc>
          <w:tcPr>
            <w:tcW w:w="1255" w:type="dxa"/>
            <w:gridSpan w:val="2"/>
          </w:tcPr>
          <w:p w:rsidR="004F2139" w:rsidRDefault="004F2139" w:rsidP="00CB1E6A">
            <w:r>
              <w:t>NBGP Analysis</w:t>
            </w:r>
          </w:p>
        </w:tc>
        <w:tc>
          <w:tcPr>
            <w:tcW w:w="8095" w:type="dxa"/>
            <w:gridSpan w:val="2"/>
          </w:tcPr>
          <w:p w:rsidR="004F2139" w:rsidRDefault="006F17BA" w:rsidP="00CB1E6A">
            <w:r>
              <w:t xml:space="preserve">The NBGP acknowledges the comment. </w:t>
            </w:r>
          </w:p>
          <w:p w:rsidR="006F17BA" w:rsidRDefault="006F17BA" w:rsidP="00CB1E6A"/>
        </w:tc>
      </w:tr>
      <w:tr w:rsidR="004F2139" w:rsidTr="00A470D7">
        <w:trPr>
          <w:trHeight w:val="980"/>
        </w:trPr>
        <w:tc>
          <w:tcPr>
            <w:tcW w:w="1255" w:type="dxa"/>
            <w:gridSpan w:val="2"/>
          </w:tcPr>
          <w:p w:rsidR="004F2139" w:rsidRDefault="004F2139" w:rsidP="00CB1E6A">
            <w:r>
              <w:t>NBGP Concluded Response</w:t>
            </w:r>
          </w:p>
        </w:tc>
        <w:tc>
          <w:tcPr>
            <w:tcW w:w="8095" w:type="dxa"/>
            <w:gridSpan w:val="2"/>
          </w:tcPr>
          <w:p w:rsidR="006F17BA" w:rsidRDefault="006F17BA" w:rsidP="00CB1E6A">
            <w:r>
              <w:t xml:space="preserve">No </w:t>
            </w:r>
            <w:r w:rsidR="003D6EC7">
              <w:t>requirement to update the proposal</w:t>
            </w:r>
            <w:r>
              <w:t xml:space="preserve">. </w:t>
            </w:r>
          </w:p>
          <w:p w:rsidR="006F17BA" w:rsidRDefault="006F17BA" w:rsidP="00CB1E6A"/>
          <w:p w:rsidR="006F17BA" w:rsidRDefault="006F17BA" w:rsidP="00CB1E6A"/>
        </w:tc>
      </w:tr>
    </w:tbl>
    <w:p w:rsidR="004F2139" w:rsidRDefault="004F2139" w:rsidP="004F2139"/>
    <w:tbl>
      <w:tblPr>
        <w:tblStyle w:val="TableGrid"/>
        <w:tblW w:w="0" w:type="auto"/>
        <w:tblLook w:val="04A0" w:firstRow="1" w:lastRow="0" w:firstColumn="1" w:lastColumn="0" w:noHBand="0" w:noVBand="1"/>
      </w:tblPr>
      <w:tblGrid>
        <w:gridCol w:w="625"/>
        <w:gridCol w:w="630"/>
        <w:gridCol w:w="1080"/>
        <w:gridCol w:w="7015"/>
      </w:tblGrid>
      <w:tr w:rsidR="006F17BA" w:rsidTr="00CB1E6A">
        <w:tc>
          <w:tcPr>
            <w:tcW w:w="625" w:type="dxa"/>
            <w:shd w:val="clear" w:color="auto" w:fill="E7E6E6" w:themeFill="background2"/>
          </w:tcPr>
          <w:p w:rsidR="006F17BA" w:rsidRDefault="006F17BA" w:rsidP="00CB1E6A">
            <w:r>
              <w:t>No.</w:t>
            </w:r>
          </w:p>
        </w:tc>
        <w:tc>
          <w:tcPr>
            <w:tcW w:w="630" w:type="dxa"/>
            <w:shd w:val="clear" w:color="auto" w:fill="E7E6E6" w:themeFill="background2"/>
          </w:tcPr>
          <w:p w:rsidR="006F17BA" w:rsidRDefault="006F17BA" w:rsidP="00CB1E6A">
            <w:r>
              <w:t>3</w:t>
            </w:r>
          </w:p>
        </w:tc>
        <w:tc>
          <w:tcPr>
            <w:tcW w:w="1080" w:type="dxa"/>
            <w:shd w:val="clear" w:color="auto" w:fill="E7E6E6" w:themeFill="background2"/>
          </w:tcPr>
          <w:p w:rsidR="006F17BA" w:rsidRDefault="006F17BA" w:rsidP="00CB1E6A">
            <w:r>
              <w:t>From</w:t>
            </w:r>
          </w:p>
        </w:tc>
        <w:tc>
          <w:tcPr>
            <w:tcW w:w="7015" w:type="dxa"/>
            <w:shd w:val="clear" w:color="auto" w:fill="E7E6E6" w:themeFill="background2"/>
          </w:tcPr>
          <w:p w:rsidR="006F17BA" w:rsidRDefault="006F17BA" w:rsidP="00CB1E6A">
            <w:proofErr w:type="spellStart"/>
            <w:r w:rsidRPr="006F17BA">
              <w:t>Reamogetse</w:t>
            </w:r>
            <w:proofErr w:type="spellEnd"/>
            <w:r w:rsidRPr="006F17BA">
              <w:t xml:space="preserve"> </w:t>
            </w:r>
            <w:proofErr w:type="spellStart"/>
            <w:r w:rsidRPr="006F17BA">
              <w:t>Mojafi</w:t>
            </w:r>
            <w:proofErr w:type="spellEnd"/>
            <w:r w:rsidRPr="006F17BA">
              <w:t xml:space="preserve"> </w:t>
            </w:r>
            <w:r>
              <w:t>(RM)</w:t>
            </w:r>
          </w:p>
        </w:tc>
      </w:tr>
      <w:tr w:rsidR="006F17BA" w:rsidTr="00CB1E6A">
        <w:tc>
          <w:tcPr>
            <w:tcW w:w="1255" w:type="dxa"/>
            <w:gridSpan w:val="2"/>
            <w:shd w:val="clear" w:color="auto" w:fill="auto"/>
          </w:tcPr>
          <w:p w:rsidR="006F17BA" w:rsidRDefault="006F17BA" w:rsidP="00CB1E6A">
            <w:r>
              <w:t>Comment</w:t>
            </w:r>
          </w:p>
        </w:tc>
        <w:tc>
          <w:tcPr>
            <w:tcW w:w="8095" w:type="dxa"/>
            <w:gridSpan w:val="2"/>
            <w:shd w:val="clear" w:color="auto" w:fill="auto"/>
          </w:tcPr>
          <w:p w:rsidR="006F17BA" w:rsidRDefault="006F17BA" w:rsidP="006F17BA">
            <w:pPr>
              <w:spacing w:after="120"/>
            </w:pPr>
            <w:r w:rsidRPr="006F17BA">
              <w:t xml:space="preserve">RM requests for more information. </w:t>
            </w:r>
          </w:p>
        </w:tc>
      </w:tr>
      <w:tr w:rsidR="006F17BA" w:rsidTr="00A470D7">
        <w:trPr>
          <w:trHeight w:val="683"/>
        </w:trPr>
        <w:tc>
          <w:tcPr>
            <w:tcW w:w="1255" w:type="dxa"/>
            <w:gridSpan w:val="2"/>
          </w:tcPr>
          <w:p w:rsidR="006F17BA" w:rsidRDefault="006F17BA" w:rsidP="00CB1E6A">
            <w:r>
              <w:t>NBGP Analysis</w:t>
            </w:r>
          </w:p>
        </w:tc>
        <w:tc>
          <w:tcPr>
            <w:tcW w:w="8095" w:type="dxa"/>
            <w:gridSpan w:val="2"/>
          </w:tcPr>
          <w:p w:rsidR="006F17BA" w:rsidRDefault="006F17BA" w:rsidP="00CB1E6A">
            <w:r>
              <w:t xml:space="preserve">The NBGP acknowledges the comment. </w:t>
            </w:r>
            <w:r w:rsidR="00A470D7">
              <w:t xml:space="preserve">Information regarding RZ-LGR and Internationalized domain names was shared to RM. </w:t>
            </w:r>
          </w:p>
        </w:tc>
      </w:tr>
      <w:tr w:rsidR="006F17BA" w:rsidTr="00A470D7">
        <w:trPr>
          <w:trHeight w:val="971"/>
        </w:trPr>
        <w:tc>
          <w:tcPr>
            <w:tcW w:w="1255" w:type="dxa"/>
            <w:gridSpan w:val="2"/>
          </w:tcPr>
          <w:p w:rsidR="006F17BA" w:rsidRDefault="006F17BA" w:rsidP="00CB1E6A">
            <w:r>
              <w:lastRenderedPageBreak/>
              <w:t>NBGP Concluded Response</w:t>
            </w:r>
          </w:p>
        </w:tc>
        <w:tc>
          <w:tcPr>
            <w:tcW w:w="8095" w:type="dxa"/>
            <w:gridSpan w:val="2"/>
          </w:tcPr>
          <w:p w:rsidR="003D6EC7" w:rsidRDefault="003D6EC7" w:rsidP="003D6EC7">
            <w:r>
              <w:t xml:space="preserve">No requirement to update the proposal. </w:t>
            </w:r>
          </w:p>
          <w:p w:rsidR="006F17BA" w:rsidRDefault="006F17BA" w:rsidP="00CB1E6A"/>
          <w:p w:rsidR="006F17BA" w:rsidRDefault="006F17BA" w:rsidP="00CB1E6A"/>
        </w:tc>
      </w:tr>
    </w:tbl>
    <w:p w:rsidR="006F17BA" w:rsidRDefault="006F17BA" w:rsidP="004F2139"/>
    <w:tbl>
      <w:tblPr>
        <w:tblStyle w:val="TableGrid"/>
        <w:tblW w:w="0" w:type="auto"/>
        <w:tblLook w:val="04A0" w:firstRow="1" w:lastRow="0" w:firstColumn="1" w:lastColumn="0" w:noHBand="0" w:noVBand="1"/>
      </w:tblPr>
      <w:tblGrid>
        <w:gridCol w:w="625"/>
        <w:gridCol w:w="630"/>
        <w:gridCol w:w="1080"/>
        <w:gridCol w:w="7015"/>
      </w:tblGrid>
      <w:tr w:rsidR="006F17BA" w:rsidTr="00CB1E6A">
        <w:tc>
          <w:tcPr>
            <w:tcW w:w="625" w:type="dxa"/>
            <w:shd w:val="clear" w:color="auto" w:fill="E7E6E6" w:themeFill="background2"/>
          </w:tcPr>
          <w:p w:rsidR="006F17BA" w:rsidRDefault="006F17BA" w:rsidP="00CB1E6A">
            <w:r>
              <w:t>No.</w:t>
            </w:r>
          </w:p>
        </w:tc>
        <w:tc>
          <w:tcPr>
            <w:tcW w:w="630" w:type="dxa"/>
            <w:shd w:val="clear" w:color="auto" w:fill="E7E6E6" w:themeFill="background2"/>
          </w:tcPr>
          <w:p w:rsidR="006F17BA" w:rsidRDefault="006F17BA" w:rsidP="00CB1E6A">
            <w:r>
              <w:t>4</w:t>
            </w:r>
          </w:p>
        </w:tc>
        <w:tc>
          <w:tcPr>
            <w:tcW w:w="1080" w:type="dxa"/>
            <w:shd w:val="clear" w:color="auto" w:fill="E7E6E6" w:themeFill="background2"/>
          </w:tcPr>
          <w:p w:rsidR="006F17BA" w:rsidRDefault="006F17BA" w:rsidP="00CB1E6A">
            <w:r>
              <w:t>From</w:t>
            </w:r>
          </w:p>
        </w:tc>
        <w:tc>
          <w:tcPr>
            <w:tcW w:w="7015" w:type="dxa"/>
            <w:shd w:val="clear" w:color="auto" w:fill="E7E6E6" w:themeFill="background2"/>
          </w:tcPr>
          <w:p w:rsidR="006F17BA" w:rsidRDefault="006F17BA" w:rsidP="00CB1E6A">
            <w:proofErr w:type="spellStart"/>
            <w:r w:rsidRPr="006F17BA">
              <w:t>Azharul</w:t>
            </w:r>
            <w:proofErr w:type="spellEnd"/>
            <w:r w:rsidRPr="006F17BA">
              <w:t xml:space="preserve"> Huq Chowdhury</w:t>
            </w:r>
            <w:r w:rsidR="00A470D7">
              <w:t xml:space="preserve"> (AHC)</w:t>
            </w:r>
          </w:p>
        </w:tc>
      </w:tr>
      <w:tr w:rsidR="006F17BA" w:rsidTr="00CB1E6A">
        <w:tc>
          <w:tcPr>
            <w:tcW w:w="1255" w:type="dxa"/>
            <w:gridSpan w:val="2"/>
            <w:shd w:val="clear" w:color="auto" w:fill="auto"/>
          </w:tcPr>
          <w:p w:rsidR="006F17BA" w:rsidRDefault="006F17BA" w:rsidP="00CB1E6A">
            <w:r>
              <w:t>Comment</w:t>
            </w:r>
          </w:p>
        </w:tc>
        <w:tc>
          <w:tcPr>
            <w:tcW w:w="8095" w:type="dxa"/>
            <w:gridSpan w:val="2"/>
            <w:shd w:val="clear" w:color="auto" w:fill="auto"/>
          </w:tcPr>
          <w:p w:rsidR="006F17BA" w:rsidRDefault="006F17BA" w:rsidP="00A470D7">
            <w:pPr>
              <w:spacing w:after="120"/>
            </w:pPr>
            <w:r w:rsidRPr="006F17BA">
              <w:t>AHC</w:t>
            </w:r>
            <w:r w:rsidRPr="006F17BA">
              <w:rPr>
                <w:b/>
                <w:bCs/>
              </w:rPr>
              <w:t xml:space="preserve"> </w:t>
            </w:r>
            <w:r w:rsidRPr="006F17BA">
              <w:t xml:space="preserve">says it is great news for Bangla speaking people. AHC posts questions regarding the Unicode version, the authority of Bangla TLD zone files, and how to create or apply for a Bangla TLD. </w:t>
            </w:r>
          </w:p>
        </w:tc>
      </w:tr>
      <w:tr w:rsidR="006F17BA" w:rsidTr="00A470D7">
        <w:trPr>
          <w:trHeight w:val="701"/>
        </w:trPr>
        <w:tc>
          <w:tcPr>
            <w:tcW w:w="1255" w:type="dxa"/>
            <w:gridSpan w:val="2"/>
          </w:tcPr>
          <w:p w:rsidR="006F17BA" w:rsidRDefault="006F17BA" w:rsidP="00CB1E6A">
            <w:r>
              <w:t>NBGP Analysis</w:t>
            </w:r>
          </w:p>
        </w:tc>
        <w:tc>
          <w:tcPr>
            <w:tcW w:w="8095" w:type="dxa"/>
            <w:gridSpan w:val="2"/>
          </w:tcPr>
          <w:p w:rsidR="006F17BA" w:rsidRDefault="006F17BA" w:rsidP="00CB1E6A">
            <w:r>
              <w:t>The NBGP acknowledges the comment</w:t>
            </w:r>
            <w:r w:rsidRPr="00223FBB">
              <w:t xml:space="preserve">. </w:t>
            </w:r>
            <w:r w:rsidR="00A470D7" w:rsidRPr="00223FBB">
              <w:t>The information regarding the new gTLD was shared to AHC.</w:t>
            </w:r>
          </w:p>
        </w:tc>
      </w:tr>
      <w:tr w:rsidR="006F17BA" w:rsidTr="00A470D7">
        <w:trPr>
          <w:trHeight w:val="989"/>
        </w:trPr>
        <w:tc>
          <w:tcPr>
            <w:tcW w:w="1255" w:type="dxa"/>
            <w:gridSpan w:val="2"/>
          </w:tcPr>
          <w:p w:rsidR="006F17BA" w:rsidRDefault="006F17BA" w:rsidP="00CB1E6A">
            <w:r>
              <w:t>NBGP Concluded Response</w:t>
            </w:r>
          </w:p>
        </w:tc>
        <w:tc>
          <w:tcPr>
            <w:tcW w:w="8095" w:type="dxa"/>
            <w:gridSpan w:val="2"/>
          </w:tcPr>
          <w:p w:rsidR="003D6EC7" w:rsidRDefault="003D6EC7" w:rsidP="003D6EC7">
            <w:r>
              <w:t xml:space="preserve">No requirement to update the proposal. </w:t>
            </w:r>
          </w:p>
          <w:p w:rsidR="006F17BA" w:rsidRDefault="006F17BA" w:rsidP="00CB1E6A"/>
        </w:tc>
      </w:tr>
    </w:tbl>
    <w:p w:rsidR="006F17BA" w:rsidRDefault="006F17BA" w:rsidP="004F2139"/>
    <w:tbl>
      <w:tblPr>
        <w:tblStyle w:val="TableGrid"/>
        <w:tblW w:w="0" w:type="auto"/>
        <w:tblLook w:val="04A0" w:firstRow="1" w:lastRow="0" w:firstColumn="1" w:lastColumn="0" w:noHBand="0" w:noVBand="1"/>
      </w:tblPr>
      <w:tblGrid>
        <w:gridCol w:w="625"/>
        <w:gridCol w:w="630"/>
        <w:gridCol w:w="1080"/>
        <w:gridCol w:w="7015"/>
      </w:tblGrid>
      <w:tr w:rsidR="00EA67C3" w:rsidTr="0097338E">
        <w:tc>
          <w:tcPr>
            <w:tcW w:w="625" w:type="dxa"/>
            <w:shd w:val="clear" w:color="auto" w:fill="E7E6E6" w:themeFill="background2"/>
          </w:tcPr>
          <w:p w:rsidR="00EA67C3" w:rsidRDefault="00EA67C3" w:rsidP="0097338E">
            <w:r>
              <w:t>No.</w:t>
            </w:r>
          </w:p>
        </w:tc>
        <w:tc>
          <w:tcPr>
            <w:tcW w:w="630" w:type="dxa"/>
            <w:shd w:val="clear" w:color="auto" w:fill="E7E6E6" w:themeFill="background2"/>
          </w:tcPr>
          <w:p w:rsidR="00EA67C3" w:rsidRDefault="00EA67C3" w:rsidP="0097338E">
            <w:r>
              <w:t>5</w:t>
            </w:r>
          </w:p>
        </w:tc>
        <w:tc>
          <w:tcPr>
            <w:tcW w:w="1080" w:type="dxa"/>
            <w:shd w:val="clear" w:color="auto" w:fill="E7E6E6" w:themeFill="background2"/>
          </w:tcPr>
          <w:p w:rsidR="00EA67C3" w:rsidRDefault="00EA67C3" w:rsidP="0097338E">
            <w:r>
              <w:t>From</w:t>
            </w:r>
          </w:p>
        </w:tc>
        <w:tc>
          <w:tcPr>
            <w:tcW w:w="7015" w:type="dxa"/>
            <w:shd w:val="clear" w:color="auto" w:fill="E7E6E6" w:themeFill="background2"/>
          </w:tcPr>
          <w:p w:rsidR="00EA67C3" w:rsidRDefault="00EA67C3" w:rsidP="0097338E">
            <w:r w:rsidRPr="006F17BA">
              <w:t>Rasel Hasan</w:t>
            </w:r>
            <w:r>
              <w:t xml:space="preserve"> (RH)</w:t>
            </w:r>
          </w:p>
        </w:tc>
      </w:tr>
      <w:tr w:rsidR="00EA67C3" w:rsidTr="0097338E">
        <w:tc>
          <w:tcPr>
            <w:tcW w:w="1255" w:type="dxa"/>
            <w:gridSpan w:val="2"/>
            <w:shd w:val="clear" w:color="auto" w:fill="auto"/>
          </w:tcPr>
          <w:p w:rsidR="00EA67C3" w:rsidRDefault="00EA67C3" w:rsidP="0097338E">
            <w:r>
              <w:t>Comment</w:t>
            </w:r>
          </w:p>
        </w:tc>
        <w:tc>
          <w:tcPr>
            <w:tcW w:w="8095" w:type="dxa"/>
            <w:gridSpan w:val="2"/>
            <w:shd w:val="clear" w:color="auto" w:fill="auto"/>
          </w:tcPr>
          <w:p w:rsidR="00EA67C3" w:rsidRDefault="00EA67C3" w:rsidP="0097338E">
            <w:pPr>
              <w:spacing w:after="120"/>
            </w:pPr>
            <w:r w:rsidRPr="00EA67C3">
              <w:t>RH</w:t>
            </w:r>
            <w:r w:rsidRPr="00EA67C3">
              <w:rPr>
                <w:b/>
                <w:bCs/>
              </w:rPr>
              <w:t xml:space="preserve"> </w:t>
            </w:r>
            <w:r w:rsidRPr="00EA67C3">
              <w:t>notes that</w:t>
            </w:r>
            <w:r w:rsidRPr="00EA67C3">
              <w:rPr>
                <w:b/>
                <w:bCs/>
              </w:rPr>
              <w:t xml:space="preserve"> </w:t>
            </w:r>
            <w:r w:rsidRPr="00EA67C3">
              <w:t xml:space="preserve">Bangla domains are needed. </w:t>
            </w:r>
          </w:p>
        </w:tc>
      </w:tr>
      <w:tr w:rsidR="00EA67C3" w:rsidTr="0097338E">
        <w:trPr>
          <w:trHeight w:val="701"/>
        </w:trPr>
        <w:tc>
          <w:tcPr>
            <w:tcW w:w="1255" w:type="dxa"/>
            <w:gridSpan w:val="2"/>
          </w:tcPr>
          <w:p w:rsidR="00EA67C3" w:rsidRDefault="00EA67C3" w:rsidP="0097338E">
            <w:r>
              <w:t>NBGP Analysis</w:t>
            </w:r>
          </w:p>
        </w:tc>
        <w:tc>
          <w:tcPr>
            <w:tcW w:w="8095" w:type="dxa"/>
            <w:gridSpan w:val="2"/>
          </w:tcPr>
          <w:p w:rsidR="00EA67C3" w:rsidRDefault="00EA67C3" w:rsidP="0097338E">
            <w:r>
              <w:t>The NBGP acknowledges the comment</w:t>
            </w:r>
            <w:r w:rsidRPr="00223FBB">
              <w:t xml:space="preserve">. </w:t>
            </w:r>
            <w:r>
              <w:t xml:space="preserve"> </w:t>
            </w:r>
          </w:p>
        </w:tc>
      </w:tr>
      <w:tr w:rsidR="00EA67C3" w:rsidTr="0097338E">
        <w:trPr>
          <w:trHeight w:val="989"/>
        </w:trPr>
        <w:tc>
          <w:tcPr>
            <w:tcW w:w="1255" w:type="dxa"/>
            <w:gridSpan w:val="2"/>
          </w:tcPr>
          <w:p w:rsidR="00EA67C3" w:rsidRDefault="00EA67C3" w:rsidP="0097338E">
            <w:r>
              <w:t>NBGP Concluded Response</w:t>
            </w:r>
          </w:p>
        </w:tc>
        <w:tc>
          <w:tcPr>
            <w:tcW w:w="8095" w:type="dxa"/>
            <w:gridSpan w:val="2"/>
          </w:tcPr>
          <w:p w:rsidR="00EA67C3" w:rsidRDefault="00EA67C3" w:rsidP="0097338E">
            <w:r>
              <w:t xml:space="preserve">No requirement to update the proposal. </w:t>
            </w:r>
          </w:p>
          <w:p w:rsidR="00EA67C3" w:rsidRDefault="00EA67C3" w:rsidP="0097338E"/>
        </w:tc>
      </w:tr>
    </w:tbl>
    <w:p w:rsidR="00EA67C3" w:rsidRDefault="00EA67C3" w:rsidP="004F2139"/>
    <w:tbl>
      <w:tblPr>
        <w:tblStyle w:val="TableGrid"/>
        <w:tblW w:w="0" w:type="auto"/>
        <w:tblLook w:val="04A0" w:firstRow="1" w:lastRow="0" w:firstColumn="1" w:lastColumn="0" w:noHBand="0" w:noVBand="1"/>
      </w:tblPr>
      <w:tblGrid>
        <w:gridCol w:w="625"/>
        <w:gridCol w:w="630"/>
        <w:gridCol w:w="1080"/>
        <w:gridCol w:w="7015"/>
      </w:tblGrid>
      <w:tr w:rsidR="006F17BA" w:rsidTr="00CB1E6A">
        <w:tc>
          <w:tcPr>
            <w:tcW w:w="625" w:type="dxa"/>
            <w:shd w:val="clear" w:color="auto" w:fill="E7E6E6" w:themeFill="background2"/>
          </w:tcPr>
          <w:p w:rsidR="006F17BA" w:rsidRDefault="006F17BA" w:rsidP="00CB1E6A">
            <w:r>
              <w:t>No.</w:t>
            </w:r>
          </w:p>
        </w:tc>
        <w:tc>
          <w:tcPr>
            <w:tcW w:w="630" w:type="dxa"/>
            <w:shd w:val="clear" w:color="auto" w:fill="E7E6E6" w:themeFill="background2"/>
          </w:tcPr>
          <w:p w:rsidR="006F17BA" w:rsidRDefault="00EA67C3" w:rsidP="00CB1E6A">
            <w:r>
              <w:t>6</w:t>
            </w:r>
          </w:p>
        </w:tc>
        <w:tc>
          <w:tcPr>
            <w:tcW w:w="1080" w:type="dxa"/>
            <w:shd w:val="clear" w:color="auto" w:fill="E7E6E6" w:themeFill="background2"/>
          </w:tcPr>
          <w:p w:rsidR="006F17BA" w:rsidRDefault="006F17BA" w:rsidP="00CB1E6A">
            <w:r>
              <w:t>From</w:t>
            </w:r>
          </w:p>
        </w:tc>
        <w:tc>
          <w:tcPr>
            <w:tcW w:w="7015" w:type="dxa"/>
            <w:shd w:val="clear" w:color="auto" w:fill="E7E6E6" w:themeFill="background2"/>
          </w:tcPr>
          <w:p w:rsidR="006F17BA" w:rsidRDefault="00EA67C3" w:rsidP="00CB1E6A">
            <w:proofErr w:type="spellStart"/>
            <w:r w:rsidRPr="006F17BA">
              <w:t>Marufa</w:t>
            </w:r>
            <w:proofErr w:type="spellEnd"/>
            <w:r w:rsidRPr="006F17BA">
              <w:t xml:space="preserve"> Akhter</w:t>
            </w:r>
            <w:r>
              <w:t xml:space="preserve"> (MA)</w:t>
            </w:r>
          </w:p>
        </w:tc>
      </w:tr>
      <w:tr w:rsidR="006F17BA" w:rsidTr="00A470D7">
        <w:trPr>
          <w:trHeight w:val="638"/>
        </w:trPr>
        <w:tc>
          <w:tcPr>
            <w:tcW w:w="1255" w:type="dxa"/>
            <w:gridSpan w:val="2"/>
            <w:shd w:val="clear" w:color="auto" w:fill="auto"/>
          </w:tcPr>
          <w:p w:rsidR="006F17BA" w:rsidRDefault="006F17BA" w:rsidP="00CB1E6A">
            <w:r>
              <w:t>Comment</w:t>
            </w:r>
          </w:p>
        </w:tc>
        <w:tc>
          <w:tcPr>
            <w:tcW w:w="8095" w:type="dxa"/>
            <w:gridSpan w:val="2"/>
            <w:shd w:val="clear" w:color="auto" w:fill="auto"/>
          </w:tcPr>
          <w:p w:rsidR="006F17BA" w:rsidRDefault="006F17BA" w:rsidP="00A470D7">
            <w:pPr>
              <w:spacing w:after="120"/>
            </w:pPr>
            <w:r w:rsidRPr="006F17BA">
              <w:t>MA</w:t>
            </w:r>
            <w:r w:rsidRPr="006F17BA">
              <w:rPr>
                <w:b/>
                <w:bCs/>
              </w:rPr>
              <w:t xml:space="preserve"> </w:t>
            </w:r>
            <w:r w:rsidRPr="006F17BA">
              <w:t xml:space="preserve">notes that the characters </w:t>
            </w:r>
            <w:r w:rsidRPr="006F17BA">
              <w:rPr>
                <w:rFonts w:ascii="Shonar Bangla" w:hAnsi="Shonar Bangla" w:cs="Shonar Bangla" w:hint="cs"/>
                <w:cs/>
                <w:lang w:bidi="bn-IN"/>
              </w:rPr>
              <w:t>ড়</w:t>
            </w:r>
            <w:r w:rsidRPr="006F17BA">
              <w:t xml:space="preserve">, </w:t>
            </w:r>
            <w:r w:rsidRPr="006F17BA">
              <w:rPr>
                <w:rFonts w:ascii="Shonar Bangla" w:hAnsi="Shonar Bangla" w:cs="Shonar Bangla" w:hint="cs"/>
                <w:cs/>
                <w:lang w:bidi="bn-IN"/>
              </w:rPr>
              <w:t>ঢ়</w:t>
            </w:r>
            <w:r w:rsidRPr="006F17BA">
              <w:rPr>
                <w:cs/>
                <w:lang w:bidi="bn-IN"/>
              </w:rPr>
              <w:t xml:space="preserve"> </w:t>
            </w:r>
            <w:r w:rsidRPr="006F17BA">
              <w:t xml:space="preserve">and </w:t>
            </w:r>
            <w:r w:rsidRPr="006F17BA">
              <w:rPr>
                <w:rFonts w:ascii="Shonar Bangla" w:hAnsi="Shonar Bangla" w:cs="Shonar Bangla" w:hint="cs"/>
                <w:cs/>
                <w:lang w:bidi="bn-IN"/>
              </w:rPr>
              <w:t>য়</w:t>
            </w:r>
            <w:r w:rsidRPr="006F17BA">
              <w:rPr>
                <w:cs/>
                <w:lang w:bidi="bn-IN"/>
              </w:rPr>
              <w:t xml:space="preserve"> </w:t>
            </w:r>
            <w:r w:rsidRPr="006F17BA">
              <w:t>should be depicted the same way as '</w:t>
            </w:r>
            <w:r w:rsidRPr="006F17BA">
              <w:rPr>
                <w:rFonts w:ascii="Shonar Bangla" w:hAnsi="Shonar Bangla" w:cs="Shonar Bangla" w:hint="cs"/>
                <w:cs/>
                <w:lang w:bidi="bn-IN"/>
              </w:rPr>
              <w:t>র</w:t>
            </w:r>
            <w:r w:rsidRPr="006F17BA">
              <w:t>'. He is happy to note that the terms ‘Bangla’ and ‘Taka’ are being used.</w:t>
            </w:r>
          </w:p>
        </w:tc>
      </w:tr>
      <w:tr w:rsidR="006F17BA" w:rsidTr="003D6EC7">
        <w:trPr>
          <w:trHeight w:val="5390"/>
        </w:trPr>
        <w:tc>
          <w:tcPr>
            <w:tcW w:w="1255" w:type="dxa"/>
            <w:gridSpan w:val="2"/>
          </w:tcPr>
          <w:p w:rsidR="006F17BA" w:rsidRDefault="006F17BA" w:rsidP="00CB1E6A">
            <w:r>
              <w:lastRenderedPageBreak/>
              <w:t>NBGP Analysis</w:t>
            </w:r>
          </w:p>
        </w:tc>
        <w:tc>
          <w:tcPr>
            <w:tcW w:w="8095" w:type="dxa"/>
            <w:gridSpan w:val="2"/>
          </w:tcPr>
          <w:p w:rsidR="003D6EC7" w:rsidRPr="003D6EC7" w:rsidRDefault="003D6EC7" w:rsidP="003D6EC7">
            <w:r w:rsidRPr="003D6EC7">
              <w:t xml:space="preserve">The IDNA Protocol (RFC 5891) states that IDNs must be in Unicode Normalization Form C (NFC). RFC 7940 applies this requirement to LGRs. The definition of NFC in the Unicode Standard contains a number of composition exclusions. As a result, the Bangla letters </w:t>
            </w:r>
            <w:r w:rsidRPr="003D6EC7">
              <w:rPr>
                <w:rFonts w:ascii="Shonar Bangla" w:hAnsi="Shonar Bangla" w:cs="Shonar Bangla" w:hint="cs"/>
                <w:cs/>
                <w:lang w:bidi="bn-IN"/>
              </w:rPr>
              <w:t>য়</w:t>
            </w:r>
            <w:r w:rsidRPr="003D6EC7">
              <w:rPr>
                <w:cs/>
                <w:lang w:bidi="bn-IN"/>
              </w:rPr>
              <w:t xml:space="preserve"> </w:t>
            </w:r>
            <w:r w:rsidRPr="003D6EC7">
              <w:t xml:space="preserve">YYA, </w:t>
            </w:r>
            <w:r w:rsidRPr="003D6EC7">
              <w:rPr>
                <w:rFonts w:ascii="Shonar Bangla" w:hAnsi="Shonar Bangla" w:cs="Shonar Bangla" w:hint="cs"/>
                <w:cs/>
                <w:lang w:bidi="bn-IN"/>
              </w:rPr>
              <w:t>ড়</w:t>
            </w:r>
            <w:r w:rsidRPr="003D6EC7">
              <w:rPr>
                <w:cs/>
                <w:lang w:bidi="bn-IN"/>
              </w:rPr>
              <w:t xml:space="preserve"> </w:t>
            </w:r>
            <w:r w:rsidRPr="003D6EC7">
              <w:t xml:space="preserve">RRA and </w:t>
            </w:r>
            <w:r w:rsidRPr="003D6EC7">
              <w:rPr>
                <w:rFonts w:ascii="Shonar Bangla" w:hAnsi="Shonar Bangla" w:cs="Shonar Bangla" w:hint="cs"/>
                <w:cs/>
                <w:lang w:bidi="bn-IN"/>
              </w:rPr>
              <w:t>ঢ়</w:t>
            </w:r>
            <w:r w:rsidRPr="003D6EC7">
              <w:rPr>
                <w:cs/>
                <w:lang w:bidi="bn-IN"/>
              </w:rPr>
              <w:t xml:space="preserve"> </w:t>
            </w:r>
            <w:r w:rsidRPr="003D6EC7">
              <w:t>RRHA have to be represented in the this LGR by using the sequences (YA +</w:t>
            </w:r>
            <w:proofErr w:type="spellStart"/>
            <w:r w:rsidRPr="003D6EC7">
              <w:t>Nukta</w:t>
            </w:r>
            <w:proofErr w:type="spellEnd"/>
            <w:r w:rsidRPr="003D6EC7">
              <w:t xml:space="preserve">: U+9AF + U+09BC), (DDA + </w:t>
            </w:r>
            <w:proofErr w:type="spellStart"/>
            <w:r w:rsidRPr="003D6EC7">
              <w:t>Nukta</w:t>
            </w:r>
            <w:proofErr w:type="spellEnd"/>
            <w:r w:rsidRPr="003D6EC7">
              <w:t xml:space="preserve">: U+9A1 + U+09BC), and  (DDHA + </w:t>
            </w:r>
            <w:proofErr w:type="spellStart"/>
            <w:r w:rsidRPr="003D6EC7">
              <w:t>Nukta</w:t>
            </w:r>
            <w:proofErr w:type="spellEnd"/>
            <w:r w:rsidRPr="003D6EC7">
              <w:t>: U+9A2 + U+09BC) instead of the single code points YYA (U+9DF), RRA (U+09DC), and RRHA (U+09DD), although the  use of ‘</w:t>
            </w:r>
            <w:proofErr w:type="spellStart"/>
            <w:r w:rsidRPr="003D6EC7">
              <w:t>Nukta</w:t>
            </w:r>
            <w:proofErr w:type="spellEnd"/>
            <w:r w:rsidRPr="003D6EC7">
              <w:t>’ is otherwise completely unnatural in Bangla.</w:t>
            </w:r>
          </w:p>
          <w:p w:rsidR="003D6EC7" w:rsidRPr="003D6EC7" w:rsidRDefault="003D6EC7" w:rsidP="003D6EC7"/>
          <w:p w:rsidR="006F17BA" w:rsidRDefault="003D6EC7" w:rsidP="00CB1E6A">
            <w:r w:rsidRPr="003D6EC7">
              <w:t xml:space="preserve">It is noted that in the current Unicode Standard chart, these characters are listed as additional consonants. As per the LGR Procedure, however, these decisions depend on the IDNA Protocol through a set of procedures developed by the IETF. Even though the Unicode Standard also prescribes methods to produce these three characters both as atomic characters (for example, 09DC for </w:t>
            </w:r>
            <w:r w:rsidRPr="003D6EC7">
              <w:rPr>
                <w:rFonts w:ascii="Shonar Bangla" w:hAnsi="Shonar Bangla" w:cs="Shonar Bangla" w:hint="cs"/>
                <w:cs/>
                <w:lang w:bidi="bn-IN"/>
              </w:rPr>
              <w:t>ড়</w:t>
            </w:r>
            <w:r w:rsidRPr="003D6EC7">
              <w:t xml:space="preserve"> [</w:t>
            </w:r>
            <w:r w:rsidRPr="003D6EC7">
              <w:rPr>
                <w:lang w:val="is-IS"/>
              </w:rPr>
              <w:t>ṛ</w:t>
            </w:r>
            <w:r w:rsidRPr="003D6EC7">
              <w:t xml:space="preserve">], 09DD for </w:t>
            </w:r>
            <w:r w:rsidRPr="003D6EC7">
              <w:rPr>
                <w:rFonts w:ascii="Shonar Bangla" w:hAnsi="Shonar Bangla" w:cs="Shonar Bangla" w:hint="cs"/>
                <w:cs/>
                <w:lang w:bidi="bn-IN"/>
              </w:rPr>
              <w:t>ঢ়</w:t>
            </w:r>
            <w:r w:rsidRPr="003D6EC7">
              <w:rPr>
                <w:cs/>
                <w:lang w:bidi="bn-IN"/>
              </w:rPr>
              <w:t xml:space="preserve"> </w:t>
            </w:r>
            <w:r w:rsidRPr="003D6EC7">
              <w:rPr>
                <w:lang w:val="is-IS"/>
              </w:rPr>
              <w:t>[ṛh]</w:t>
            </w:r>
            <w:r w:rsidRPr="003D6EC7">
              <w:t xml:space="preserve">, and 09DF as </w:t>
            </w:r>
            <w:r w:rsidRPr="003D6EC7">
              <w:rPr>
                <w:rFonts w:ascii="Shonar Bangla" w:hAnsi="Shonar Bangla" w:cs="Shonar Bangla" w:hint="cs"/>
                <w:cs/>
                <w:lang w:bidi="bn-IN"/>
              </w:rPr>
              <w:t>য়</w:t>
            </w:r>
            <w:r w:rsidRPr="003D6EC7">
              <w:t xml:space="preserve"> </w:t>
            </w:r>
            <w:r w:rsidRPr="003D6EC7">
              <w:rPr>
                <w:lang w:val="is-IS"/>
              </w:rPr>
              <w:t xml:space="preserve">[y] </w:t>
            </w:r>
            <w:r w:rsidRPr="003D6EC7">
              <w:t>as single key stroke), the IDNA protocol requires that we treat them as conjunct characters and then allocate codes for these in the Unicode Bengali Block.</w:t>
            </w:r>
          </w:p>
          <w:p w:rsidR="00140526" w:rsidRDefault="00140526" w:rsidP="00CB1E6A"/>
          <w:p w:rsidR="00140526" w:rsidRDefault="00140526" w:rsidP="00CB1E6A">
            <w:r>
              <w:t xml:space="preserve">As it look on the screen, all the three characters would look like the atomic </w:t>
            </w:r>
            <w:r w:rsidRPr="006F17BA">
              <w:rPr>
                <w:rFonts w:ascii="Shonar Bangla" w:hAnsi="Shonar Bangla" w:cs="Shonar Bangla" w:hint="cs"/>
                <w:cs/>
                <w:lang w:bidi="bn-IN"/>
              </w:rPr>
              <w:t>র</w:t>
            </w:r>
            <w:r>
              <w:rPr>
                <w:rFonts w:ascii="Shonar Bangla" w:hAnsi="Shonar Bangla" w:cs="Shonar Bangla"/>
                <w:lang w:bidi="bn-IN"/>
              </w:rPr>
              <w:t xml:space="preserve"> </w:t>
            </w:r>
            <w:r w:rsidRPr="00140526">
              <w:t>to the users.</w:t>
            </w:r>
            <w:r>
              <w:t xml:space="preserve"> </w:t>
            </w:r>
          </w:p>
          <w:p w:rsidR="003D6EC7" w:rsidRDefault="003D6EC7" w:rsidP="00CB1E6A"/>
        </w:tc>
      </w:tr>
      <w:tr w:rsidR="006F17BA" w:rsidTr="003D6EC7">
        <w:trPr>
          <w:trHeight w:val="971"/>
        </w:trPr>
        <w:tc>
          <w:tcPr>
            <w:tcW w:w="1255" w:type="dxa"/>
            <w:gridSpan w:val="2"/>
          </w:tcPr>
          <w:p w:rsidR="006F17BA" w:rsidRDefault="006F17BA" w:rsidP="00CB1E6A">
            <w:r>
              <w:t>NBGP Concluded Response</w:t>
            </w:r>
          </w:p>
        </w:tc>
        <w:tc>
          <w:tcPr>
            <w:tcW w:w="8095" w:type="dxa"/>
            <w:gridSpan w:val="2"/>
          </w:tcPr>
          <w:p w:rsidR="003D6EC7" w:rsidRDefault="003D6EC7" w:rsidP="003D6EC7">
            <w:r>
              <w:t xml:space="preserve">No requirement to update the proposal. </w:t>
            </w:r>
          </w:p>
          <w:p w:rsidR="006F17BA" w:rsidRDefault="006F17BA" w:rsidP="00CB1E6A"/>
          <w:p w:rsidR="006F17BA" w:rsidRDefault="006F17BA" w:rsidP="00CB1E6A"/>
        </w:tc>
      </w:tr>
    </w:tbl>
    <w:p w:rsidR="006F17BA" w:rsidRDefault="006F17BA" w:rsidP="004F2139"/>
    <w:tbl>
      <w:tblPr>
        <w:tblStyle w:val="TableGrid"/>
        <w:tblW w:w="0" w:type="auto"/>
        <w:tblLook w:val="04A0" w:firstRow="1" w:lastRow="0" w:firstColumn="1" w:lastColumn="0" w:noHBand="0" w:noVBand="1"/>
      </w:tblPr>
      <w:tblGrid>
        <w:gridCol w:w="625"/>
        <w:gridCol w:w="630"/>
        <w:gridCol w:w="1080"/>
        <w:gridCol w:w="7015"/>
      </w:tblGrid>
      <w:tr w:rsidR="006F17BA" w:rsidTr="00CB1E6A">
        <w:tc>
          <w:tcPr>
            <w:tcW w:w="625" w:type="dxa"/>
            <w:shd w:val="clear" w:color="auto" w:fill="E7E6E6" w:themeFill="background2"/>
          </w:tcPr>
          <w:p w:rsidR="006F17BA" w:rsidRDefault="006F17BA" w:rsidP="00CB1E6A">
            <w:r>
              <w:t>No.</w:t>
            </w:r>
          </w:p>
        </w:tc>
        <w:tc>
          <w:tcPr>
            <w:tcW w:w="630" w:type="dxa"/>
            <w:shd w:val="clear" w:color="auto" w:fill="E7E6E6" w:themeFill="background2"/>
          </w:tcPr>
          <w:p w:rsidR="006F17BA" w:rsidRDefault="006F17BA" w:rsidP="00CB1E6A">
            <w:r>
              <w:t>7</w:t>
            </w:r>
          </w:p>
        </w:tc>
        <w:tc>
          <w:tcPr>
            <w:tcW w:w="1080" w:type="dxa"/>
            <w:shd w:val="clear" w:color="auto" w:fill="E7E6E6" w:themeFill="background2"/>
          </w:tcPr>
          <w:p w:rsidR="006F17BA" w:rsidRDefault="006F17BA" w:rsidP="00CB1E6A">
            <w:r>
              <w:t>From</w:t>
            </w:r>
          </w:p>
        </w:tc>
        <w:tc>
          <w:tcPr>
            <w:tcW w:w="7015" w:type="dxa"/>
            <w:shd w:val="clear" w:color="auto" w:fill="E7E6E6" w:themeFill="background2"/>
          </w:tcPr>
          <w:p w:rsidR="006F17BA" w:rsidRDefault="006F17BA" w:rsidP="00CB1E6A">
            <w:proofErr w:type="spellStart"/>
            <w:r w:rsidRPr="006F17BA">
              <w:t>Labonno</w:t>
            </w:r>
            <w:proofErr w:type="spellEnd"/>
            <w:r w:rsidRPr="006F17BA">
              <w:t xml:space="preserve"> Ahmed</w:t>
            </w:r>
            <w:r w:rsidR="003D6EC7">
              <w:t xml:space="preserve"> (LA)</w:t>
            </w:r>
          </w:p>
        </w:tc>
      </w:tr>
      <w:tr w:rsidR="003D6EC7" w:rsidTr="00CB1E6A">
        <w:tc>
          <w:tcPr>
            <w:tcW w:w="1255" w:type="dxa"/>
            <w:gridSpan w:val="2"/>
            <w:shd w:val="clear" w:color="auto" w:fill="auto"/>
          </w:tcPr>
          <w:p w:rsidR="003D6EC7" w:rsidRDefault="003D6EC7" w:rsidP="003D6EC7">
            <w:r>
              <w:t>Comment</w:t>
            </w:r>
          </w:p>
        </w:tc>
        <w:tc>
          <w:tcPr>
            <w:tcW w:w="8095" w:type="dxa"/>
            <w:gridSpan w:val="2"/>
            <w:shd w:val="clear" w:color="auto" w:fill="auto"/>
          </w:tcPr>
          <w:p w:rsidR="003D6EC7" w:rsidRPr="006F17BA" w:rsidRDefault="003D6EC7" w:rsidP="003D6EC7">
            <w:pPr>
              <w:spacing w:after="120"/>
            </w:pPr>
            <w:r w:rsidRPr="006F17BA">
              <w:t>LA</w:t>
            </w:r>
            <w:r w:rsidRPr="006F17BA">
              <w:rPr>
                <w:b/>
                <w:bCs/>
              </w:rPr>
              <w:t xml:space="preserve"> </w:t>
            </w:r>
            <w:r w:rsidRPr="006F17BA">
              <w:t xml:space="preserve">also shares that the characters </w:t>
            </w:r>
            <w:r w:rsidRPr="006F17BA">
              <w:rPr>
                <w:rFonts w:ascii="Shonar Bangla" w:hAnsi="Shonar Bangla" w:cs="Shonar Bangla" w:hint="cs"/>
                <w:cs/>
                <w:lang w:bidi="bn-IN"/>
              </w:rPr>
              <w:t>ড়</w:t>
            </w:r>
            <w:r w:rsidRPr="006F17BA">
              <w:t xml:space="preserve">, </w:t>
            </w:r>
            <w:r w:rsidRPr="006F17BA">
              <w:rPr>
                <w:rFonts w:ascii="Shonar Bangla" w:hAnsi="Shonar Bangla" w:cs="Shonar Bangla" w:hint="cs"/>
                <w:cs/>
                <w:lang w:bidi="bn-IN"/>
              </w:rPr>
              <w:t>ঢ়</w:t>
            </w:r>
            <w:r w:rsidRPr="006F17BA">
              <w:rPr>
                <w:cs/>
                <w:lang w:bidi="bn-IN"/>
              </w:rPr>
              <w:t xml:space="preserve"> </w:t>
            </w:r>
            <w:r w:rsidRPr="006F17BA">
              <w:t xml:space="preserve">and </w:t>
            </w:r>
            <w:r w:rsidRPr="006F17BA">
              <w:rPr>
                <w:rFonts w:ascii="Shonar Bangla" w:hAnsi="Shonar Bangla" w:cs="Shonar Bangla" w:hint="cs"/>
                <w:cs/>
                <w:lang w:bidi="bn-IN"/>
              </w:rPr>
              <w:t>য়</w:t>
            </w:r>
            <w:r w:rsidRPr="006F17BA">
              <w:rPr>
                <w:cs/>
                <w:lang w:bidi="bn-IN"/>
              </w:rPr>
              <w:t xml:space="preserve"> </w:t>
            </w:r>
            <w:r w:rsidRPr="006F17BA">
              <w:t>should be depicted the same way as '</w:t>
            </w:r>
            <w:r w:rsidRPr="006F17BA">
              <w:rPr>
                <w:rFonts w:ascii="Shonar Bangla" w:hAnsi="Shonar Bangla" w:cs="Shonar Bangla" w:hint="cs"/>
                <w:cs/>
                <w:lang w:bidi="bn-IN"/>
              </w:rPr>
              <w:t>র</w:t>
            </w:r>
            <w:r w:rsidRPr="006F17BA">
              <w:t xml:space="preserve">'. The dot should not be separated. He thanks the NBGP to refer to ‘Bengali’ as ‘Bangla’. </w:t>
            </w:r>
          </w:p>
          <w:p w:rsidR="003D6EC7" w:rsidRDefault="003D6EC7" w:rsidP="003D6EC7"/>
        </w:tc>
      </w:tr>
      <w:tr w:rsidR="003D6EC7" w:rsidTr="00CB1E6A">
        <w:tc>
          <w:tcPr>
            <w:tcW w:w="1255" w:type="dxa"/>
            <w:gridSpan w:val="2"/>
          </w:tcPr>
          <w:p w:rsidR="003D6EC7" w:rsidRDefault="003D6EC7" w:rsidP="003D6EC7">
            <w:r>
              <w:t>NBGP Analysis</w:t>
            </w:r>
          </w:p>
        </w:tc>
        <w:tc>
          <w:tcPr>
            <w:tcW w:w="8095" w:type="dxa"/>
            <w:gridSpan w:val="2"/>
          </w:tcPr>
          <w:p w:rsidR="00EA67C3" w:rsidRDefault="00EA67C3" w:rsidP="00EA67C3">
            <w:r>
              <w:t xml:space="preserve">The NBGP acknowledges the comment. Also, see NBGP analysis in comment number </w:t>
            </w:r>
            <w:r>
              <w:t>6</w:t>
            </w:r>
            <w:r>
              <w:t xml:space="preserve">. </w:t>
            </w:r>
          </w:p>
          <w:p w:rsidR="003D6EC7" w:rsidRDefault="003D6EC7" w:rsidP="003D6EC7"/>
        </w:tc>
      </w:tr>
      <w:tr w:rsidR="003D6EC7" w:rsidTr="00CB1E6A">
        <w:tc>
          <w:tcPr>
            <w:tcW w:w="1255" w:type="dxa"/>
            <w:gridSpan w:val="2"/>
          </w:tcPr>
          <w:p w:rsidR="003D6EC7" w:rsidRDefault="003D6EC7" w:rsidP="003D6EC7">
            <w:r>
              <w:t>NBGP Concluded Response</w:t>
            </w:r>
          </w:p>
        </w:tc>
        <w:tc>
          <w:tcPr>
            <w:tcW w:w="8095" w:type="dxa"/>
            <w:gridSpan w:val="2"/>
          </w:tcPr>
          <w:p w:rsidR="003D6EC7" w:rsidRDefault="003D6EC7" w:rsidP="003D6EC7">
            <w:r>
              <w:t xml:space="preserve">No requirement to update the proposal. </w:t>
            </w:r>
          </w:p>
          <w:p w:rsidR="003D6EC7" w:rsidRDefault="003D6EC7" w:rsidP="003D6EC7"/>
          <w:p w:rsidR="003D6EC7" w:rsidRDefault="003D6EC7" w:rsidP="003D6EC7"/>
        </w:tc>
      </w:tr>
    </w:tbl>
    <w:p w:rsidR="006F17BA" w:rsidRDefault="006F17BA" w:rsidP="004F2139"/>
    <w:tbl>
      <w:tblPr>
        <w:tblStyle w:val="TableGrid"/>
        <w:tblW w:w="0" w:type="auto"/>
        <w:tblLook w:val="04A0" w:firstRow="1" w:lastRow="0" w:firstColumn="1" w:lastColumn="0" w:noHBand="0" w:noVBand="1"/>
      </w:tblPr>
      <w:tblGrid>
        <w:gridCol w:w="625"/>
        <w:gridCol w:w="630"/>
        <w:gridCol w:w="1080"/>
        <w:gridCol w:w="7015"/>
      </w:tblGrid>
      <w:tr w:rsidR="006F17BA" w:rsidTr="00CB1E6A">
        <w:tc>
          <w:tcPr>
            <w:tcW w:w="625" w:type="dxa"/>
            <w:shd w:val="clear" w:color="auto" w:fill="E7E6E6" w:themeFill="background2"/>
          </w:tcPr>
          <w:p w:rsidR="006F17BA" w:rsidRDefault="006F17BA" w:rsidP="00CB1E6A">
            <w:r>
              <w:t>No.</w:t>
            </w:r>
          </w:p>
        </w:tc>
        <w:tc>
          <w:tcPr>
            <w:tcW w:w="630" w:type="dxa"/>
            <w:shd w:val="clear" w:color="auto" w:fill="E7E6E6" w:themeFill="background2"/>
          </w:tcPr>
          <w:p w:rsidR="006F17BA" w:rsidRDefault="006F17BA" w:rsidP="00CB1E6A">
            <w:r>
              <w:t>8</w:t>
            </w:r>
          </w:p>
        </w:tc>
        <w:tc>
          <w:tcPr>
            <w:tcW w:w="1080" w:type="dxa"/>
            <w:shd w:val="clear" w:color="auto" w:fill="E7E6E6" w:themeFill="background2"/>
          </w:tcPr>
          <w:p w:rsidR="006F17BA" w:rsidRDefault="006F17BA" w:rsidP="00CB1E6A">
            <w:r>
              <w:t>From</w:t>
            </w:r>
          </w:p>
        </w:tc>
        <w:tc>
          <w:tcPr>
            <w:tcW w:w="7015" w:type="dxa"/>
            <w:shd w:val="clear" w:color="auto" w:fill="E7E6E6" w:themeFill="background2"/>
          </w:tcPr>
          <w:p w:rsidR="006F17BA" w:rsidRDefault="006F17BA" w:rsidP="00CB1E6A">
            <w:proofErr w:type="spellStart"/>
            <w:r w:rsidRPr="006F17BA">
              <w:t>Mizanur</w:t>
            </w:r>
            <w:proofErr w:type="spellEnd"/>
            <w:r w:rsidRPr="006F17BA">
              <w:t xml:space="preserve"> Rahman</w:t>
            </w:r>
            <w:r w:rsidRPr="006F17BA">
              <w:rPr>
                <w:rFonts w:hint="cs"/>
                <w:cs/>
                <w:lang w:bidi="th-TH"/>
              </w:rPr>
              <w:t xml:space="preserve"> </w:t>
            </w:r>
            <w:r w:rsidRPr="006F17BA">
              <w:t>Khan</w:t>
            </w:r>
            <w:r w:rsidR="003D6EC7">
              <w:t xml:space="preserve"> (MR)</w:t>
            </w:r>
          </w:p>
        </w:tc>
      </w:tr>
      <w:tr w:rsidR="003D6EC7" w:rsidTr="00CB1E6A">
        <w:tc>
          <w:tcPr>
            <w:tcW w:w="1255" w:type="dxa"/>
            <w:gridSpan w:val="2"/>
            <w:shd w:val="clear" w:color="auto" w:fill="auto"/>
          </w:tcPr>
          <w:p w:rsidR="003D6EC7" w:rsidRDefault="003D6EC7" w:rsidP="003D6EC7">
            <w:r>
              <w:t>Comment</w:t>
            </w:r>
          </w:p>
        </w:tc>
        <w:tc>
          <w:tcPr>
            <w:tcW w:w="8095" w:type="dxa"/>
            <w:gridSpan w:val="2"/>
            <w:shd w:val="clear" w:color="auto" w:fill="auto"/>
          </w:tcPr>
          <w:p w:rsidR="003D6EC7" w:rsidRDefault="003D6EC7" w:rsidP="003D6EC7">
            <w:pPr>
              <w:spacing w:after="120"/>
            </w:pPr>
            <w:r w:rsidRPr="006F17BA">
              <w:t>MR</w:t>
            </w:r>
            <w:r w:rsidRPr="006F17BA">
              <w:rPr>
                <w:b/>
                <w:bCs/>
              </w:rPr>
              <w:t xml:space="preserve"> </w:t>
            </w:r>
            <w:r w:rsidRPr="006F17BA">
              <w:t xml:space="preserve">notes that Bangla is considered one of the world’s richest languages. He is happy to learn that domain names will be available in the Bangla language. He </w:t>
            </w:r>
            <w:r w:rsidRPr="006F17BA">
              <w:lastRenderedPageBreak/>
              <w:t xml:space="preserve">comments that the Bangla characters must be used in domain names exactly in the same manner they are used otherwise. </w:t>
            </w:r>
          </w:p>
        </w:tc>
      </w:tr>
      <w:tr w:rsidR="003D6EC7" w:rsidTr="003D6EC7">
        <w:trPr>
          <w:trHeight w:val="647"/>
        </w:trPr>
        <w:tc>
          <w:tcPr>
            <w:tcW w:w="1255" w:type="dxa"/>
            <w:gridSpan w:val="2"/>
          </w:tcPr>
          <w:p w:rsidR="003D6EC7" w:rsidRDefault="003D6EC7" w:rsidP="003D6EC7">
            <w:r>
              <w:lastRenderedPageBreak/>
              <w:t>NBGP Analysis</w:t>
            </w:r>
          </w:p>
        </w:tc>
        <w:tc>
          <w:tcPr>
            <w:tcW w:w="8095" w:type="dxa"/>
            <w:gridSpan w:val="2"/>
          </w:tcPr>
          <w:p w:rsidR="00140526" w:rsidRDefault="003D6EC7" w:rsidP="00140526">
            <w:r>
              <w:t>The NBGP acknowledges the comment</w:t>
            </w:r>
            <w:r w:rsidR="00140526">
              <w:t>. Also, s</w:t>
            </w:r>
            <w:r w:rsidR="00140526">
              <w:t xml:space="preserve">ee NBGP analysis in comment number </w:t>
            </w:r>
            <w:r w:rsidR="00EA67C3">
              <w:t>6</w:t>
            </w:r>
            <w:r w:rsidR="00140526">
              <w:t xml:space="preserve">. </w:t>
            </w:r>
          </w:p>
          <w:p w:rsidR="003D6EC7" w:rsidRDefault="003D6EC7" w:rsidP="003D6EC7"/>
          <w:p w:rsidR="003D6EC7" w:rsidRDefault="003D6EC7" w:rsidP="003D6EC7"/>
        </w:tc>
      </w:tr>
      <w:tr w:rsidR="003D6EC7" w:rsidTr="003D6EC7">
        <w:trPr>
          <w:trHeight w:val="953"/>
        </w:trPr>
        <w:tc>
          <w:tcPr>
            <w:tcW w:w="1255" w:type="dxa"/>
            <w:gridSpan w:val="2"/>
          </w:tcPr>
          <w:p w:rsidR="003D6EC7" w:rsidRDefault="003D6EC7" w:rsidP="003D6EC7">
            <w:r>
              <w:t>NBGP Concluded Response</w:t>
            </w:r>
          </w:p>
        </w:tc>
        <w:tc>
          <w:tcPr>
            <w:tcW w:w="8095" w:type="dxa"/>
            <w:gridSpan w:val="2"/>
          </w:tcPr>
          <w:p w:rsidR="003D6EC7" w:rsidRDefault="003D6EC7" w:rsidP="003D6EC7">
            <w:r>
              <w:t xml:space="preserve">No requirement to update the proposal. </w:t>
            </w:r>
          </w:p>
          <w:p w:rsidR="003D6EC7" w:rsidRDefault="003D6EC7" w:rsidP="003D6EC7"/>
          <w:p w:rsidR="003D6EC7" w:rsidRDefault="003D6EC7" w:rsidP="003D6EC7"/>
        </w:tc>
      </w:tr>
    </w:tbl>
    <w:p w:rsidR="006F17BA" w:rsidRDefault="006F17BA" w:rsidP="004F2139"/>
    <w:tbl>
      <w:tblPr>
        <w:tblStyle w:val="TableGrid"/>
        <w:tblW w:w="0" w:type="auto"/>
        <w:tblLook w:val="04A0" w:firstRow="1" w:lastRow="0" w:firstColumn="1" w:lastColumn="0" w:noHBand="0" w:noVBand="1"/>
      </w:tblPr>
      <w:tblGrid>
        <w:gridCol w:w="625"/>
        <w:gridCol w:w="630"/>
        <w:gridCol w:w="1080"/>
        <w:gridCol w:w="7015"/>
      </w:tblGrid>
      <w:tr w:rsidR="006F17BA" w:rsidTr="00CB1E6A">
        <w:tc>
          <w:tcPr>
            <w:tcW w:w="625" w:type="dxa"/>
            <w:shd w:val="clear" w:color="auto" w:fill="E7E6E6" w:themeFill="background2"/>
          </w:tcPr>
          <w:p w:rsidR="006F17BA" w:rsidRDefault="006F17BA" w:rsidP="00CB1E6A">
            <w:r>
              <w:t>No.</w:t>
            </w:r>
          </w:p>
        </w:tc>
        <w:tc>
          <w:tcPr>
            <w:tcW w:w="630" w:type="dxa"/>
            <w:shd w:val="clear" w:color="auto" w:fill="E7E6E6" w:themeFill="background2"/>
          </w:tcPr>
          <w:p w:rsidR="006F17BA" w:rsidRDefault="006F17BA" w:rsidP="00CB1E6A">
            <w:r>
              <w:t>9</w:t>
            </w:r>
          </w:p>
        </w:tc>
        <w:tc>
          <w:tcPr>
            <w:tcW w:w="1080" w:type="dxa"/>
            <w:shd w:val="clear" w:color="auto" w:fill="E7E6E6" w:themeFill="background2"/>
          </w:tcPr>
          <w:p w:rsidR="006F17BA" w:rsidRDefault="006F17BA" w:rsidP="00CB1E6A">
            <w:r>
              <w:t>From</w:t>
            </w:r>
          </w:p>
        </w:tc>
        <w:tc>
          <w:tcPr>
            <w:tcW w:w="7015" w:type="dxa"/>
            <w:shd w:val="clear" w:color="auto" w:fill="E7E6E6" w:themeFill="background2"/>
          </w:tcPr>
          <w:p w:rsidR="006F17BA" w:rsidRDefault="006F17BA" w:rsidP="00CB1E6A">
            <w:r w:rsidRPr="006F17BA">
              <w:t>Hanif Miah</w:t>
            </w:r>
            <w:r w:rsidR="003D6EC7">
              <w:t xml:space="preserve"> (HM)</w:t>
            </w:r>
          </w:p>
        </w:tc>
      </w:tr>
      <w:tr w:rsidR="006F17BA" w:rsidTr="003D6EC7">
        <w:trPr>
          <w:trHeight w:val="710"/>
        </w:trPr>
        <w:tc>
          <w:tcPr>
            <w:tcW w:w="1255" w:type="dxa"/>
            <w:gridSpan w:val="2"/>
            <w:shd w:val="clear" w:color="auto" w:fill="auto"/>
          </w:tcPr>
          <w:p w:rsidR="006F17BA" w:rsidRDefault="006F17BA" w:rsidP="00CB1E6A">
            <w:r>
              <w:t>Comment</w:t>
            </w:r>
          </w:p>
        </w:tc>
        <w:tc>
          <w:tcPr>
            <w:tcW w:w="8095" w:type="dxa"/>
            <w:gridSpan w:val="2"/>
            <w:shd w:val="clear" w:color="auto" w:fill="auto"/>
          </w:tcPr>
          <w:p w:rsidR="006F17BA" w:rsidRDefault="003D6EC7" w:rsidP="003D6EC7">
            <w:pPr>
              <w:spacing w:after="120"/>
            </w:pPr>
            <w:r w:rsidRPr="006F17BA">
              <w:t>HM</w:t>
            </w:r>
            <w:r w:rsidRPr="006F17BA">
              <w:rPr>
                <w:b/>
                <w:bCs/>
              </w:rPr>
              <w:t xml:space="preserve"> </w:t>
            </w:r>
            <w:r w:rsidRPr="006F17BA">
              <w:t>shares that the characters </w:t>
            </w:r>
            <w:r w:rsidRPr="006F17BA">
              <w:rPr>
                <w:rFonts w:ascii="Shonar Bangla" w:hAnsi="Shonar Bangla" w:cs="Shonar Bangla" w:hint="cs"/>
                <w:cs/>
                <w:lang w:bidi="bn-IN"/>
              </w:rPr>
              <w:t>ড়</w:t>
            </w:r>
            <w:r w:rsidRPr="006F17BA">
              <w:t>, </w:t>
            </w:r>
            <w:r w:rsidRPr="006F17BA">
              <w:rPr>
                <w:rFonts w:ascii="Shonar Bangla" w:hAnsi="Shonar Bangla" w:cs="Shonar Bangla" w:hint="cs"/>
                <w:cs/>
                <w:lang w:bidi="bn-IN"/>
              </w:rPr>
              <w:t>ঢ়</w:t>
            </w:r>
            <w:r w:rsidRPr="006F17BA">
              <w:t> and </w:t>
            </w:r>
            <w:r w:rsidRPr="006F17BA">
              <w:rPr>
                <w:rFonts w:ascii="Shonar Bangla" w:hAnsi="Shonar Bangla" w:cs="Shonar Bangla" w:hint="cs"/>
                <w:cs/>
                <w:lang w:bidi="bn-IN"/>
              </w:rPr>
              <w:t>য়</w:t>
            </w:r>
            <w:r w:rsidRPr="006F17BA">
              <w:t> should be depicted the way they are normally done in the system of Bangla alphabets.</w:t>
            </w:r>
          </w:p>
        </w:tc>
      </w:tr>
      <w:tr w:rsidR="003D6EC7" w:rsidTr="003D6EC7">
        <w:trPr>
          <w:trHeight w:val="710"/>
        </w:trPr>
        <w:tc>
          <w:tcPr>
            <w:tcW w:w="1255" w:type="dxa"/>
            <w:gridSpan w:val="2"/>
          </w:tcPr>
          <w:p w:rsidR="003D6EC7" w:rsidRDefault="003D6EC7" w:rsidP="003D6EC7">
            <w:r>
              <w:t>NBGP Analysis</w:t>
            </w:r>
          </w:p>
        </w:tc>
        <w:tc>
          <w:tcPr>
            <w:tcW w:w="8095" w:type="dxa"/>
            <w:gridSpan w:val="2"/>
          </w:tcPr>
          <w:p w:rsidR="003D6EC7" w:rsidRDefault="00140526" w:rsidP="00140526">
            <w:pPr>
              <w:rPr>
                <w:lang w:bidi="th-TH"/>
              </w:rPr>
            </w:pPr>
            <w:r>
              <w:t xml:space="preserve">The NBGP acknowledges the comment. Also, see NBGP analysis in comment number 5. </w:t>
            </w:r>
          </w:p>
        </w:tc>
      </w:tr>
      <w:tr w:rsidR="003D6EC7" w:rsidTr="003D6EC7">
        <w:trPr>
          <w:trHeight w:val="980"/>
        </w:trPr>
        <w:tc>
          <w:tcPr>
            <w:tcW w:w="1255" w:type="dxa"/>
            <w:gridSpan w:val="2"/>
          </w:tcPr>
          <w:p w:rsidR="003D6EC7" w:rsidRDefault="003D6EC7" w:rsidP="003D6EC7">
            <w:r>
              <w:t>NBGP Concluded Response</w:t>
            </w:r>
          </w:p>
        </w:tc>
        <w:tc>
          <w:tcPr>
            <w:tcW w:w="8095" w:type="dxa"/>
            <w:gridSpan w:val="2"/>
          </w:tcPr>
          <w:p w:rsidR="003D6EC7" w:rsidRDefault="003D6EC7" w:rsidP="003D6EC7">
            <w:r>
              <w:t xml:space="preserve">No requirement to update the proposal. </w:t>
            </w:r>
          </w:p>
          <w:p w:rsidR="003D6EC7" w:rsidRDefault="003D6EC7" w:rsidP="003D6EC7"/>
          <w:p w:rsidR="003D6EC7" w:rsidRDefault="003D6EC7" w:rsidP="003D6EC7"/>
        </w:tc>
      </w:tr>
    </w:tbl>
    <w:p w:rsidR="006F17BA" w:rsidRDefault="006F17BA" w:rsidP="004F2139"/>
    <w:sectPr w:rsidR="006F17BA" w:rsidSect="00314B8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70B6" w:rsidRDefault="000870B6" w:rsidP="00223FBB">
      <w:r>
        <w:separator/>
      </w:r>
    </w:p>
  </w:endnote>
  <w:endnote w:type="continuationSeparator" w:id="0">
    <w:p w:rsidR="000870B6" w:rsidRDefault="000870B6" w:rsidP="0022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Shonar Bangla">
    <w:panose1 w:val="020B0604020202020204"/>
    <w:charset w:val="00"/>
    <w:family w:val="roman"/>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036997"/>
      <w:docPartObj>
        <w:docPartGallery w:val="Page Numbers (Bottom of Page)"/>
        <w:docPartUnique/>
      </w:docPartObj>
    </w:sdtPr>
    <w:sdtEndPr>
      <w:rPr>
        <w:rStyle w:val="PageNumber"/>
      </w:rPr>
    </w:sdtEndPr>
    <w:sdtContent>
      <w:p w:rsidR="00223FBB" w:rsidRDefault="00223FBB" w:rsidP="000A0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3FBB" w:rsidRDefault="00223FBB" w:rsidP="00223F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9395831"/>
      <w:docPartObj>
        <w:docPartGallery w:val="Page Numbers (Bottom of Page)"/>
        <w:docPartUnique/>
      </w:docPartObj>
    </w:sdtPr>
    <w:sdtEndPr>
      <w:rPr>
        <w:rStyle w:val="PageNumber"/>
      </w:rPr>
    </w:sdtEndPr>
    <w:sdtContent>
      <w:p w:rsidR="00223FBB" w:rsidRDefault="00223FBB" w:rsidP="000A0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223FBB" w:rsidRDefault="00223FBB" w:rsidP="00223F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70B6" w:rsidRDefault="000870B6" w:rsidP="00223FBB">
      <w:r>
        <w:separator/>
      </w:r>
    </w:p>
  </w:footnote>
  <w:footnote w:type="continuationSeparator" w:id="0">
    <w:p w:rsidR="000870B6" w:rsidRDefault="000870B6" w:rsidP="00223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44455"/>
    <w:multiLevelType w:val="hybridMultilevel"/>
    <w:tmpl w:val="62E2C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39"/>
    <w:rsid w:val="000870B6"/>
    <w:rsid w:val="00140526"/>
    <w:rsid w:val="001D00CD"/>
    <w:rsid w:val="00223FBB"/>
    <w:rsid w:val="002B74ED"/>
    <w:rsid w:val="00314B86"/>
    <w:rsid w:val="0037232C"/>
    <w:rsid w:val="003D6EC7"/>
    <w:rsid w:val="004F2139"/>
    <w:rsid w:val="005B0C0F"/>
    <w:rsid w:val="00644BC7"/>
    <w:rsid w:val="006F17BA"/>
    <w:rsid w:val="00A470D7"/>
    <w:rsid w:val="00EA67C3"/>
    <w:rsid w:val="00F31FEC"/>
    <w:rsid w:val="00F37819"/>
    <w:rsid w:val="00FD12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8195"/>
  <w15:chartTrackingRefBased/>
  <w15:docId w15:val="{C415C4A3-025C-E348-AC1D-F4B371F4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F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F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FBB"/>
    <w:pPr>
      <w:tabs>
        <w:tab w:val="center" w:pos="4680"/>
        <w:tab w:val="right" w:pos="9360"/>
      </w:tabs>
    </w:pPr>
  </w:style>
  <w:style w:type="character" w:customStyle="1" w:styleId="HeaderChar">
    <w:name w:val="Header Char"/>
    <w:basedOn w:val="DefaultParagraphFont"/>
    <w:link w:val="Header"/>
    <w:uiPriority w:val="99"/>
    <w:rsid w:val="00223FBB"/>
  </w:style>
  <w:style w:type="paragraph" w:styleId="Footer">
    <w:name w:val="footer"/>
    <w:basedOn w:val="Normal"/>
    <w:link w:val="FooterChar"/>
    <w:uiPriority w:val="99"/>
    <w:unhideWhenUsed/>
    <w:rsid w:val="00223FBB"/>
    <w:pPr>
      <w:tabs>
        <w:tab w:val="center" w:pos="4680"/>
        <w:tab w:val="right" w:pos="9360"/>
      </w:tabs>
    </w:pPr>
  </w:style>
  <w:style w:type="character" w:customStyle="1" w:styleId="FooterChar">
    <w:name w:val="Footer Char"/>
    <w:basedOn w:val="DefaultParagraphFont"/>
    <w:link w:val="Footer"/>
    <w:uiPriority w:val="99"/>
    <w:rsid w:val="00223FBB"/>
  </w:style>
  <w:style w:type="character" w:styleId="PageNumber">
    <w:name w:val="page number"/>
    <w:basedOn w:val="DefaultParagraphFont"/>
    <w:uiPriority w:val="99"/>
    <w:semiHidden/>
    <w:unhideWhenUsed/>
    <w:rsid w:val="00223FBB"/>
  </w:style>
  <w:style w:type="character" w:customStyle="1" w:styleId="Heading1Char">
    <w:name w:val="Heading 1 Char"/>
    <w:basedOn w:val="DefaultParagraphFont"/>
    <w:link w:val="Heading1"/>
    <w:uiPriority w:val="9"/>
    <w:rsid w:val="00223F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3FB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7819"/>
    <w:pPr>
      <w:ind w:left="720"/>
      <w:contextualSpacing/>
    </w:pPr>
  </w:style>
  <w:style w:type="paragraph" w:styleId="NormalWeb">
    <w:name w:val="Normal (Web)"/>
    <w:basedOn w:val="Normal"/>
    <w:uiPriority w:val="99"/>
    <w:semiHidden/>
    <w:unhideWhenUsed/>
    <w:rsid w:val="00F3781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2421">
      <w:bodyDiv w:val="1"/>
      <w:marLeft w:val="0"/>
      <w:marRight w:val="0"/>
      <w:marTop w:val="0"/>
      <w:marBottom w:val="0"/>
      <w:divBdr>
        <w:top w:val="none" w:sz="0" w:space="0" w:color="auto"/>
        <w:left w:val="none" w:sz="0" w:space="0" w:color="auto"/>
        <w:bottom w:val="none" w:sz="0" w:space="0" w:color="auto"/>
        <w:right w:val="none" w:sz="0" w:space="0" w:color="auto"/>
      </w:divBdr>
    </w:div>
    <w:div w:id="224874299">
      <w:bodyDiv w:val="1"/>
      <w:marLeft w:val="0"/>
      <w:marRight w:val="0"/>
      <w:marTop w:val="0"/>
      <w:marBottom w:val="0"/>
      <w:divBdr>
        <w:top w:val="none" w:sz="0" w:space="0" w:color="auto"/>
        <w:left w:val="none" w:sz="0" w:space="0" w:color="auto"/>
        <w:bottom w:val="none" w:sz="0" w:space="0" w:color="auto"/>
        <w:right w:val="none" w:sz="0" w:space="0" w:color="auto"/>
      </w:divBdr>
    </w:div>
    <w:div w:id="415058983">
      <w:bodyDiv w:val="1"/>
      <w:marLeft w:val="0"/>
      <w:marRight w:val="0"/>
      <w:marTop w:val="0"/>
      <w:marBottom w:val="0"/>
      <w:divBdr>
        <w:top w:val="none" w:sz="0" w:space="0" w:color="auto"/>
        <w:left w:val="none" w:sz="0" w:space="0" w:color="auto"/>
        <w:bottom w:val="none" w:sz="0" w:space="0" w:color="auto"/>
        <w:right w:val="none" w:sz="0" w:space="0" w:color="auto"/>
      </w:divBdr>
    </w:div>
    <w:div w:id="208221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3572-219C-B140-9516-636960EA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2</cp:revision>
  <dcterms:created xsi:type="dcterms:W3CDTF">2020-05-11T08:23:00Z</dcterms:created>
  <dcterms:modified xsi:type="dcterms:W3CDTF">2020-05-11T08:23:00Z</dcterms:modified>
</cp:coreProperties>
</file>