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0659" w:rsidRDefault="004F2139" w:rsidP="00223FBB">
      <w:pPr>
        <w:pStyle w:val="Heading2"/>
      </w:pPr>
      <w:r>
        <w:t>Neo-Brahmi Generation Panel</w:t>
      </w:r>
    </w:p>
    <w:p w:rsidR="004F2139" w:rsidRPr="00223FBB" w:rsidRDefault="004F2139" w:rsidP="00223FBB">
      <w:pPr>
        <w:pStyle w:val="Heading1"/>
        <w:pBdr>
          <w:bottom w:val="single" w:sz="6" w:space="1" w:color="auto"/>
        </w:pBdr>
        <w:rPr>
          <w:rFonts w:ascii="Cambria" w:hAnsi="Cambria"/>
          <w:b/>
          <w:bCs/>
          <w:sz w:val="36"/>
          <w:szCs w:val="36"/>
        </w:rPr>
      </w:pPr>
      <w:r w:rsidRPr="00223FBB">
        <w:rPr>
          <w:rFonts w:ascii="Cambria" w:hAnsi="Cambria"/>
          <w:b/>
          <w:bCs/>
          <w:sz w:val="36"/>
          <w:szCs w:val="36"/>
        </w:rPr>
        <w:t>Analysis of comments for Bangla script LGR Proposal for the Root Zone</w:t>
      </w:r>
    </w:p>
    <w:p w:rsidR="004F2139" w:rsidRDefault="004F2139" w:rsidP="00223FBB">
      <w:r>
        <w:t xml:space="preserve">Revision: </w:t>
      </w:r>
      <w:r w:rsidR="00590576">
        <w:t>23</w:t>
      </w:r>
      <w:r w:rsidR="000F02B0">
        <w:t xml:space="preserve"> </w:t>
      </w:r>
      <w:r w:rsidR="00DC0BB7">
        <w:t>June</w:t>
      </w:r>
      <w:r>
        <w:t xml:space="preserve"> 2020</w:t>
      </w:r>
    </w:p>
    <w:p w:rsidR="004F2139" w:rsidRDefault="004F2139"/>
    <w:p w:rsidR="004F2139" w:rsidRDefault="004F2139" w:rsidP="004F2139">
      <w:r>
        <w:t>Neo-Brahmi Generation Panel (NBGP) published the</w:t>
      </w:r>
      <w:r w:rsidR="00DC0BB7">
        <w:t xml:space="preserve"> updated Malayalam</w:t>
      </w:r>
      <w:r>
        <w:t xml:space="preserve"> script LGR Proposal for the Root Zone for public comment on </w:t>
      </w:r>
      <w:r w:rsidR="00DC0BB7">
        <w:t>7 May</w:t>
      </w:r>
      <w:r>
        <w:t xml:space="preserve"> 2020.</w:t>
      </w:r>
      <w:r w:rsidR="00DC0BB7">
        <w:t xml:space="preserve"> </w:t>
      </w:r>
      <w:r>
        <w:t>This document is an additional document of</w:t>
      </w:r>
      <w:r>
        <w:tab/>
      </w:r>
    </w:p>
    <w:p w:rsidR="004F2139" w:rsidRDefault="004F2139" w:rsidP="004F2139">
      <w:r>
        <w:t>The public comment report,</w:t>
      </w:r>
      <w:r w:rsidR="00DC0BB7">
        <w:t xml:space="preserve"> </w:t>
      </w:r>
      <w:r>
        <w:t>collecting NBGP analyses as well as the concluded responses.</w:t>
      </w:r>
      <w:r>
        <w:tab/>
      </w:r>
    </w:p>
    <w:p w:rsidR="004F2139" w:rsidRDefault="004F2139" w:rsidP="004F2139">
      <w:r>
        <w:t>There</w:t>
      </w:r>
      <w:r w:rsidR="0037232C">
        <w:t xml:space="preserve"> </w:t>
      </w:r>
      <w:r>
        <w:t xml:space="preserve">are </w:t>
      </w:r>
      <w:r w:rsidR="00DC0BB7">
        <w:t>two</w:t>
      </w:r>
      <w:r>
        <w:t xml:space="preserve"> (</w:t>
      </w:r>
      <w:r w:rsidR="00DC0BB7">
        <w:t>2</w:t>
      </w:r>
      <w:r>
        <w:t>) comment submissions. The analyses are as follow:</w:t>
      </w:r>
    </w:p>
    <w:p w:rsidR="004F2139" w:rsidRDefault="004F2139" w:rsidP="004F2139"/>
    <w:tbl>
      <w:tblPr>
        <w:tblStyle w:val="TableGrid"/>
        <w:tblW w:w="0" w:type="auto"/>
        <w:tblLook w:val="04A0" w:firstRow="1" w:lastRow="0" w:firstColumn="1" w:lastColumn="0" w:noHBand="0" w:noVBand="1"/>
      </w:tblPr>
      <w:tblGrid>
        <w:gridCol w:w="625"/>
        <w:gridCol w:w="630"/>
        <w:gridCol w:w="1080"/>
        <w:gridCol w:w="7015"/>
      </w:tblGrid>
      <w:tr w:rsidR="00F37819" w:rsidTr="004F2139">
        <w:tc>
          <w:tcPr>
            <w:tcW w:w="625" w:type="dxa"/>
            <w:shd w:val="clear" w:color="auto" w:fill="E7E6E6" w:themeFill="background2"/>
          </w:tcPr>
          <w:p w:rsidR="004F2139" w:rsidRDefault="004F2139" w:rsidP="004F2139">
            <w:r>
              <w:t>No.</w:t>
            </w:r>
          </w:p>
        </w:tc>
        <w:tc>
          <w:tcPr>
            <w:tcW w:w="630" w:type="dxa"/>
            <w:shd w:val="clear" w:color="auto" w:fill="E7E6E6" w:themeFill="background2"/>
          </w:tcPr>
          <w:p w:rsidR="004F2139" w:rsidRDefault="004F2139" w:rsidP="004F2139">
            <w:r>
              <w:t>1</w:t>
            </w:r>
          </w:p>
        </w:tc>
        <w:tc>
          <w:tcPr>
            <w:tcW w:w="1080" w:type="dxa"/>
            <w:shd w:val="clear" w:color="auto" w:fill="E7E6E6" w:themeFill="background2"/>
          </w:tcPr>
          <w:p w:rsidR="004F2139" w:rsidRDefault="004F2139" w:rsidP="004F2139">
            <w:r>
              <w:t>From</w:t>
            </w:r>
          </w:p>
        </w:tc>
        <w:tc>
          <w:tcPr>
            <w:tcW w:w="7015" w:type="dxa"/>
            <w:shd w:val="clear" w:color="auto" w:fill="E7E6E6" w:themeFill="background2"/>
          </w:tcPr>
          <w:p w:rsidR="004F2139" w:rsidRDefault="00DC0BB7" w:rsidP="004F2139">
            <w:r>
              <w:t>Wil Tan (WT)</w:t>
            </w:r>
          </w:p>
        </w:tc>
      </w:tr>
      <w:tr w:rsidR="004F2139" w:rsidTr="004F2139">
        <w:tc>
          <w:tcPr>
            <w:tcW w:w="1255" w:type="dxa"/>
            <w:gridSpan w:val="2"/>
            <w:shd w:val="clear" w:color="auto" w:fill="auto"/>
          </w:tcPr>
          <w:p w:rsidR="004F2139" w:rsidRDefault="004F2139" w:rsidP="004F2139">
            <w:r>
              <w:t>Comment</w:t>
            </w:r>
          </w:p>
        </w:tc>
        <w:tc>
          <w:tcPr>
            <w:tcW w:w="8095" w:type="dxa"/>
            <w:gridSpan w:val="2"/>
            <w:shd w:val="clear" w:color="auto" w:fill="auto"/>
          </w:tcPr>
          <w:p w:rsidR="004F2139" w:rsidRDefault="00DC0BB7" w:rsidP="004F2139">
            <w:r w:rsidRPr="00DC0BB7">
              <w:t>There is a</w:t>
            </w:r>
            <w:r w:rsidRPr="00DC0BB7">
              <w:t xml:space="preserve"> potential cross-script variant relationship between U+0D1F (</w:t>
            </w:r>
            <w:r w:rsidRPr="00DC0BB7">
              <w:rPr>
                <w:rFonts w:ascii="Kartika" w:hAnsi="Kartika" w:cs="Kartika" w:hint="cs"/>
                <w:cs/>
                <w:lang w:bidi="ml-IN"/>
              </w:rPr>
              <w:t>ട</w:t>
            </w:r>
            <w:r w:rsidRPr="00DC0BB7">
              <w:rPr>
                <w:cs/>
                <w:lang w:bidi="ml-IN"/>
              </w:rPr>
              <w:t xml:space="preserve">) </w:t>
            </w:r>
            <w:r w:rsidRPr="00DC0BB7">
              <w:t>MALAYALAM LETTER TTA and U+0073 (s) LATIN SMALL LETTER S, as well as U+0455 (ѕ) CYRILLIC SMALL LETTER DZE. These are listed in Appendix B as similar code points. The code point U+0D1F may be also combined with another Malayalam code point U+0D20 (</w:t>
            </w:r>
            <w:r w:rsidRPr="00DC0BB7">
              <w:rPr>
                <w:rFonts w:ascii="Kartika" w:hAnsi="Kartika" w:cs="Kartika" w:hint="cs"/>
                <w:cs/>
                <w:lang w:bidi="ml-IN"/>
              </w:rPr>
              <w:t>ഠ</w:t>
            </w:r>
            <w:r w:rsidRPr="00DC0BB7">
              <w:rPr>
                <w:cs/>
                <w:lang w:bidi="ml-IN"/>
              </w:rPr>
              <w:t xml:space="preserve">) </w:t>
            </w:r>
            <w:r w:rsidRPr="00DC0BB7">
              <w:t xml:space="preserve">MALAYALAM LETTER TTHA to produce labels that are identical to Latin labels composed of the letters ‘s’ and ‘o’.  </w:t>
            </w:r>
            <w:r w:rsidRPr="00DC0BB7">
              <w:rPr>
                <w:b/>
                <w:bCs/>
              </w:rPr>
              <w:br/>
            </w:r>
            <w:r w:rsidRPr="00DC0BB7">
              <w:br/>
            </w:r>
            <w:r w:rsidRPr="00DC0BB7">
              <w:rPr>
                <w:b/>
                <w:bCs/>
              </w:rPr>
              <w:t>WT</w:t>
            </w:r>
            <w:r w:rsidRPr="00DC0BB7">
              <w:t xml:space="preserve"> suggests that no change required to the Malayalam LGR proposal. However, this should be considered for inclusion in the Latin LGR proposal when it is submitted.</w:t>
            </w:r>
          </w:p>
          <w:p w:rsidR="00DC0BB7" w:rsidRDefault="00DC0BB7" w:rsidP="004F2139"/>
        </w:tc>
      </w:tr>
      <w:tr w:rsidR="00DC0BB7" w:rsidTr="004F2139">
        <w:tc>
          <w:tcPr>
            <w:tcW w:w="1255" w:type="dxa"/>
            <w:gridSpan w:val="2"/>
          </w:tcPr>
          <w:p w:rsidR="00DC0BB7" w:rsidRPr="00DC0BB7" w:rsidRDefault="00DC0BB7" w:rsidP="00DC0BB7">
            <w:r w:rsidRPr="00F37819">
              <w:t>NBGP Analysis</w:t>
            </w:r>
            <w:r>
              <w:br/>
            </w:r>
          </w:p>
        </w:tc>
        <w:tc>
          <w:tcPr>
            <w:tcW w:w="8095" w:type="dxa"/>
            <w:gridSpan w:val="2"/>
          </w:tcPr>
          <w:p w:rsidR="00DC0BB7" w:rsidRDefault="00DC0BB7" w:rsidP="00DC0BB7">
            <w:r>
              <w:t xml:space="preserve">The NBGP acknowledges the comment. </w:t>
            </w:r>
          </w:p>
          <w:p w:rsidR="00DC0BB7" w:rsidRDefault="00DC0BB7" w:rsidP="00DC0BB7"/>
        </w:tc>
      </w:tr>
      <w:tr w:rsidR="00DC0BB7" w:rsidTr="00F31FEC">
        <w:trPr>
          <w:trHeight w:val="737"/>
        </w:trPr>
        <w:tc>
          <w:tcPr>
            <w:tcW w:w="1255" w:type="dxa"/>
            <w:gridSpan w:val="2"/>
          </w:tcPr>
          <w:p w:rsidR="00DC0BB7" w:rsidRPr="00F37819" w:rsidRDefault="00DC0BB7" w:rsidP="00DC0BB7">
            <w:r w:rsidRPr="00F37819">
              <w:t>NBGP Concluded Response</w:t>
            </w:r>
          </w:p>
          <w:p w:rsidR="00DC0BB7" w:rsidRPr="00A470D7" w:rsidRDefault="00DC0BB7" w:rsidP="00DC0BB7">
            <w:pPr>
              <w:rPr>
                <w:color w:val="FF0000"/>
              </w:rPr>
            </w:pPr>
          </w:p>
        </w:tc>
        <w:tc>
          <w:tcPr>
            <w:tcW w:w="8095" w:type="dxa"/>
            <w:gridSpan w:val="2"/>
          </w:tcPr>
          <w:p w:rsidR="00DC0BB7" w:rsidRDefault="00DC0BB7" w:rsidP="00DC0BB7">
            <w:r>
              <w:t xml:space="preserve">No requirement to update the proposal. </w:t>
            </w:r>
          </w:p>
          <w:p w:rsidR="00DC0BB7" w:rsidRDefault="00DC0BB7" w:rsidP="00DC0BB7"/>
          <w:p w:rsidR="00DC0BB7" w:rsidRDefault="00DC0BB7" w:rsidP="00DC0BB7"/>
        </w:tc>
      </w:tr>
    </w:tbl>
    <w:p w:rsidR="004F2139" w:rsidRDefault="004F2139" w:rsidP="004F2139"/>
    <w:p w:rsidR="004F2139" w:rsidRDefault="004F2139" w:rsidP="004F2139"/>
    <w:p w:rsidR="004F2139" w:rsidRDefault="004F2139" w:rsidP="004F2139"/>
    <w:tbl>
      <w:tblPr>
        <w:tblStyle w:val="TableGrid"/>
        <w:tblW w:w="0" w:type="auto"/>
        <w:tblLook w:val="04A0" w:firstRow="1" w:lastRow="0" w:firstColumn="1" w:lastColumn="0" w:noHBand="0" w:noVBand="1"/>
      </w:tblPr>
      <w:tblGrid>
        <w:gridCol w:w="625"/>
        <w:gridCol w:w="630"/>
        <w:gridCol w:w="1080"/>
        <w:gridCol w:w="7015"/>
      </w:tblGrid>
      <w:tr w:rsidR="004F2139" w:rsidTr="00CB1E6A">
        <w:tc>
          <w:tcPr>
            <w:tcW w:w="625" w:type="dxa"/>
            <w:shd w:val="clear" w:color="auto" w:fill="E7E6E6" w:themeFill="background2"/>
          </w:tcPr>
          <w:p w:rsidR="004F2139" w:rsidRDefault="004F2139" w:rsidP="00CB1E6A">
            <w:r>
              <w:t>No.</w:t>
            </w:r>
          </w:p>
        </w:tc>
        <w:tc>
          <w:tcPr>
            <w:tcW w:w="630" w:type="dxa"/>
            <w:shd w:val="clear" w:color="auto" w:fill="E7E6E6" w:themeFill="background2"/>
          </w:tcPr>
          <w:p w:rsidR="004F2139" w:rsidRDefault="004F2139" w:rsidP="00CB1E6A">
            <w:r>
              <w:t>2</w:t>
            </w:r>
          </w:p>
        </w:tc>
        <w:tc>
          <w:tcPr>
            <w:tcW w:w="1080" w:type="dxa"/>
            <w:shd w:val="clear" w:color="auto" w:fill="E7E6E6" w:themeFill="background2"/>
          </w:tcPr>
          <w:p w:rsidR="004F2139" w:rsidRDefault="004F2139" w:rsidP="00CB1E6A">
            <w:r>
              <w:t>From</w:t>
            </w:r>
          </w:p>
        </w:tc>
        <w:tc>
          <w:tcPr>
            <w:tcW w:w="7015" w:type="dxa"/>
            <w:shd w:val="clear" w:color="auto" w:fill="E7E6E6" w:themeFill="background2"/>
          </w:tcPr>
          <w:p w:rsidR="004F2139" w:rsidRDefault="00DC0BB7" w:rsidP="00CB1E6A">
            <w:r>
              <w:t>Liang Hai</w:t>
            </w:r>
            <w:r w:rsidR="004F2139" w:rsidRPr="004F2139">
              <w:t xml:space="preserve"> </w:t>
            </w:r>
            <w:r w:rsidR="004F2139">
              <w:t>(</w:t>
            </w:r>
            <w:r>
              <w:t>LH</w:t>
            </w:r>
            <w:r w:rsidR="004F2139">
              <w:t>)</w:t>
            </w:r>
          </w:p>
        </w:tc>
      </w:tr>
      <w:tr w:rsidR="004F2139" w:rsidTr="00CB1E6A">
        <w:tc>
          <w:tcPr>
            <w:tcW w:w="1255" w:type="dxa"/>
            <w:gridSpan w:val="2"/>
            <w:shd w:val="clear" w:color="auto" w:fill="auto"/>
          </w:tcPr>
          <w:p w:rsidR="004F2139" w:rsidRDefault="004F2139" w:rsidP="00CB1E6A">
            <w:r>
              <w:t>Comment</w:t>
            </w:r>
          </w:p>
        </w:tc>
        <w:tc>
          <w:tcPr>
            <w:tcW w:w="8095" w:type="dxa"/>
            <w:gridSpan w:val="2"/>
            <w:shd w:val="clear" w:color="auto" w:fill="auto"/>
          </w:tcPr>
          <w:p w:rsidR="00DC0BB7" w:rsidRPr="00DC0BB7" w:rsidRDefault="00DC0BB7" w:rsidP="00DC0BB7">
            <w:pPr>
              <w:spacing w:after="120"/>
            </w:pPr>
            <w:r w:rsidRPr="00DC0BB7">
              <w:rPr>
                <w:b/>
                <w:bCs/>
              </w:rPr>
              <w:t xml:space="preserve">LH </w:t>
            </w:r>
            <w:r w:rsidRPr="00DC0BB7">
              <w:t>raises no objection to the the solution on ‘</w:t>
            </w:r>
            <w:proofErr w:type="spellStart"/>
            <w:r w:rsidRPr="00DC0BB7">
              <w:t>nta</w:t>
            </w:r>
            <w:proofErr w:type="spellEnd"/>
            <w:r w:rsidRPr="00DC0BB7">
              <w:t>’ and provides following detailed feedback.</w:t>
            </w:r>
            <w:r w:rsidRPr="00DC0BB7">
              <w:br/>
            </w:r>
            <w:r w:rsidRPr="00DC0BB7">
              <w:br/>
            </w:r>
            <w:r w:rsidRPr="00DC0BB7">
              <w:rPr>
                <w:b/>
                <w:bCs/>
              </w:rPr>
              <w:t xml:space="preserve">LH1 </w:t>
            </w:r>
            <w:r w:rsidRPr="00DC0BB7">
              <w:t>notes that the case of ‘</w:t>
            </w:r>
            <w:proofErr w:type="spellStart"/>
            <w:r w:rsidRPr="00DC0BB7">
              <w:t>nta</w:t>
            </w:r>
            <w:proofErr w:type="spellEnd"/>
            <w:r w:rsidRPr="00DC0BB7">
              <w:t xml:space="preserve">’ and Tamil LGR two </w:t>
            </w:r>
            <w:proofErr w:type="spellStart"/>
            <w:r w:rsidRPr="00DC0BB7">
              <w:t>srī</w:t>
            </w:r>
            <w:proofErr w:type="spellEnd"/>
            <w:r w:rsidRPr="00DC0BB7">
              <w:t xml:space="preserve"> (&lt;0BB8 SA, 0BCD VIRAMA, 0BB0 RA, 0BC0 VOWEL SIGN II&gt; and &lt;0BB6 SHA, 0BCD VIRAMA, 0BB0 RA, 0BC0 VOWEL SIGN II&gt;) are similar. Therefore, the types of variants should be the same, or more explanation is required if they are different.</w:t>
            </w:r>
            <w:r w:rsidRPr="00DC0BB7">
              <w:br/>
            </w:r>
            <w:r w:rsidRPr="00DC0BB7">
              <w:br/>
            </w:r>
            <w:r w:rsidRPr="00DC0BB7">
              <w:rPr>
                <w:b/>
                <w:bCs/>
              </w:rPr>
              <w:lastRenderedPageBreak/>
              <w:t xml:space="preserve">LH2 </w:t>
            </w:r>
            <w:r w:rsidRPr="00DC0BB7">
              <w:t xml:space="preserve">suggests that, as the updated proposal attempts to correct the inconsistency in how </w:t>
            </w:r>
            <w:proofErr w:type="spellStart"/>
            <w:r w:rsidRPr="00DC0BB7">
              <w:t>nta</w:t>
            </w:r>
            <w:proofErr w:type="spellEnd"/>
            <w:r w:rsidRPr="00DC0BB7">
              <w:t xml:space="preserve"> is treated in the published LGR-3, an itemized change log should be provided. </w:t>
            </w:r>
            <w:r w:rsidRPr="00DC0BB7">
              <w:br/>
            </w:r>
            <w:r w:rsidRPr="00DC0BB7">
              <w:br/>
            </w:r>
            <w:r w:rsidRPr="00DC0BB7">
              <w:rPr>
                <w:b/>
                <w:bCs/>
              </w:rPr>
              <w:t xml:space="preserve">LH3 </w:t>
            </w:r>
            <w:r w:rsidRPr="00DC0BB7">
              <w:t xml:space="preserve">comments that on page 22, table 9, additional glyph for case 1b should be added to explain the failed shaping case. In addition, the second glyph in the 3b row, Glyph cell, should be removed.  </w:t>
            </w:r>
            <w:r w:rsidRPr="00DC0BB7">
              <w:br/>
            </w:r>
            <w:r w:rsidRPr="00DC0BB7">
              <w:br/>
            </w:r>
            <w:r w:rsidRPr="00DC0BB7">
              <w:rPr>
                <w:b/>
                <w:bCs/>
              </w:rPr>
              <w:t xml:space="preserve">LH4 </w:t>
            </w:r>
            <w:r w:rsidRPr="00DC0BB7">
              <w:t>raises</w:t>
            </w:r>
            <w:r w:rsidRPr="00DC0BB7">
              <w:rPr>
                <w:b/>
                <w:bCs/>
              </w:rPr>
              <w:t xml:space="preserve"> </w:t>
            </w:r>
            <w:r w:rsidRPr="00DC0BB7">
              <w:t xml:space="preserve">that using the sentence “Microsoft fonts have encoded </w:t>
            </w:r>
            <w:proofErr w:type="spellStart"/>
            <w:r w:rsidRPr="00DC0BB7">
              <w:t>nta</w:t>
            </w:r>
            <w:proofErr w:type="spellEnd"/>
            <w:r w:rsidRPr="00DC0BB7">
              <w:t xml:space="preserve"> …” might be misleading as Windows’s text shaping engine does not support the sequence. He refers to Section 5 and Table 1 in L2/19-345R2 (</w:t>
            </w:r>
            <w:hyperlink r:id="rId8" w:history="1">
              <w:r w:rsidRPr="00DC0BB7">
                <w:rPr>
                  <w:rStyle w:val="Hyperlink"/>
                </w:rPr>
                <w:t>https://</w:t>
              </w:r>
              <w:proofErr w:type="spellStart"/>
              <w:r w:rsidRPr="00DC0BB7">
                <w:rPr>
                  <w:rStyle w:val="Hyperlink"/>
                </w:rPr>
                <w:t>www.unicode.org</w:t>
              </w:r>
              <w:proofErr w:type="spellEnd"/>
              <w:r w:rsidRPr="00DC0BB7">
                <w:rPr>
                  <w:rStyle w:val="Hyperlink"/>
                </w:rPr>
                <w:t>/L2/L2019/19345r2-malayalam-nta.pdf</w:t>
              </w:r>
            </w:hyperlink>
            <w:r w:rsidRPr="00DC0BB7">
              <w:t>) for more information on a Windows platform behavior.</w:t>
            </w:r>
          </w:p>
          <w:p w:rsidR="004F2139" w:rsidRDefault="004F2139" w:rsidP="003D6EC7">
            <w:pPr>
              <w:spacing w:after="120"/>
            </w:pPr>
          </w:p>
        </w:tc>
      </w:tr>
      <w:tr w:rsidR="004F2139" w:rsidTr="00A470D7">
        <w:trPr>
          <w:trHeight w:val="683"/>
        </w:trPr>
        <w:tc>
          <w:tcPr>
            <w:tcW w:w="1255" w:type="dxa"/>
            <w:gridSpan w:val="2"/>
          </w:tcPr>
          <w:p w:rsidR="004F2139" w:rsidRDefault="004F2139" w:rsidP="00CB1E6A">
            <w:r>
              <w:lastRenderedPageBreak/>
              <w:t>NBGP Analysis</w:t>
            </w:r>
          </w:p>
        </w:tc>
        <w:tc>
          <w:tcPr>
            <w:tcW w:w="8095" w:type="dxa"/>
            <w:gridSpan w:val="2"/>
          </w:tcPr>
          <w:p w:rsidR="006F17BA" w:rsidRDefault="00DC0BB7" w:rsidP="00CB1E6A">
            <w:r>
              <w:t>LH1. The case for ‘</w:t>
            </w:r>
            <w:proofErr w:type="spellStart"/>
            <w:r>
              <w:t>nta</w:t>
            </w:r>
            <w:proofErr w:type="spellEnd"/>
            <w:r>
              <w:t>’ and Tamil Shri are not the same in the term of usage. Therefore, the variant types do not need to be the same.</w:t>
            </w:r>
            <w:r>
              <w:br/>
            </w:r>
          </w:p>
          <w:p w:rsidR="00DC0BB7" w:rsidRPr="00DC0BB7" w:rsidRDefault="00DC0BB7" w:rsidP="00DC0BB7">
            <w:r>
              <w:t xml:space="preserve">LH2. This comment will be addressed by the Integration Panel </w:t>
            </w:r>
            <w:r w:rsidRPr="00DC0BB7">
              <w:t>as part of the Malayalam LGR in RZ-LGR-4 release.</w:t>
            </w:r>
            <w:r>
              <w:br/>
            </w:r>
            <w:bookmarkStart w:id="0" w:name="_GoBack"/>
            <w:bookmarkEnd w:id="0"/>
          </w:p>
          <w:p w:rsidR="00DC0BB7" w:rsidRDefault="00DC0BB7" w:rsidP="00CB1E6A">
            <w:r>
              <w:t>The GP will review and incorporate the suggestion LH3 and LH4.</w:t>
            </w:r>
          </w:p>
          <w:p w:rsidR="00DC0BB7" w:rsidRDefault="00DC0BB7" w:rsidP="00CB1E6A"/>
        </w:tc>
      </w:tr>
      <w:tr w:rsidR="004F2139" w:rsidTr="00A470D7">
        <w:trPr>
          <w:trHeight w:val="980"/>
        </w:trPr>
        <w:tc>
          <w:tcPr>
            <w:tcW w:w="1255" w:type="dxa"/>
            <w:gridSpan w:val="2"/>
          </w:tcPr>
          <w:p w:rsidR="004F2139" w:rsidRDefault="004F2139" w:rsidP="00CB1E6A">
            <w:r>
              <w:t>NBGP Concluded Response</w:t>
            </w:r>
          </w:p>
        </w:tc>
        <w:tc>
          <w:tcPr>
            <w:tcW w:w="8095" w:type="dxa"/>
            <w:gridSpan w:val="2"/>
          </w:tcPr>
          <w:p w:rsidR="006F17BA" w:rsidRDefault="00DC0BB7" w:rsidP="00CB1E6A">
            <w:r>
              <w:t>The proposal will be updated as per suggested in LH3 and LH4.</w:t>
            </w:r>
          </w:p>
          <w:p w:rsidR="006F17BA" w:rsidRDefault="006F17BA" w:rsidP="00CB1E6A"/>
          <w:p w:rsidR="006F17BA" w:rsidRDefault="006F17BA" w:rsidP="00CB1E6A"/>
        </w:tc>
      </w:tr>
    </w:tbl>
    <w:p w:rsidR="006F17BA" w:rsidRDefault="006F17BA" w:rsidP="00DC0BB7"/>
    <w:sectPr w:rsidR="006F17BA" w:rsidSect="00314B8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36F9" w:rsidRDefault="005436F9" w:rsidP="00223FBB">
      <w:r>
        <w:separator/>
      </w:r>
    </w:p>
  </w:endnote>
  <w:endnote w:type="continuationSeparator" w:id="0">
    <w:p w:rsidR="005436F9" w:rsidRDefault="005436F9" w:rsidP="0022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036997"/>
      <w:docPartObj>
        <w:docPartGallery w:val="Page Numbers (Bottom of Page)"/>
        <w:docPartUnique/>
      </w:docPartObj>
    </w:sdtPr>
    <w:sdtEndPr>
      <w:rPr>
        <w:rStyle w:val="PageNumber"/>
      </w:rPr>
    </w:sdtEndPr>
    <w:sdtContent>
      <w:p w:rsidR="00223FBB" w:rsidRDefault="00223FBB" w:rsidP="000A0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3FBB" w:rsidRDefault="00223FBB" w:rsidP="00223F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9395831"/>
      <w:docPartObj>
        <w:docPartGallery w:val="Page Numbers (Bottom of Page)"/>
        <w:docPartUnique/>
      </w:docPartObj>
    </w:sdtPr>
    <w:sdtEndPr>
      <w:rPr>
        <w:rStyle w:val="PageNumber"/>
      </w:rPr>
    </w:sdtEndPr>
    <w:sdtContent>
      <w:p w:rsidR="00223FBB" w:rsidRDefault="00223FBB" w:rsidP="000A0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23FBB" w:rsidRDefault="00223FBB" w:rsidP="00223F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36F9" w:rsidRDefault="005436F9" w:rsidP="00223FBB">
      <w:r>
        <w:separator/>
      </w:r>
    </w:p>
  </w:footnote>
  <w:footnote w:type="continuationSeparator" w:id="0">
    <w:p w:rsidR="005436F9" w:rsidRDefault="005436F9" w:rsidP="00223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44455"/>
    <w:multiLevelType w:val="hybridMultilevel"/>
    <w:tmpl w:val="62E2C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39"/>
    <w:rsid w:val="000870B6"/>
    <w:rsid w:val="000F02B0"/>
    <w:rsid w:val="00140526"/>
    <w:rsid w:val="001D00CD"/>
    <w:rsid w:val="00223FBB"/>
    <w:rsid w:val="002B74ED"/>
    <w:rsid w:val="002D7F45"/>
    <w:rsid w:val="002F7875"/>
    <w:rsid w:val="00314B86"/>
    <w:rsid w:val="0037232C"/>
    <w:rsid w:val="003D6EC7"/>
    <w:rsid w:val="004120A5"/>
    <w:rsid w:val="004F2139"/>
    <w:rsid w:val="005436F9"/>
    <w:rsid w:val="00590576"/>
    <w:rsid w:val="005B0C0F"/>
    <w:rsid w:val="00632552"/>
    <w:rsid w:val="00644BC7"/>
    <w:rsid w:val="006F17BA"/>
    <w:rsid w:val="00757FAA"/>
    <w:rsid w:val="007C11FD"/>
    <w:rsid w:val="0086026C"/>
    <w:rsid w:val="009216E9"/>
    <w:rsid w:val="00A342F9"/>
    <w:rsid w:val="00A470D7"/>
    <w:rsid w:val="00AF0F21"/>
    <w:rsid w:val="00BA65E4"/>
    <w:rsid w:val="00DC0BB7"/>
    <w:rsid w:val="00EA67C3"/>
    <w:rsid w:val="00F31FEC"/>
    <w:rsid w:val="00F37819"/>
    <w:rsid w:val="00FD12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5B14"/>
  <w15:chartTrackingRefBased/>
  <w15:docId w15:val="{C415C4A3-025C-E348-AC1D-F4B371F4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F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F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FBB"/>
    <w:pPr>
      <w:tabs>
        <w:tab w:val="center" w:pos="4680"/>
        <w:tab w:val="right" w:pos="9360"/>
      </w:tabs>
    </w:pPr>
  </w:style>
  <w:style w:type="character" w:customStyle="1" w:styleId="HeaderChar">
    <w:name w:val="Header Char"/>
    <w:basedOn w:val="DefaultParagraphFont"/>
    <w:link w:val="Header"/>
    <w:uiPriority w:val="99"/>
    <w:rsid w:val="00223FBB"/>
  </w:style>
  <w:style w:type="paragraph" w:styleId="Footer">
    <w:name w:val="footer"/>
    <w:basedOn w:val="Normal"/>
    <w:link w:val="FooterChar"/>
    <w:uiPriority w:val="99"/>
    <w:unhideWhenUsed/>
    <w:rsid w:val="00223FBB"/>
    <w:pPr>
      <w:tabs>
        <w:tab w:val="center" w:pos="4680"/>
        <w:tab w:val="right" w:pos="9360"/>
      </w:tabs>
    </w:pPr>
  </w:style>
  <w:style w:type="character" w:customStyle="1" w:styleId="FooterChar">
    <w:name w:val="Footer Char"/>
    <w:basedOn w:val="DefaultParagraphFont"/>
    <w:link w:val="Footer"/>
    <w:uiPriority w:val="99"/>
    <w:rsid w:val="00223FBB"/>
  </w:style>
  <w:style w:type="character" w:styleId="PageNumber">
    <w:name w:val="page number"/>
    <w:basedOn w:val="DefaultParagraphFont"/>
    <w:uiPriority w:val="99"/>
    <w:semiHidden/>
    <w:unhideWhenUsed/>
    <w:rsid w:val="00223FBB"/>
  </w:style>
  <w:style w:type="character" w:customStyle="1" w:styleId="Heading1Char">
    <w:name w:val="Heading 1 Char"/>
    <w:basedOn w:val="DefaultParagraphFont"/>
    <w:link w:val="Heading1"/>
    <w:uiPriority w:val="9"/>
    <w:rsid w:val="00223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FB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7819"/>
    <w:pPr>
      <w:ind w:left="720"/>
      <w:contextualSpacing/>
    </w:pPr>
  </w:style>
  <w:style w:type="paragraph" w:styleId="NormalWeb">
    <w:name w:val="Normal (Web)"/>
    <w:basedOn w:val="Normal"/>
    <w:uiPriority w:val="99"/>
    <w:semiHidden/>
    <w:unhideWhenUsed/>
    <w:rsid w:val="00F37819"/>
    <w:rPr>
      <w:rFonts w:ascii="Times New Roman" w:hAnsi="Times New Roman" w:cs="Times New Roman"/>
    </w:rPr>
  </w:style>
  <w:style w:type="character" w:styleId="Hyperlink">
    <w:name w:val="Hyperlink"/>
    <w:basedOn w:val="DefaultParagraphFont"/>
    <w:uiPriority w:val="99"/>
    <w:unhideWhenUsed/>
    <w:rsid w:val="00DC0BB7"/>
    <w:rPr>
      <w:color w:val="0563C1" w:themeColor="hyperlink"/>
      <w:u w:val="single"/>
    </w:rPr>
  </w:style>
  <w:style w:type="character" w:styleId="UnresolvedMention">
    <w:name w:val="Unresolved Mention"/>
    <w:basedOn w:val="DefaultParagraphFont"/>
    <w:uiPriority w:val="99"/>
    <w:semiHidden/>
    <w:unhideWhenUsed/>
    <w:rsid w:val="00DC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421">
      <w:bodyDiv w:val="1"/>
      <w:marLeft w:val="0"/>
      <w:marRight w:val="0"/>
      <w:marTop w:val="0"/>
      <w:marBottom w:val="0"/>
      <w:divBdr>
        <w:top w:val="none" w:sz="0" w:space="0" w:color="auto"/>
        <w:left w:val="none" w:sz="0" w:space="0" w:color="auto"/>
        <w:bottom w:val="none" w:sz="0" w:space="0" w:color="auto"/>
        <w:right w:val="none" w:sz="0" w:space="0" w:color="auto"/>
      </w:divBdr>
    </w:div>
    <w:div w:id="224874299">
      <w:bodyDiv w:val="1"/>
      <w:marLeft w:val="0"/>
      <w:marRight w:val="0"/>
      <w:marTop w:val="0"/>
      <w:marBottom w:val="0"/>
      <w:divBdr>
        <w:top w:val="none" w:sz="0" w:space="0" w:color="auto"/>
        <w:left w:val="none" w:sz="0" w:space="0" w:color="auto"/>
        <w:bottom w:val="none" w:sz="0" w:space="0" w:color="auto"/>
        <w:right w:val="none" w:sz="0" w:space="0" w:color="auto"/>
      </w:divBdr>
    </w:div>
    <w:div w:id="415058983">
      <w:bodyDiv w:val="1"/>
      <w:marLeft w:val="0"/>
      <w:marRight w:val="0"/>
      <w:marTop w:val="0"/>
      <w:marBottom w:val="0"/>
      <w:divBdr>
        <w:top w:val="none" w:sz="0" w:space="0" w:color="auto"/>
        <w:left w:val="none" w:sz="0" w:space="0" w:color="auto"/>
        <w:bottom w:val="none" w:sz="0" w:space="0" w:color="auto"/>
        <w:right w:val="none" w:sz="0" w:space="0" w:color="auto"/>
      </w:divBdr>
    </w:div>
    <w:div w:id="20822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ode.org/L2/L2019/19345r2-malayalam-n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B700-32B5-314A-9C52-7F5B0F72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3</cp:revision>
  <dcterms:created xsi:type="dcterms:W3CDTF">2020-06-23T06:32:00Z</dcterms:created>
  <dcterms:modified xsi:type="dcterms:W3CDTF">2020-06-23T06:41:00Z</dcterms:modified>
</cp:coreProperties>
</file>