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bidi w:val="0"/>
        <w:spacing w:lineRule="auto" w:line="276" w:before="200" w:after="200"/>
        <w:jc w:val="left"/>
        <w:rPr/>
      </w:pP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 xml:space="preserve">Notes from NPOC </w:t>
      </w: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>Policy</w:t>
      </w: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 xml:space="preserve"> Committee Meeting</w:t>
      </w:r>
    </w:p>
    <w:p>
      <w:pPr>
        <w:pStyle w:val="Subject"/>
        <w:bidi w:val="0"/>
        <w:spacing w:lineRule="auto" w:line="276"/>
        <w:jc w:val="both"/>
        <w:rPr>
          <w:rFonts w:ascii="Cambria" w:hAnsi="Cambria"/>
          <w:color w:val="000000"/>
          <w:sz w:val="24"/>
          <w:szCs w:val="24"/>
          <w:lang w:val="en-US"/>
        </w:rPr>
      </w:pPr>
      <w:r>
        <w:rPr>
          <w:rFonts w:ascii="Cambria" w:hAnsi="Cambria"/>
          <w:color w:val="000000"/>
          <w:sz w:val="24"/>
          <w:szCs w:val="24"/>
          <w:lang w:val="en-US"/>
        </w:rPr>
      </w:r>
    </w:p>
    <w:p>
      <w:pPr>
        <w:pStyle w:val="Body"/>
        <w:spacing w:lineRule="auto" w:line="276"/>
        <w:jc w:val="both"/>
        <w:rPr/>
      </w:pPr>
      <w:bookmarkStart w:id="0" w:name="__DdeLink__4110_2486300650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Present</w:t>
      </w:r>
      <w:bookmarkEnd w:id="0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Dave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Cake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Joan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Kerr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Ioana,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Raoul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Plommer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, 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Ore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Lesi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Maryam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Bakoshi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Patrick Jones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(ICANN)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, Jean-Jacques Sahel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(ICANN)</w:t>
      </w:r>
    </w:p>
    <w:p>
      <w:pPr>
        <w:pStyle w:val="Body"/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Observer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Dean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Marks (IPC)</w:t>
      </w:r>
    </w:p>
    <w:p>
      <w:pPr>
        <w:pStyle w:val="Body"/>
        <w:spacing w:lineRule="auto" w:line="276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SECURITY ISSUES – 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PATRICK JONES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Patrick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Gave background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on how he get involved in ICANN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He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ncourage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d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members to make sure their registrars implement DNSSEC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He recommended the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Wed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nesday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session on best practices in security practices.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It will be a g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reat session for people to attend and learn how to deal with security challenges for NGOs of all sizes.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Jean-Jacques: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The common p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roblems they hear about are people not knowing when to renew or how to renew their domains,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as well as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trademark issues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s important to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learn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what NPOC members are interested in an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d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what their concerns are,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so that ICANN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can organise webinars in response to this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Dave: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In line with plans to do a lot of outreach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bookmarkStart w:id="1" w:name="__DdeLink__3300_387106995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Jean-Jacques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: </w:t>
      </w:r>
      <w:bookmarkEnd w:id="1"/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NPOC members who are attending big events (MosDev, RightsCon, etc) can organise NPOC events to educate people about security issues and what NPOC does.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It’s also a g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ood way to recruit new members.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Recommends reading the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Registrants guide to protecting domain accounts, SSAC 74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Recommends security-related sessions at ICANN64, Tech Day, How it works sessions,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etc</w:t>
      </w:r>
    </w:p>
    <w:p>
      <w:pPr>
        <w:pStyle w:val="Body"/>
        <w:numPr>
          <w:ilvl w:val="0"/>
          <w:numId w:val="0"/>
        </w:numPr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Action Items: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………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..</w:t>
      </w:r>
    </w:p>
    <w:p>
      <w:pPr>
        <w:pStyle w:val="Body"/>
        <w:spacing w:lineRule="auto" w:line="276"/>
        <w:jc w:val="both"/>
        <w:rPr>
          <w:b w:val="false"/>
          <w:b w:val="false"/>
          <w:bCs w:val="false"/>
          <w:color w:val="CE181E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</w:r>
    </w:p>
    <w:p>
      <w:pPr>
        <w:pStyle w:val="Body"/>
        <w:spacing w:lineRule="auto" w:line="276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C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URENT POLICY ISSUES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Joan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Is passionate about capacity-building and having a business card is a basic tool and we could not order the card we had designed. How to proceed with this.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Jean-Jacques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ICANN is l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ooking at how different constituencies can work together to pool resources and maximise impact e.g, NPOC working with different ALAC groups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and in doing so,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highlight security and policy issues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that affect the members.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Patrick: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New strategic plans has areas related to security and would like to know if the objectives are of interest and priory to NPOC members. Read the plan and give feedback.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One way to give feedback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on the new strategic plan by giving it directly at the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session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about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the plan at ICANN64. 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There will also be opportunities to give public comments at some point,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so members should submit their thoughts then.</w:t>
      </w:r>
    </w:p>
    <w:p>
      <w:pPr>
        <w:pStyle w:val="Body"/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Action Items:</w:t>
      </w:r>
    </w:p>
    <w:p>
      <w:pPr>
        <w:pStyle w:val="Body"/>
        <w:numPr>
          <w:ilvl w:val="0"/>
          <w:numId w:val="3"/>
        </w:numPr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outline w:val="false"/>
          <w:color w:val="000000"/>
          <w:spacing w:val="0"/>
          <w:kern w:val="0"/>
          <w:u w:val="none" w:color="FFFFFF"/>
        </w:rPr>
      </w:pP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Maryam: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 Follow-up on ICANN will help to promote the new NPOC websites. </w:t>
      </w:r>
    </w:p>
    <w:p>
      <w:pPr>
        <w:pStyle w:val="Body"/>
        <w:numPr>
          <w:ilvl w:val="0"/>
          <w:numId w:val="3"/>
        </w:numPr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outline w:val="false"/>
          <w:color w:val="000000"/>
          <w:spacing w:val="0"/>
          <w:kern w:val="0"/>
          <w:u w:val="none" w:color="FFFFFF"/>
        </w:rPr>
      </w:pP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Joan: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S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chedule a meeting and periodic meetings subsequently so we can make concrete plans to operationalise our ideas</w:t>
      </w:r>
    </w:p>
    <w:p>
      <w:pPr>
        <w:pStyle w:val="Body"/>
        <w:spacing w:lineRule="auto" w:line="276"/>
        <w:jc w:val="both"/>
        <w:rPr>
          <w:rFonts w:ascii="Cambria" w:hAnsi="Cambria"/>
          <w:color w:val="CE181E"/>
          <w:sz w:val="24"/>
          <w:szCs w:val="24"/>
          <w:lang w:val="en-US"/>
        </w:rPr>
      </w:pPr>
      <w:r>
        <w:rPr>
          <w:b w:val="false"/>
          <w:bCs w:val="false"/>
          <w:i w:val="false"/>
          <w:iCs w:val="false"/>
          <w:outline w:val="false"/>
          <w:spacing w:val="0"/>
          <w:kern w:val="0"/>
          <w:u w:val="none" w:color="FFFFFF"/>
        </w:rPr>
      </w:r>
    </w:p>
    <w:p>
      <w:pPr>
        <w:pStyle w:val="Body"/>
        <w:widowControl/>
        <w:numPr>
          <w:ilvl w:val="0"/>
          <w:numId w:val="0"/>
        </w:numPr>
        <w:suppressAutoHyphens w:val="false"/>
        <w:bidi w:val="0"/>
        <w:spacing w:lineRule="auto" w:line="276" w:before="160" w:after="0"/>
        <w:ind w:left="57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COUNCIL MOTIONS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4"/>
        </w:numPr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Dave: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Went through some work done or motions presented to the Council e.g.</w:t>
      </w:r>
    </w:p>
    <w:p>
      <w:pPr>
        <w:pStyle w:val="Body"/>
        <w:numPr>
          <w:ilvl w:val="1"/>
          <w:numId w:val="4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Privacy policy on proxy </w:t>
      </w:r>
    </w:p>
    <w:p>
      <w:pPr>
        <w:pStyle w:val="Body"/>
        <w:numPr>
          <w:ilvl w:val="1"/>
          <w:numId w:val="4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GNSO Policy Development  Process 3.0</w:t>
      </w:r>
    </w:p>
    <w:p>
      <w:pPr>
        <w:pStyle w:val="Body"/>
        <w:numPr>
          <w:ilvl w:val="1"/>
          <w:numId w:val="4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WHOIS privacy </w:t>
      </w:r>
    </w:p>
    <w:p>
      <w:pPr>
        <w:pStyle w:val="Body"/>
        <w:numPr>
          <w:ilvl w:val="1"/>
          <w:numId w:val="4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EPDP: Dave will give an overview of EPDP (from basics to specifics) on Constituency Day. We can identify then what areas we want to work in.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mbria" w:hAnsi="Cambria"/>
          <w:b/>
          <w:b/>
          <w:bCs/>
          <w:i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</w:pPr>
      <w:r>
        <w:rPr/>
      </w:r>
    </w:p>
    <w:p>
      <w:pPr>
        <w:pStyle w:val="Body"/>
        <w:widowControl/>
        <w:numPr>
          <w:ilvl w:val="0"/>
          <w:numId w:val="0"/>
        </w:numPr>
        <w:suppressAutoHyphens w:val="false"/>
        <w:bidi w:val="0"/>
        <w:spacing w:lineRule="auto" w:line="276" w:before="160" w:after="0"/>
        <w:ind w:left="57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C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APACITY BUILDING PLANNING &amp; STRATEGIC AGENDA:</w:t>
      </w:r>
    </w:p>
    <w:p>
      <w:pPr>
        <w:pStyle w:val="Body"/>
        <w:numPr>
          <w:ilvl w:val="0"/>
          <w:numId w:val="4"/>
        </w:numPr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Dave: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Instead of teaching how to write public comments, we will look at the various policy issues – learning and dis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ecting the issues</w:t>
      </w:r>
    </w:p>
    <w:p>
      <w:pPr>
        <w:pStyle w:val="Body"/>
        <w:numPr>
          <w:ilvl w:val="1"/>
          <w:numId w:val="4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E.g.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Trade Mark Clearing House (TCMH) – Allows some parties to get trademark domain names before the general public,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e.g. i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f you have a registered trademark, but not the domain, you get an alert if someone else tries to register it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.</w:t>
      </w:r>
    </w:p>
    <w:p>
      <w:pPr>
        <w:pStyle w:val="Body"/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Action Items:</w:t>
      </w:r>
    </w:p>
    <w:p>
      <w:pPr>
        <w:pStyle w:val="Body"/>
        <w:numPr>
          <w:ilvl w:val="0"/>
          <w:numId w:val="5"/>
        </w:numPr>
        <w:bidi w:val="0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outline w:val="false"/>
          <w:color w:val="000000"/>
          <w:spacing w:val="0"/>
          <w:kern w:val="0"/>
          <w:u w:val="none" w:color="FFFFFF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At the next meeting, devote time to crafting the survey to get information from membership</w:t>
      </w:r>
    </w:p>
    <w:p>
      <w:pPr>
        <w:pStyle w:val="Body"/>
        <w:bidi w:val="0"/>
        <w:spacing w:lineRule="auto" w:line="276"/>
        <w:jc w:val="both"/>
        <w:rPr>
          <w:rFonts w:ascii="Cambria" w:hAnsi="Cambria"/>
          <w:color w:val="CE181E"/>
          <w:sz w:val="24"/>
          <w:szCs w:val="24"/>
          <w:lang w:val="en-US"/>
        </w:rPr>
      </w:pPr>
      <w:r>
        <w:rPr>
          <w:b w:val="false"/>
          <w:bCs w:val="false"/>
          <w:i w:val="false"/>
          <w:iCs w:val="false"/>
          <w:outline w:val="false"/>
          <w:spacing w:val="0"/>
          <w:kern w:val="0"/>
          <w:u w:val="none" w:color="FFFFFF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mbria" w:hAnsi="Cambria"/>
          <w:b/>
          <w:b/>
          <w:bCs/>
          <w:i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NEXT MEETINGS:</w:t>
      </w:r>
    </w:p>
    <w:p>
      <w:pPr>
        <w:pStyle w:val="Body"/>
        <w:numPr>
          <w:ilvl w:val="0"/>
          <w:numId w:val="6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Policy Committee meeting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will be scheduled (Usual time: 21:00 UTC)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at ???</w:t>
      </w:r>
    </w:p>
    <w:p>
      <w:pPr>
        <w:pStyle w:val="Body"/>
        <w:numPr>
          <w:ilvl w:val="0"/>
          <w:numId w:val="0"/>
        </w:numPr>
        <w:spacing w:lineRule="auto" w:line="276"/>
        <w:ind w:left="48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195" w:top="1598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  <w:tab/>
      <w:tab/>
      <w:t>S</w:t>
    </w:r>
    <w:r>
      <w:rPr/>
      <w:t>un</w:t>
    </w:r>
    <w:r>
      <w:rPr/>
      <w:t xml:space="preserve">day, March </w:t>
    </w:r>
    <w:r>
      <w:rPr/>
      <w:t>10</w:t>
    </w:r>
    <w:r>
      <w:rPr/>
      <w:t>, 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4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szCs w:val="29"/>
        <w:w w:val="100"/>
        <w:emboss w:val="false"/>
        <w:imprint w:val="false"/>
        <w:rFonts w:cs="OpenSymbol"/>
      </w:rPr>
    </w:lvl>
    <w:lvl w:ilvl="1">
      <w:start w:val="1"/>
      <w:numFmt w:val="bullet"/>
      <w:lvlText w:val=""/>
      <w:lvlJc w:val="left"/>
      <w:pPr>
        <w:ind w:left="48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Symbol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OpenSymbol"/>
      </w:rPr>
    </w:lvl>
    <w:lvl w:ilvl="3">
      <w:start w:val="1"/>
      <w:numFmt w:val="bullet"/>
      <w:lvlText w:val=""/>
      <w:lvlJc w:val="left"/>
      <w:pPr>
        <w:ind w:left="96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Symbol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OpenSymbol"/>
      </w:rPr>
    </w:lvl>
    <w:lvl w:ilvl="5">
      <w:start w:val="1"/>
      <w:numFmt w:val="bullet"/>
      <w:lvlText w:val=""/>
      <w:lvlJc w:val="left"/>
      <w:pPr>
        <w:ind w:left="144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Symbol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OpenSymbol"/>
      </w:rPr>
    </w:lvl>
    <w:lvl w:ilvl="7">
      <w:start w:val="1"/>
      <w:numFmt w:val="bullet"/>
      <w:lvlText w:val=""/>
      <w:lvlJc w:val="left"/>
      <w:pPr>
        <w:ind w:left="192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Symbol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4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8">
    <w:name w:val="ListLabel 28"/>
    <w:qFormat/>
    <w:rPr>
      <w:rFonts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9">
    <w:name w:val="ListLabel 2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0">
    <w:name w:val="ListLabel 3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1">
    <w:name w:val="ListLabel 3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2">
    <w:name w:val="ListLabel 3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3">
    <w:name w:val="ListLabel 3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4">
    <w:name w:val="ListLabel 3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5">
    <w:name w:val="ListLabel 3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6">
    <w:name w:val="ListLabel 3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7">
    <w:name w:val="ListLabel 37"/>
    <w:qFormat/>
    <w:rPr>
      <w:lang w:val="en-US"/>
    </w:rPr>
  </w:style>
  <w:style w:type="character" w:styleId="ListLabel38">
    <w:name w:val="ListLabel 38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9">
    <w:name w:val="ListLabel 3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0">
    <w:name w:val="ListLabel 4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1">
    <w:name w:val="ListLabel 4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2">
    <w:name w:val="ListLabel 4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3">
    <w:name w:val="ListLabel 4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4">
    <w:name w:val="ListLabel 4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5">
    <w:name w:val="ListLabel 4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6">
    <w:name w:val="ListLabel 4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7">
    <w:name w:val="ListLabel 47"/>
    <w:qFormat/>
    <w:rPr>
      <w:lang w:val="en-US"/>
    </w:rPr>
  </w:style>
  <w:style w:type="character" w:styleId="ListLabel48">
    <w:name w:val="ListLabel 48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9">
    <w:name w:val="ListLabel 4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0">
    <w:name w:val="ListLabel 5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1">
    <w:name w:val="ListLabel 5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2">
    <w:name w:val="ListLabel 5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3">
    <w:name w:val="ListLabel 5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4">
    <w:name w:val="ListLabel 5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5">
    <w:name w:val="ListLabel 5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6">
    <w:name w:val="ListLabel 5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7">
    <w:name w:val="ListLabel 57"/>
    <w:qFormat/>
    <w:rPr>
      <w:b w:val="false"/>
      <w:bCs w:val="false"/>
      <w:lang w:val="en-US"/>
    </w:rPr>
  </w:style>
  <w:style w:type="character" w:styleId="ListLabel58">
    <w:name w:val="ListLabel 58"/>
    <w:qFormat/>
    <w:rPr>
      <w:b w:val="false"/>
      <w:bCs w:val="false"/>
      <w:lang w:val="en-US"/>
    </w:rPr>
  </w:style>
  <w:style w:type="character" w:styleId="ListLabel59">
    <w:name w:val="ListLabel 59"/>
    <w:qFormat/>
    <w:rPr>
      <w:b w:val="false"/>
      <w:bCs w:val="false"/>
      <w:color w:val="CE181E"/>
      <w:lang w:val="en-US"/>
    </w:rPr>
  </w:style>
  <w:style w:type="character" w:styleId="ListLabel60">
    <w:name w:val="ListLabel 60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1">
    <w:name w:val="ListLabel 6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2">
    <w:name w:val="ListLabel 6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3">
    <w:name w:val="ListLabel 6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4">
    <w:name w:val="ListLabel 6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5">
    <w:name w:val="ListLabel 6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6">
    <w:name w:val="ListLabel 6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7">
    <w:name w:val="ListLabel 6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8">
    <w:name w:val="ListLabel 6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9">
    <w:name w:val="ListLabel 69"/>
    <w:qFormat/>
    <w:rPr>
      <w:color w:val="CE181E"/>
      <w:lang w:val="en-US"/>
    </w:rPr>
  </w:style>
  <w:style w:type="character" w:styleId="ListLabel70">
    <w:name w:val="ListLabel 70"/>
    <w:qFormat/>
    <w:rPr>
      <w:b w:val="false"/>
      <w:bCs w:val="false"/>
      <w:lang w:val="en-US"/>
    </w:rPr>
  </w:style>
  <w:style w:type="character" w:styleId="ListLabel71">
    <w:name w:val="ListLabel 71"/>
    <w:qFormat/>
    <w:rPr>
      <w:b w:val="false"/>
      <w:bCs w:val="false"/>
      <w:color w:val="CE181E"/>
      <w:lang w:val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2">
    <w:name w:val="ListLabel 72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3">
    <w:name w:val="ListLabel 7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4">
    <w:name w:val="ListLabel 7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5">
    <w:name w:val="ListLabel 7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6">
    <w:name w:val="ListLabel 7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7">
    <w:name w:val="ListLabel 7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8">
    <w:name w:val="ListLabel 7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9">
    <w:name w:val="ListLabel 7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0">
    <w:name w:val="ListLabel 8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1">
    <w:name w:val="ListLabel 81"/>
    <w:qFormat/>
    <w:rPr>
      <w:rFonts w:cs="OpenSymbol"/>
      <w:b w:val="false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color w:val="CE181E"/>
      <w:lang w:val="en-US"/>
    </w:rPr>
  </w:style>
  <w:style w:type="character" w:styleId="ListLabel100">
    <w:name w:val="ListLabel 100"/>
    <w:qFormat/>
    <w:rPr>
      <w:b w:val="false"/>
      <w:bCs w:val="false"/>
      <w:lang w:val="en-US"/>
    </w:rPr>
  </w:style>
  <w:style w:type="character" w:styleId="ListLabel101">
    <w:name w:val="ListLabel 101"/>
    <w:qFormat/>
    <w:rPr>
      <w:b w:val="false"/>
      <w:bCs w:val="false"/>
      <w:color w:val="CE181E"/>
      <w:lang w:val="en-US"/>
    </w:rPr>
  </w:style>
  <w:style w:type="character" w:styleId="ListLabel102">
    <w:name w:val="ListLabel 102"/>
    <w:qFormat/>
    <w:rPr>
      <w:rFonts w:ascii="Cambria" w:hAnsi="Cambria"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03">
    <w:name w:val="ListLabel 10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4">
    <w:name w:val="ListLabel 10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5">
    <w:name w:val="ListLabel 10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6">
    <w:name w:val="ListLabel 10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7">
    <w:name w:val="ListLabel 10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8">
    <w:name w:val="ListLabel 10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9">
    <w:name w:val="ListLabel 10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0">
    <w:name w:val="ListLabel 11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1">
    <w:name w:val="ListLabel 111"/>
    <w:qFormat/>
    <w:rPr>
      <w:rFonts w:cs="OpenSymbol"/>
      <w:b w:val="false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Cambria" w:hAnsi="Cambria"/>
      <w:color w:val="000000"/>
      <w:sz w:val="24"/>
      <w:szCs w:val="24"/>
      <w:lang w:val="en-US"/>
    </w:rPr>
  </w:style>
  <w:style w:type="character" w:styleId="ListLabel121">
    <w:name w:val="ListLabel 121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122">
    <w:name w:val="ListLabel 122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23">
    <w:name w:val="ListLabel 12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4">
    <w:name w:val="ListLabel 12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5">
    <w:name w:val="ListLabel 12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6">
    <w:name w:val="ListLabel 12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7">
    <w:name w:val="ListLabel 12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8">
    <w:name w:val="ListLabel 12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9">
    <w:name w:val="ListLabel 12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0">
    <w:name w:val="ListLabel 13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1">
    <w:name w:val="ListLabel 131"/>
    <w:qFormat/>
    <w:rPr>
      <w:rFonts w:cs="OpenSymbol"/>
      <w:b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41">
    <w:name w:val="ListLabel 14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2">
    <w:name w:val="ListLabel 14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3">
    <w:name w:val="ListLabel 14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4">
    <w:name w:val="ListLabel 14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5">
    <w:name w:val="ListLabel 14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6">
    <w:name w:val="ListLabel 14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7">
    <w:name w:val="ListLabel 14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8">
    <w:name w:val="ListLabel 14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9">
    <w:name w:val="ListLabel 149"/>
    <w:qFormat/>
    <w:rPr>
      <w:rFonts w:ascii="Cambria" w:hAnsi="Cambria" w:cs="OpenSymbol"/>
      <w:b/>
      <w:sz w:val="24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GB" w:eastAsia="zh-CN" w:bidi="hi-IN"/>
    </w:rPr>
  </w:style>
  <w:style w:type="paragraph" w:styleId="Title">
    <w:name w:val="Title"/>
    <w:basedOn w:val="Normal"/>
    <w:next w:val="Body2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200" w:after="200"/>
      <w:ind w:left="0" w:right="0" w:hanging="0"/>
      <w:jc w:val="left"/>
      <w:outlineLvl w:val="1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434343"/>
      <w:spacing w:val="0"/>
      <w:kern w:val="0"/>
      <w:position w:val="0"/>
      <w:sz w:val="36"/>
      <w:sz w:val="36"/>
      <w:szCs w:val="36"/>
      <w:u w:val="none" w:color="FFFFFF"/>
      <w:vertAlign w:val="baseline"/>
      <w:lang w:val="en-US"/>
    </w:rPr>
  </w:style>
  <w:style w:type="paragraph" w:styleId="Body2">
    <w:name w:val="Body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n-US" w:eastAsia="zh-CN" w:bidi="hi-IN"/>
    </w:rPr>
  </w:style>
  <w:style w:type="paragraph" w:styleId="Subject">
    <w:name w:val="Subject"/>
    <w:next w:val="Body"/>
    <w:qFormat/>
    <w:pPr>
      <w:keepNext w:val="true"/>
      <w:keepLines w:val="false"/>
      <w:pageBreakBefore w:val="false"/>
      <w:widowControl/>
      <w:pBdr>
        <w:top w:val="single" w:sz="4" w:space="0" w:color="515151"/>
      </w:pBdr>
      <w:shd w:val="clear" w:color="auto" w:fill="auto"/>
      <w:suppressAutoHyphens w:val="false"/>
      <w:bidi w:val="0"/>
      <w:spacing w:lineRule="auto" w:line="288" w:before="360" w:after="40"/>
      <w:ind w:left="0" w:right="0" w:hanging="0"/>
      <w:jc w:val="left"/>
      <w:outlineLvl w:val="2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5"/>
      <w:w w:val="100"/>
      <w:kern w:val="0"/>
      <w:position w:val="0"/>
      <w:sz w:val="28"/>
      <w:sz w:val="28"/>
      <w:szCs w:val="28"/>
      <w:u w:val="none" w:color="FFFFFF"/>
      <w:vertAlign w:val="baseline"/>
      <w:lang w:val="en-US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16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Calibri" w:hAnsi="Calibri" w:eastAsia="Arial Unicode MS" w:cs="Times New Roman"/>
      <w:color w:val="000000"/>
      <w:kern w:val="0"/>
      <w:sz w:val="24"/>
      <w:szCs w:val="20"/>
      <w:lang w:val="en-GB" w:eastAsia="zh-CN" w:bidi="hi-IN"/>
    </w:rPr>
  </w:style>
  <w:style w:type="numbering" w:styleId="NoList" w:default="1">
    <w:name w:val="No List"/>
    <w:qFormat/>
  </w:style>
  <w:style w:type="numbering" w:styleId="NoteTaking">
    <w:name w:val="Note Taking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669</TotalTime>
  <Application>LibreOffice/6.1.2.1$MacOSX_X86_64 LibreOffice_project/65905a128db06ba48db947242809d14d3f9a93fe</Application>
  <Pages>3</Pages>
  <Words>563</Words>
  <Characters>2756</Characters>
  <CharactersWithSpaces>3264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2018-09-18T17:07:00Z</dcterms:created>
  <dc:creator>Maryam Bakoshi</dc:creator>
  <dc:description/>
  <dc:language>en-GB</dc:language>
  <cp:lastModifiedBy/>
  <dcterms:modified xsi:type="dcterms:W3CDTF">2019-03-10T16:14:04Z</dcterms:modified>
  <cp:revision>91</cp:revision>
  <dc:subject/>
  <dc:title/>
</cp:coreProperties>
</file>