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44B" w:rsidRDefault="00C66F9C">
      <w:pPr>
        <w:pStyle w:val="Body"/>
        <w:widowControl w:val="0"/>
        <w:spacing w:after="240" w:line="240" w:lineRule="auto"/>
        <w:outlineLvl w:val="0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-231775</wp:posOffset>
                </wp:positionV>
                <wp:extent cx="6010275" cy="1014095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14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644B" w:rsidRDefault="00C66F9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 xml:space="preserve">Subgroup 4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>Consumer Trust</w:t>
                            </w:r>
                          </w:p>
                          <w:p w:rsidR="0024644B" w:rsidRDefault="00C66F9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>Work Statement &amp; Work Plan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.0pt;margin-top:-18.2pt;width:473.2pt;height:79.8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</w:rPr>
                      </w:pPr>
                      <w:r>
                        <w:rPr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  <w:lang w:val="en-US"/>
                        </w:rPr>
                        <w:t xml:space="preserve">Subgroup 4 </w:t>
                      </w:r>
                      <w:r>
                        <w:rPr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  <w:lang w:val="en-US"/>
                        </w:rPr>
                        <w:t>Consumer Trust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</w:rPr>
                      </w:pPr>
                      <w:r>
                        <w:rPr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  <w:lang w:val="en-US"/>
                        </w:rPr>
                        <w:t>Work Statement &amp; Work Plan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kern w:val="36"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-75211</wp:posOffset>
                </wp:positionH>
                <wp:positionV relativeFrom="line">
                  <wp:posOffset>-225495</wp:posOffset>
                </wp:positionV>
                <wp:extent cx="6703412" cy="113848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412" cy="1138484"/>
                        </a:xfrm>
                        <a:prstGeom prst="rect">
                          <a:avLst/>
                        </a:prstGeom>
                        <a:solidFill>
                          <a:srgbClr val="0A325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.9pt;margin-top:-17.8pt;width:527.8pt;height:89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A325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4644B" w:rsidRDefault="0024644B">
      <w:pPr>
        <w:pStyle w:val="Body"/>
        <w:widowControl w:val="0"/>
        <w:spacing w:after="240" w:line="240" w:lineRule="auto"/>
        <w:outlineLvl w:val="0"/>
        <w:rPr>
          <w:kern w:val="36"/>
          <w:sz w:val="24"/>
          <w:szCs w:val="24"/>
        </w:rPr>
      </w:pPr>
    </w:p>
    <w:p w:rsidR="0024644B" w:rsidRDefault="0024644B">
      <w:pPr>
        <w:pStyle w:val="Body"/>
        <w:widowControl w:val="0"/>
        <w:spacing w:after="240" w:line="240" w:lineRule="auto"/>
        <w:outlineLvl w:val="0"/>
        <w:rPr>
          <w:kern w:val="36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24644B">
        <w:trPr>
          <w:trHeight w:val="33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color w:val="FFFFFF"/>
                <w:sz w:val="28"/>
                <w:szCs w:val="28"/>
                <w:u w:color="FFFFFF"/>
              </w:rPr>
              <w:t>Work Force Identification</w:t>
            </w:r>
          </w:p>
        </w:tc>
      </w:tr>
      <w:tr w:rsidR="0024644B">
        <w:trPr>
          <w:trHeight w:val="18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Dmitry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Belyavsky</w:t>
            </w:r>
            <w:proofErr w:type="spellEnd"/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Erika Mann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Stephanie Perrin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Susan Kawaguchi</w:t>
            </w:r>
          </w:p>
        </w:tc>
      </w:tr>
      <w:tr w:rsidR="0024644B">
        <w:trPr>
          <w:trHeight w:val="29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Rapporteur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Erika Mann</w:t>
            </w:r>
          </w:p>
        </w:tc>
      </w:tr>
      <w:tr w:rsidR="0024644B">
        <w:trPr>
          <w:trHeight w:val="318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Scope Objectives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Consistent with ICANN’s mission and </w:t>
            </w:r>
            <w:hyperlink r:id="rId8" w:history="1">
              <w:r>
                <w:rPr>
                  <w:rStyle w:val="Hyperlink0"/>
                  <w:sz w:val="24"/>
                  <w:szCs w:val="24"/>
                </w:rPr>
                <w:t>Bylaws</w:t>
              </w:r>
            </w:hyperlink>
            <w:r>
              <w:rPr>
                <w:b/>
                <w:bCs/>
                <w:sz w:val="24"/>
                <w:szCs w:val="24"/>
              </w:rPr>
              <w:t>, Section 4.6(e)(ii), the review team will assess the extent to which the implementation of today’</w:t>
            </w:r>
            <w:r>
              <w:rPr>
                <w:b/>
                <w:bCs/>
                <w:sz w:val="24"/>
                <w:szCs w:val="24"/>
              </w:rPr>
              <w:t xml:space="preserve">s </w:t>
            </w:r>
            <w:proofErr w:type="spellStart"/>
            <w:r>
              <w:rPr>
                <w:b/>
                <w:bCs/>
                <w:sz w:val="24"/>
                <w:szCs w:val="24"/>
              </w:rPr>
              <w:t>WHOIS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(the current </w:t>
            </w:r>
            <w:proofErr w:type="spellStart"/>
            <w:r>
              <w:rPr>
                <w:b/>
                <w:bCs/>
                <w:sz w:val="24"/>
                <w:szCs w:val="24"/>
              </w:rPr>
              <w:t>gTLD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RDS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promotes consumer trust in </w:t>
            </w:r>
            <w:proofErr w:type="spellStart"/>
            <w:r>
              <w:rPr>
                <w:b/>
                <w:bCs/>
                <w:sz w:val="24"/>
                <w:szCs w:val="24"/>
              </w:rPr>
              <w:t>gTLD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domain names by (a) agreeing upon a working definition of “consumer” and “consumer trust” used in this review, (b) identifying the approach used to determine the extent to which consumer trust </w:t>
            </w:r>
            <w:r>
              <w:rPr>
                <w:b/>
                <w:bCs/>
                <w:sz w:val="24"/>
                <w:szCs w:val="24"/>
              </w:rPr>
              <w:t>needs are met, (c) identifying high-priority gaps (if any) in meeting those needs, and (d) recommending specific measureable steps (if any) the team believes are important to fill gaps.</w:t>
            </w:r>
          </w:p>
        </w:tc>
      </w:tr>
      <w:tr w:rsidR="0024644B">
        <w:trPr>
          <w:trHeight w:val="137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Comments on Scope, further details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widowControl w:val="0"/>
              <w:spacing w:after="240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Quick check whether scope needs to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be extended since we’re at the end of the current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cycle.</w:t>
            </w:r>
          </w:p>
          <w:p w:rsidR="0024644B" w:rsidRDefault="00C66F9C">
            <w:pPr>
              <w:widowControl w:val="0"/>
              <w:spacing w:after="240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Check whether the term ‘trustworthiness’ remains the prime option in determining consumer trust in the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environment. </w:t>
            </w:r>
          </w:p>
        </w:tc>
      </w:tr>
      <w:tr w:rsidR="0024644B">
        <w:trPr>
          <w:trHeight w:val="813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Questions we will need to answer in assessing whether the objective </w:t>
            </w:r>
            <w:r>
              <w:rPr>
                <w:b/>
                <w:bCs/>
                <w:sz w:val="24"/>
                <w:szCs w:val="24"/>
              </w:rPr>
              <w:t>has been reached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Is the term ‘trustworthiness’ the best and only option in determining consumer trust in the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environment as mentioned in the relevant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WHOIS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report(s).</w:t>
            </w:r>
          </w:p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Is the increase in alternative identities (for example FB) an indication that the cu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rrent use of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is not sufficiently advocating consumer trust? </w:t>
            </w:r>
          </w:p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Is the relatively slow uptake of new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an indication that consumer trust is a less relevant term for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users.</w:t>
            </w:r>
            <w:proofErr w:type="gramEnd"/>
          </w:p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 key high priority gap in understanding the consumer trust environment is ap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parently the lack of sufficient data, as mentioned in the various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WHOIS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report(s). Question: Are there new developments that need to be considered. </w:t>
            </w:r>
          </w:p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Is the decline in awareness for some of the legacy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(.info, .org) an indication for changing pattern i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n consumer trust.</w:t>
            </w:r>
          </w:p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Use factor: URL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shorteners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QL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codes play a minor role in finding content online, search apparently dominates. Did this situation continue to be relevant in judging consumer trust pattern in the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environment.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</w:p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Security and transpar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ency play a major role in defining a trustful Internet environment. Did the current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gTLD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WHOIS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system achieve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this.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</w:p>
          <w:p w:rsidR="0024644B" w:rsidRDefault="00C66F9C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Are regulations like the European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GDRP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increasing consumer trust if major information is missing in the publicly available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WHOIS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>.</w:t>
            </w:r>
            <w:proofErr w:type="gramEnd"/>
          </w:p>
        </w:tc>
      </w:tr>
      <w:tr w:rsidR="0024644B">
        <w:trPr>
          <w:trHeight w:val="141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Estimate of comparative complexity of assessment (1=low, 5=high)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widowControl w:val="0"/>
              <w:spacing w:after="240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Level 4 </w:t>
            </w:r>
          </w:p>
        </w:tc>
      </w:tr>
      <w:tr w:rsidR="0024644B">
        <w:trPr>
          <w:trHeight w:val="8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Estimate of comparative work load (1=low, 5=high)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widowControl w:val="0"/>
              <w:spacing w:after="240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Level 3 </w:t>
            </w:r>
          </w:p>
        </w:tc>
      </w:tr>
      <w:tr w:rsidR="0024644B">
        <w:trPr>
          <w:trHeight w:val="8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Estimate of ideal sub-team size (1-5 persons)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widowControl w:val="0"/>
              <w:spacing w:after="240"/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4</w:t>
            </w:r>
          </w:p>
        </w:tc>
      </w:tr>
      <w:tr w:rsidR="0024644B">
        <w:trPr>
          <w:trHeight w:val="57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Work Space URL: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1"/>
                  <w:sz w:val="24"/>
                  <w:szCs w:val="24"/>
                </w:rPr>
                <w:t>https://community.icann.org/pages/viewpage.action?pageId=71604737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24644B">
        <w:trPr>
          <w:trHeight w:val="29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Mailing List: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hyperlink r:id="rId10" w:history="1">
              <w:r>
                <w:rPr>
                  <w:rStyle w:val="Hyperlink1"/>
                  <w:sz w:val="24"/>
                  <w:szCs w:val="24"/>
                </w:rPr>
                <w:t>rds-whois2-consumertrust@icann.org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4644B">
        <w:trPr>
          <w:trHeight w:val="519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Important Background Links: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shd w:val="clear" w:color="auto" w:fill="FFFFFF"/>
              <w:spacing w:before="100" w:after="100"/>
            </w:pPr>
            <w:r>
              <w:rPr>
                <w:color w:val="333333"/>
                <w:sz w:val="24"/>
                <w:szCs w:val="24"/>
                <w:u w:color="333333"/>
              </w:rPr>
              <w:t xml:space="preserve">It may be helpful to start from the list provided on your dedicated Work Space under “Background documents”: </w:t>
            </w:r>
            <w:hyperlink r:id="rId11" w:history="1">
              <w:r>
                <w:rPr>
                  <w:rStyle w:val="Hyperlink1"/>
                </w:rPr>
                <w:t>https://community.icann.org/pages/viewpa</w:t>
              </w:r>
              <w:r>
                <w:rPr>
                  <w:rStyle w:val="Hyperlink1"/>
                </w:rPr>
                <w:t>ge.action?pageId=71604737</w:t>
              </w:r>
            </w:hyperlink>
            <w:r>
              <w:t xml:space="preserve"> </w:t>
            </w:r>
          </w:p>
          <w:p w:rsidR="0024644B" w:rsidRDefault="00C66F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12" w:history="1">
              <w:proofErr w:type="spellStart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WHOIS</w:t>
              </w:r>
              <w:proofErr w:type="spellEnd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 xml:space="preserve"> Review Implementation Reports</w:t>
              </w:r>
            </w:hyperlink>
            <w:r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  <w:t>, including</w:t>
            </w:r>
          </w:p>
          <w:p w:rsidR="0024644B" w:rsidRDefault="00C66F9C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13" w:history="1"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Executive Summary of Implementation Report</w:t>
              </w:r>
            </w:hyperlink>
          </w:p>
          <w:p w:rsidR="0024644B" w:rsidRDefault="00C66F9C">
            <w:pPr>
              <w:pStyle w:val="ListParagraph"/>
              <w:numPr>
                <w:ilvl w:val="1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14" w:history="1"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Detailed implementation Report</w:t>
              </w:r>
            </w:hyperlink>
            <w:r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  <w:t> </w:t>
            </w:r>
          </w:p>
          <w:p w:rsidR="0024644B" w:rsidRDefault="00C66F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15" w:history="1">
              <w:proofErr w:type="spellStart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WHOIS</w:t>
              </w:r>
              <w:proofErr w:type="spellEnd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 xml:space="preserve"> Review Team Final Report</w:t>
              </w:r>
            </w:hyperlink>
            <w:r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  <w:t> (2012)</w:t>
            </w:r>
          </w:p>
          <w:p w:rsidR="0024644B" w:rsidRDefault="00C66F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16" w:history="1">
              <w:proofErr w:type="spellStart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WHOIS</w:t>
              </w:r>
              <w:proofErr w:type="spellEnd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 xml:space="preserve"> Task Force Final Report (2007) [HTML]</w:t>
              </w:r>
            </w:hyperlink>
            <w:r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  <w:t> and </w:t>
            </w:r>
            <w:hyperlink r:id="rId17" w:history="1"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[PDF]</w:t>
              </w:r>
            </w:hyperlink>
          </w:p>
          <w:p w:rsidR="0024644B" w:rsidRDefault="00C66F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18" w:history="1">
              <w:proofErr w:type="spellStart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WHOIS</w:t>
              </w:r>
              <w:proofErr w:type="spellEnd"/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 xml:space="preserve"> Task Force Final Report</w:t>
              </w:r>
            </w:hyperlink>
            <w:r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  <w:t> (2003)</w:t>
            </w:r>
          </w:p>
          <w:p w:rsidR="0024644B" w:rsidRDefault="00C66F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19" w:history="1"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WHOIS1 Implementation Briefings on Recommendations 4, 12, 13, 14</w:t>
              </w:r>
            </w:hyperlink>
          </w:p>
          <w:p w:rsidR="0024644B" w:rsidRDefault="00C66F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after="100"/>
              <w:rPr>
                <w:rFonts w:ascii="Calibri" w:eastAsia="Calibri" w:hAnsi="Calibri" w:cs="Calibri"/>
                <w:color w:val="333333"/>
                <w:sz w:val="24"/>
                <w:szCs w:val="24"/>
                <w:u w:color="333333"/>
              </w:rPr>
            </w:pPr>
            <w:hyperlink r:id="rId20" w:history="1">
              <w:r>
                <w:rPr>
                  <w:rStyle w:val="Hyperlink2"/>
                  <w:rFonts w:ascii="Calibri" w:eastAsia="Calibri" w:hAnsi="Calibri" w:cs="Calibri"/>
                  <w:sz w:val="24"/>
                  <w:szCs w:val="24"/>
                </w:rPr>
                <w:t>WHOIS1 Implementation Briefings on Recommendations 5, 8, 10, 11</w:t>
              </w:r>
            </w:hyperlink>
          </w:p>
          <w:p w:rsidR="0024644B" w:rsidRDefault="00C66F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after="100"/>
              <w:rPr>
                <w:rFonts w:ascii="Arial" w:eastAsia="Arial" w:hAnsi="Arial" w:cs="Arial"/>
                <w:color w:val="333333"/>
                <w:sz w:val="24"/>
                <w:szCs w:val="24"/>
                <w:u w:color="333333"/>
              </w:rPr>
            </w:pPr>
            <w:hyperlink r:id="rId21" w:history="1">
              <w:r>
                <w:rPr>
                  <w:rStyle w:val="Hyperlink3"/>
                </w:rPr>
                <w:t>WHOIS1 Implementation Briefings on Recommendations 1, 2, 3, 6, 7, 9, 15, 16</w:t>
              </w:r>
            </w:hyperlink>
          </w:p>
        </w:tc>
      </w:tr>
    </w:tbl>
    <w:p w:rsidR="0024644B" w:rsidRDefault="0024644B">
      <w:pPr>
        <w:pStyle w:val="Body"/>
        <w:widowControl w:val="0"/>
        <w:spacing w:after="240" w:line="240" w:lineRule="auto"/>
        <w:outlineLvl w:val="0"/>
        <w:rPr>
          <w:kern w:val="36"/>
          <w:sz w:val="24"/>
          <w:szCs w:val="24"/>
        </w:rPr>
      </w:pPr>
    </w:p>
    <w:p w:rsidR="0024644B" w:rsidRDefault="0024644B">
      <w:pPr>
        <w:pStyle w:val="Body"/>
      </w:pPr>
    </w:p>
    <w:p w:rsidR="0024644B" w:rsidRDefault="00C66F9C">
      <w:pPr>
        <w:pStyle w:val="Body"/>
        <w:spacing w:after="0" w:line="240" w:lineRule="auto"/>
      </w:pPr>
      <w:r>
        <w:br w:type="page"/>
      </w:r>
    </w:p>
    <w:p w:rsidR="0024644B" w:rsidRDefault="0024644B">
      <w:pPr>
        <w:pStyle w:val="Body"/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40"/>
      </w:tblGrid>
      <w:tr w:rsidR="0024644B">
        <w:trPr>
          <w:trHeight w:val="33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>Work Force Timeline</w:t>
            </w:r>
          </w:p>
        </w:tc>
      </w:tr>
      <w:tr w:rsidR="0024644B">
        <w:trPr>
          <w:trHeight w:val="737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12 December 2017 - Adopt statement of work and associated work plan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12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December 2017 - Identify briefings / data sources needed. Determine requirements for independent expert(s) and - if necessary - develop Statement of Work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12 January 2018 - Review, analyze and summarize relevant documentation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16 January 2018 - Conduct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investigation of identified objectives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16 January 2018 - Conduct relevant interviews as appropriate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16 January 2018 - Draft summary note of key findings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30 January 2018 - Approve findings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12 February 2018 - Assemble draft recommendations using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designated Review Team template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12 February 2018 - Cross-check draft recommendations with scope and Bylaws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2 March 2018 - Produce subgroup report for subgroup members' approval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9 March 2018 - Adopt &amp; Circulate subgroup report to Review Team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16 March 2018 - Present subgroup report and proposed recommendations to Review Team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6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 30 March 2018 - Incorporate edits suggested by the Review Team, as appropriate</w:t>
            </w:r>
          </w:p>
        </w:tc>
      </w:tr>
    </w:tbl>
    <w:p w:rsidR="0024644B" w:rsidRDefault="0024644B">
      <w:pPr>
        <w:pStyle w:val="Body"/>
        <w:widowControl w:val="0"/>
        <w:spacing w:line="240" w:lineRule="auto"/>
      </w:pPr>
    </w:p>
    <w:p w:rsidR="0024644B" w:rsidRDefault="0024644B">
      <w:pPr>
        <w:pStyle w:val="Body"/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59"/>
        <w:gridCol w:w="7681"/>
      </w:tblGrid>
      <w:tr w:rsidR="0024644B">
        <w:trPr>
          <w:trHeight w:val="33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6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</w:rPr>
              <w:t xml:space="preserve">Resources </w:t>
            </w:r>
          </w:p>
        </w:tc>
      </w:tr>
      <w:tr w:rsidR="0024644B">
        <w:trPr>
          <w:trHeight w:val="57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Requests for ICANN briefings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7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Update about the lack of data as reported in the relevant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reports mentioned above </w:t>
            </w:r>
          </w:p>
        </w:tc>
      </w:tr>
      <w:tr w:rsidR="0024644B">
        <w:trPr>
          <w:trHeight w:val="16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Requests for ICANN materials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8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Short compilation of data to understand current use of new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relation to alternative identities (FB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8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Short compilation of dat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between legacy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understand the acceptance rate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The acceptance rate might be an important factor in valuing consumer trust</w:t>
            </w:r>
          </w:p>
        </w:tc>
      </w:tr>
      <w:tr w:rsidR="0024644B">
        <w:trPr>
          <w:trHeight w:val="81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>Interviews to be conducted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9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ICANN's Global Domains Division </w:t>
            </w:r>
          </w:p>
        </w:tc>
      </w:tr>
      <w:tr w:rsidR="0024644B">
        <w:trPr>
          <w:trHeight w:val="3457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>Need for Independent Expert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10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NOT NEEDED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[Evaluate if independent expert is needed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10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independent expert is needed, subject to budget availability, develop and document</w:t>
            </w:r>
          </w:p>
          <w:p w:rsidR="0024644B" w:rsidRDefault="00C66F9C">
            <w:pPr>
              <w:pStyle w:val="ListParagraph"/>
              <w:widowControl w:val="0"/>
              <w:numPr>
                <w:ilvl w:val="1"/>
                <w:numId w:val="10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Scope of work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br/>
            </w:r>
          </w:p>
          <w:p w:rsidR="0024644B" w:rsidRDefault="00C66F9C">
            <w:pPr>
              <w:pStyle w:val="ListParagraph"/>
              <w:widowControl w:val="0"/>
              <w:numPr>
                <w:ilvl w:val="1"/>
                <w:numId w:val="10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Skills and experience needed </w:t>
            </w:r>
          </w:p>
          <w:p w:rsidR="0024644B" w:rsidRDefault="00C66F9C">
            <w:pPr>
              <w:pStyle w:val="ListParagraph"/>
              <w:widowControl w:val="0"/>
              <w:numPr>
                <w:ilvl w:val="1"/>
                <w:numId w:val="10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Timeline &amp; milestones </w:t>
            </w:r>
          </w:p>
          <w:p w:rsidR="0024644B" w:rsidRDefault="00C66F9C">
            <w:pPr>
              <w:pStyle w:val="ListParagraph"/>
              <w:widowControl w:val="0"/>
              <w:numPr>
                <w:ilvl w:val="1"/>
                <w:numId w:val="10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Deliverables] </w:t>
            </w:r>
          </w:p>
        </w:tc>
      </w:tr>
      <w:tr w:rsidR="0024644B">
        <w:trPr>
          <w:trHeight w:val="221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Body"/>
              <w:widowControl w:val="0"/>
              <w:spacing w:after="24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Other resources (existing outside studies, </w:t>
            </w:r>
            <w:r>
              <w:rPr>
                <w:b/>
                <w:bCs/>
                <w:sz w:val="24"/>
                <w:szCs w:val="24"/>
              </w:rPr>
              <w:t>articles)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4B" w:rsidRDefault="00C66F9C">
            <w:pPr>
              <w:pStyle w:val="ListParagraph"/>
              <w:widowControl w:val="0"/>
              <w:numPr>
                <w:ilvl w:val="0"/>
                <w:numId w:val="11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Short compilation of data to understand current use of new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relation to alternative identities (FB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).This information might be relevant in determining consumer trust in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gTDL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environment.  </w:t>
            </w:r>
          </w:p>
          <w:p w:rsidR="0024644B" w:rsidRDefault="00C66F9C">
            <w:pPr>
              <w:pStyle w:val="ListParagraph"/>
              <w:widowControl w:val="0"/>
              <w:numPr>
                <w:ilvl w:val="0"/>
                <w:numId w:val="11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Short compilation of data between legacy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understand the acceptance rate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gTLDs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The acceptance rate might be an important factor in valuing consumer trust. </w:t>
            </w:r>
          </w:p>
        </w:tc>
      </w:tr>
    </w:tbl>
    <w:p w:rsidR="0024644B" w:rsidRDefault="0024644B">
      <w:pPr>
        <w:pStyle w:val="Body"/>
        <w:widowControl w:val="0"/>
        <w:spacing w:line="240" w:lineRule="auto"/>
      </w:pPr>
    </w:p>
    <w:p w:rsidR="0024644B" w:rsidRDefault="0024644B">
      <w:pPr>
        <w:pStyle w:val="Body"/>
      </w:pPr>
    </w:p>
    <w:sectPr w:rsidR="0024644B">
      <w:headerReference w:type="default" r:id="rId22"/>
      <w:footerReference w:type="default" r:id="rId23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9C" w:rsidRDefault="00C66F9C">
      <w:r>
        <w:separator/>
      </w:r>
    </w:p>
  </w:endnote>
  <w:endnote w:type="continuationSeparator" w:id="0">
    <w:p w:rsidR="00C66F9C" w:rsidRDefault="00C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4B" w:rsidRDefault="002464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9C" w:rsidRDefault="00C66F9C">
      <w:r>
        <w:separator/>
      </w:r>
    </w:p>
  </w:footnote>
  <w:footnote w:type="continuationSeparator" w:id="0">
    <w:p w:rsidR="00C66F9C" w:rsidRDefault="00C6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4B" w:rsidRDefault="0024644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EE"/>
    <w:multiLevelType w:val="hybridMultilevel"/>
    <w:tmpl w:val="BD46D022"/>
    <w:lvl w:ilvl="0" w:tplc="5044B9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88A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83E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21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D2A7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A82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092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056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E1B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AD1DAF"/>
    <w:multiLevelType w:val="hybridMultilevel"/>
    <w:tmpl w:val="DD7439B4"/>
    <w:lvl w:ilvl="0" w:tplc="11C88D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F6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0F0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82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016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41E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E36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C73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ECB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E9508A"/>
    <w:multiLevelType w:val="hybridMultilevel"/>
    <w:tmpl w:val="26F0096E"/>
    <w:lvl w:ilvl="0" w:tplc="249A87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128F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20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A27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500CC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CC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6963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8EAA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8FA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A27824"/>
    <w:multiLevelType w:val="hybridMultilevel"/>
    <w:tmpl w:val="796466AE"/>
    <w:lvl w:ilvl="0" w:tplc="9C362B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0E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269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CB0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64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09C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0D2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228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269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67356A"/>
    <w:multiLevelType w:val="hybridMultilevel"/>
    <w:tmpl w:val="D0CA6188"/>
    <w:lvl w:ilvl="0" w:tplc="18F601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C6E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C22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8AF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28FD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0AB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2A5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E17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645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701647"/>
    <w:multiLevelType w:val="hybridMultilevel"/>
    <w:tmpl w:val="9698C16E"/>
    <w:lvl w:ilvl="0" w:tplc="2D4405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052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07E2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C736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6C8C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CC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A8FC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63E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9F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29F5C7C"/>
    <w:multiLevelType w:val="hybridMultilevel"/>
    <w:tmpl w:val="B6324E18"/>
    <w:lvl w:ilvl="0" w:tplc="5C6C07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67D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CFC9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AD94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E36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C022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2A52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E21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8DDD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C2E1C8F"/>
    <w:multiLevelType w:val="hybridMultilevel"/>
    <w:tmpl w:val="8EDE728E"/>
    <w:lvl w:ilvl="0" w:tplc="43081B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4B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C2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E8E1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CBF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2DC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2C1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8F6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E07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ABB61C5"/>
    <w:multiLevelType w:val="hybridMultilevel"/>
    <w:tmpl w:val="1E2E4132"/>
    <w:lvl w:ilvl="0" w:tplc="98E641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C0D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76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449B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C7C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07A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611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406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664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0C540A"/>
    <w:multiLevelType w:val="hybridMultilevel"/>
    <w:tmpl w:val="A134C7FA"/>
    <w:lvl w:ilvl="0" w:tplc="412231AA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2583C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AE88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C9066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413F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EA5D6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60372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8CDA6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24A9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6"/>
    <w:lvlOverride w:ilvl="0">
      <w:lvl w:ilvl="0" w:tplc="5C6C07E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67D5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BCFC9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3AD94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E36C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DC022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A2A52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DE215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18DDD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44B"/>
    <w:rsid w:val="0024644B"/>
    <w:rsid w:val="00734E55"/>
    <w:rsid w:val="00C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color w:val="3B73AF"/>
      <w:u w:val="single" w:color="3B73AF"/>
      <w:lang w:val="en-US"/>
    </w:rPr>
  </w:style>
  <w:style w:type="character" w:customStyle="1" w:styleId="Hyperlink3">
    <w:name w:val="Hyperlink.3"/>
    <w:basedOn w:val="Link"/>
    <w:rPr>
      <w:rFonts w:ascii="Calibri" w:eastAsia="Calibri" w:hAnsi="Calibri" w:cs="Calibri"/>
      <w:color w:val="3B73AF"/>
      <w:sz w:val="24"/>
      <w:szCs w:val="24"/>
      <w:u w:val="single" w:color="3B73A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color w:val="3B73AF"/>
      <w:u w:val="single" w:color="3B73AF"/>
      <w:lang w:val="en-US"/>
    </w:rPr>
  </w:style>
  <w:style w:type="character" w:customStyle="1" w:styleId="Hyperlink3">
    <w:name w:val="Hyperlink.3"/>
    <w:basedOn w:val="Link"/>
    <w:rPr>
      <w:rFonts w:ascii="Calibri" w:eastAsia="Calibri" w:hAnsi="Calibri" w:cs="Calibri"/>
      <w:color w:val="3B73AF"/>
      <w:sz w:val="24"/>
      <w:szCs w:val="24"/>
      <w:u w:val="single" w:color="3B73A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pages/governance/bylaws-en" TargetMode="External"/><Relationship Id="rId13" Type="http://schemas.openxmlformats.org/officeDocument/2006/relationships/hyperlink" Target="https://community.icann.org/download/attachments/54691767/WHOIS%2520Recs%25201_16%252030Sept2016.pdf" TargetMode="External"/><Relationship Id="rId18" Type="http://schemas.openxmlformats.org/officeDocument/2006/relationships/hyperlink" Target="https://archive.icann.org/en/gnso/whois-tf/report-19feb03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mmunity.icann.org/download/attachments/69279139/WHOIS%2520Briefing%2520-%252003October2017%2520-%2520V2.0.pdf?version=1&amp;modificationDate=1506780907000&amp;api=v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display/WHO/WHOIS+Review+Implementation+Home" TargetMode="External"/><Relationship Id="rId17" Type="http://schemas.openxmlformats.org/officeDocument/2006/relationships/hyperlink" Target="https://community.icann.org/download/attachments/56986695/FINAL%2520TF%2520Report%2520on%2520Whois%2520Summary%2520and%2520Recommendations%2520-%2520EN.pdf?version=1&amp;modificationDate=1458501890000&amp;api=v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nso.icann.org/en/issues/whois-privacy/whois-services-final-tf-report-12mar07.htm" TargetMode="External"/><Relationship Id="rId20" Type="http://schemas.openxmlformats.org/officeDocument/2006/relationships/hyperlink" Target="https://community.icann.org/download/attachments/69279139/WHOIS1%2520Implementation%2520briefings%25205%25208%252010%252011.pdf?version=1&amp;modificationDate=1506504731000&amp;api=v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munity.icann.org/pages/viewpage.action?pageId=7160473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cann.org/en/system/files/files/final-report-11may12-en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ds-whois2-consumertrust@icann.org" TargetMode="External"/><Relationship Id="rId19" Type="http://schemas.openxmlformats.org/officeDocument/2006/relationships/hyperlink" Target="https://community.icann.org/download/attachments/69279139/WHOIS%2520Briefing%2520-%252028September2017%2520-%2520V2.0.pptx?version=1&amp;modificationDate=1506686336000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pages/viewpage.action?pageId=71604737" TargetMode="External"/><Relationship Id="rId14" Type="http://schemas.openxmlformats.org/officeDocument/2006/relationships/hyperlink" Target="https://community.icann.org/download/attachments/54691767/WHOIS%2520Quarterly%2520Summary%252031December2016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Phifer</dc:creator>
  <cp:lastModifiedBy>LP</cp:lastModifiedBy>
  <cp:revision>2</cp:revision>
  <dcterms:created xsi:type="dcterms:W3CDTF">2017-12-11T17:28:00Z</dcterms:created>
  <dcterms:modified xsi:type="dcterms:W3CDTF">2017-12-11T17:28:00Z</dcterms:modified>
</cp:coreProperties>
</file>