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167D" w14:textId="77777777" w:rsidR="00D040F0" w:rsidRPr="006F2CC1" w:rsidRDefault="00D040F0" w:rsidP="00D040F0">
      <w:pPr>
        <w:widowControl w:val="0"/>
        <w:suppressAutoHyphens w:val="0"/>
        <w:autoSpaceDE w:val="0"/>
        <w:autoSpaceDN w:val="0"/>
        <w:adjustRightInd w:val="0"/>
        <w:jc w:val="center"/>
        <w:rPr>
          <w:rFonts w:ascii="Calibri" w:eastAsiaTheme="minorEastAsia" w:hAnsi="Calibri" w:cs="Calibri"/>
          <w:b/>
          <w:kern w:val="0"/>
          <w:sz w:val="32"/>
          <w:szCs w:val="32"/>
          <w:lang w:eastAsia="en-US" w:bidi="ar-SA"/>
        </w:rPr>
      </w:pPr>
      <w:bookmarkStart w:id="0" w:name="_GoBack"/>
      <w:bookmarkEnd w:id="0"/>
      <w:r w:rsidRPr="006F2CC1">
        <w:rPr>
          <w:rFonts w:ascii="Calibri" w:eastAsiaTheme="minorEastAsia" w:hAnsi="Calibri" w:cs="Calibri"/>
          <w:b/>
          <w:kern w:val="0"/>
          <w:sz w:val="32"/>
          <w:szCs w:val="32"/>
          <w:lang w:eastAsia="en-US" w:bidi="ar-SA"/>
        </w:rPr>
        <w:t>WHOIS Policy Review Team Final Report (Draft) – Recommendations</w:t>
      </w:r>
    </w:p>
    <w:p w14:paraId="7EA49A97" w14:textId="77777777" w:rsidR="00D040F0" w:rsidRDefault="00D040F0" w:rsidP="00D040F0">
      <w:pPr>
        <w:widowControl w:val="0"/>
        <w:suppressAutoHyphens w:val="0"/>
        <w:autoSpaceDE w:val="0"/>
        <w:autoSpaceDN w:val="0"/>
        <w:adjustRightInd w:val="0"/>
        <w:rPr>
          <w:rFonts w:ascii="Calibri" w:eastAsiaTheme="minorEastAsia" w:hAnsi="Calibri" w:cs="Calibri"/>
          <w:kern w:val="0"/>
          <w:sz w:val="28"/>
          <w:szCs w:val="28"/>
          <w:lang w:eastAsia="en-US" w:bidi="ar-SA"/>
        </w:rPr>
      </w:pPr>
    </w:p>
    <w:p w14:paraId="424E6F11" w14:textId="5607BF88" w:rsidR="006F2CC1" w:rsidRPr="006F2CC1" w:rsidRDefault="006F2CC1" w:rsidP="00D040F0">
      <w:pPr>
        <w:widowControl w:val="0"/>
        <w:suppressAutoHyphens w:val="0"/>
        <w:autoSpaceDE w:val="0"/>
        <w:autoSpaceDN w:val="0"/>
        <w:adjustRightInd w:val="0"/>
        <w:rPr>
          <w:rFonts w:ascii="Calibri" w:eastAsiaTheme="minorEastAsia" w:hAnsi="Calibri" w:cs="Calibri"/>
          <w:b/>
          <w:kern w:val="0"/>
          <w:u w:val="single"/>
          <w:lang w:eastAsia="en-US" w:bidi="ar-SA"/>
        </w:rPr>
      </w:pPr>
      <w:r w:rsidRPr="006F2CC1">
        <w:rPr>
          <w:rFonts w:ascii="Calibri" w:eastAsiaTheme="minorEastAsia" w:hAnsi="Calibri" w:cs="Calibri"/>
          <w:b/>
          <w:kern w:val="0"/>
          <w:u w:val="single"/>
          <w:lang w:eastAsia="en-US" w:bidi="ar-SA"/>
        </w:rPr>
        <w:t xml:space="preserve">Link to document: </w:t>
      </w:r>
    </w:p>
    <w:p w14:paraId="11AD597B" w14:textId="68CEFC98" w:rsidR="006F2CC1" w:rsidRPr="006F2CC1" w:rsidRDefault="001C1702" w:rsidP="00D040F0">
      <w:pPr>
        <w:widowControl w:val="0"/>
        <w:suppressAutoHyphens w:val="0"/>
        <w:autoSpaceDE w:val="0"/>
        <w:autoSpaceDN w:val="0"/>
        <w:adjustRightInd w:val="0"/>
        <w:rPr>
          <w:rFonts w:ascii="Calibri" w:eastAsiaTheme="minorEastAsia" w:hAnsi="Calibri" w:cs="Calibri"/>
          <w:kern w:val="0"/>
          <w:lang w:eastAsia="en-US" w:bidi="ar-SA"/>
        </w:rPr>
      </w:pPr>
      <w:hyperlink r:id="rId9" w:history="1">
        <w:r w:rsidR="006F2CC1" w:rsidRPr="006F2CC1">
          <w:rPr>
            <w:rStyle w:val="Hyperlink"/>
            <w:rFonts w:ascii="Calibri" w:eastAsiaTheme="minorEastAsia" w:hAnsi="Calibri" w:cs="Calibri"/>
            <w:kern w:val="0"/>
            <w:lang w:eastAsia="en-US" w:bidi="ar-SA"/>
          </w:rPr>
          <w:t>http://www.icann.org/en/reviews/affirmation/whois-rt-draft-final-report-05dec11-en.pdf</w:t>
        </w:r>
      </w:hyperlink>
    </w:p>
    <w:p w14:paraId="5A1A3A52" w14:textId="77777777" w:rsidR="006F2CC1" w:rsidRPr="006F2CC1" w:rsidRDefault="006F2CC1" w:rsidP="00D040F0">
      <w:pPr>
        <w:widowControl w:val="0"/>
        <w:suppressAutoHyphens w:val="0"/>
        <w:autoSpaceDE w:val="0"/>
        <w:autoSpaceDN w:val="0"/>
        <w:adjustRightInd w:val="0"/>
        <w:rPr>
          <w:rFonts w:ascii="Calibri" w:eastAsiaTheme="minorEastAsia" w:hAnsi="Calibri" w:cs="Calibri"/>
          <w:kern w:val="0"/>
          <w:lang w:eastAsia="en-US" w:bidi="ar-SA"/>
        </w:rPr>
      </w:pPr>
    </w:p>
    <w:p w14:paraId="67BD4362" w14:textId="3AC94412" w:rsidR="006F2CC1" w:rsidRPr="006F2CC1" w:rsidRDefault="006F2CC1" w:rsidP="00D040F0">
      <w:pPr>
        <w:widowControl w:val="0"/>
        <w:suppressAutoHyphens w:val="0"/>
        <w:autoSpaceDE w:val="0"/>
        <w:autoSpaceDN w:val="0"/>
        <w:adjustRightInd w:val="0"/>
        <w:rPr>
          <w:rFonts w:ascii="Calibri" w:eastAsiaTheme="minorEastAsia" w:hAnsi="Calibri" w:cs="Calibri"/>
          <w:b/>
          <w:kern w:val="0"/>
          <w:u w:val="single"/>
          <w:lang w:eastAsia="en-US" w:bidi="ar-SA"/>
        </w:rPr>
      </w:pPr>
      <w:r w:rsidRPr="006F2CC1">
        <w:rPr>
          <w:rFonts w:ascii="Calibri" w:eastAsiaTheme="minorEastAsia" w:hAnsi="Calibri" w:cs="Calibri"/>
          <w:b/>
          <w:kern w:val="0"/>
          <w:u w:val="single"/>
          <w:lang w:eastAsia="en-US" w:bidi="ar-SA"/>
        </w:rPr>
        <w:t>Translations:</w:t>
      </w:r>
    </w:p>
    <w:p w14:paraId="62CF0395" w14:textId="1DD335CC" w:rsidR="006F2CC1" w:rsidRPr="006F2CC1" w:rsidRDefault="006F2CC1" w:rsidP="006F2CC1">
      <w:pPr>
        <w:pStyle w:val="ListParagraph"/>
        <w:widowControl w:val="0"/>
        <w:numPr>
          <w:ilvl w:val="0"/>
          <w:numId w:val="5"/>
        </w:numPr>
        <w:suppressAutoHyphens w:val="0"/>
        <w:autoSpaceDE w:val="0"/>
        <w:autoSpaceDN w:val="0"/>
        <w:adjustRightInd w:val="0"/>
        <w:rPr>
          <w:rFonts w:ascii="Calibri" w:eastAsiaTheme="minorEastAsia" w:hAnsi="Calibri" w:cs="Calibri"/>
          <w:kern w:val="0"/>
          <w:lang w:eastAsia="en-US" w:bidi="ar-SA"/>
        </w:rPr>
      </w:pPr>
      <w:r w:rsidRPr="006F2CC1">
        <w:rPr>
          <w:rFonts w:ascii="Calibri" w:eastAsiaTheme="minorEastAsia" w:hAnsi="Calibri" w:cs="Calibri"/>
          <w:kern w:val="0"/>
          <w:lang w:eastAsia="en-US" w:bidi="ar-SA"/>
        </w:rPr>
        <w:t xml:space="preserve">AR: </w:t>
      </w:r>
      <w:hyperlink r:id="rId10" w:history="1">
        <w:r w:rsidRPr="006F2CC1">
          <w:rPr>
            <w:rStyle w:val="Hyperlink"/>
            <w:rFonts w:ascii="Calibri" w:eastAsiaTheme="minorEastAsia" w:hAnsi="Calibri" w:cs="Calibri"/>
            <w:kern w:val="0"/>
            <w:lang w:eastAsia="en-US" w:bidi="ar-SA"/>
          </w:rPr>
          <w:t>http://www.icann.org/ar/reviews/affirmation/whois-rt-draft-final-report-05dec11-ar.pdf</w:t>
        </w:r>
      </w:hyperlink>
      <w:r w:rsidRPr="006F2CC1">
        <w:rPr>
          <w:rFonts w:ascii="Calibri" w:eastAsiaTheme="minorEastAsia" w:hAnsi="Calibri" w:cs="Calibri"/>
          <w:kern w:val="0"/>
          <w:lang w:eastAsia="en-US" w:bidi="ar-SA"/>
        </w:rPr>
        <w:t xml:space="preserve"> </w:t>
      </w:r>
    </w:p>
    <w:p w14:paraId="0AD19204" w14:textId="57DB7404" w:rsidR="006F2CC1" w:rsidRPr="006F2CC1" w:rsidRDefault="006F2CC1" w:rsidP="006F2CC1">
      <w:pPr>
        <w:pStyle w:val="ListParagraph"/>
        <w:widowControl w:val="0"/>
        <w:numPr>
          <w:ilvl w:val="0"/>
          <w:numId w:val="5"/>
        </w:numPr>
        <w:suppressAutoHyphens w:val="0"/>
        <w:autoSpaceDE w:val="0"/>
        <w:autoSpaceDN w:val="0"/>
        <w:adjustRightInd w:val="0"/>
        <w:rPr>
          <w:rFonts w:ascii="Calibri" w:eastAsiaTheme="minorEastAsia" w:hAnsi="Calibri" w:cs="Calibri"/>
          <w:kern w:val="0"/>
          <w:lang w:eastAsia="en-US" w:bidi="ar-SA"/>
        </w:rPr>
      </w:pPr>
      <w:r w:rsidRPr="006F2CC1">
        <w:rPr>
          <w:rFonts w:ascii="Calibri" w:eastAsiaTheme="minorEastAsia" w:hAnsi="Calibri" w:cs="Calibri"/>
          <w:kern w:val="0"/>
          <w:lang w:eastAsia="en-US" w:bidi="ar-SA"/>
        </w:rPr>
        <w:t xml:space="preserve">ES: </w:t>
      </w:r>
      <w:hyperlink r:id="rId11" w:history="1">
        <w:r w:rsidRPr="006F2CC1">
          <w:rPr>
            <w:rStyle w:val="Hyperlink"/>
            <w:rFonts w:ascii="Calibri" w:eastAsiaTheme="minorEastAsia" w:hAnsi="Calibri" w:cs="Calibri"/>
            <w:kern w:val="0"/>
            <w:lang w:eastAsia="en-US" w:bidi="ar-SA"/>
          </w:rPr>
          <w:t>http://www.icann.org/en/news/public-comment/whois-rt-draft-final-report-05dec11-en.htm</w:t>
        </w:r>
      </w:hyperlink>
      <w:r w:rsidRPr="006F2CC1">
        <w:rPr>
          <w:rFonts w:ascii="Calibri" w:eastAsiaTheme="minorEastAsia" w:hAnsi="Calibri" w:cs="Calibri"/>
          <w:kern w:val="0"/>
          <w:lang w:eastAsia="en-US" w:bidi="ar-SA"/>
        </w:rPr>
        <w:t xml:space="preserve"> </w:t>
      </w:r>
    </w:p>
    <w:p w14:paraId="0C1BCBB9" w14:textId="5FFD4E06" w:rsidR="006F2CC1" w:rsidRPr="006F2CC1" w:rsidRDefault="006F2CC1" w:rsidP="006F2CC1">
      <w:pPr>
        <w:pStyle w:val="ListParagraph"/>
        <w:widowControl w:val="0"/>
        <w:numPr>
          <w:ilvl w:val="0"/>
          <w:numId w:val="5"/>
        </w:numPr>
        <w:suppressAutoHyphens w:val="0"/>
        <w:autoSpaceDE w:val="0"/>
        <w:autoSpaceDN w:val="0"/>
        <w:adjustRightInd w:val="0"/>
        <w:rPr>
          <w:rFonts w:ascii="Calibri" w:eastAsiaTheme="minorEastAsia" w:hAnsi="Calibri" w:cs="Calibri"/>
          <w:kern w:val="0"/>
          <w:lang w:eastAsia="en-US" w:bidi="ar-SA"/>
        </w:rPr>
      </w:pPr>
      <w:r w:rsidRPr="006F2CC1">
        <w:rPr>
          <w:rFonts w:ascii="Calibri" w:eastAsiaTheme="minorEastAsia" w:hAnsi="Calibri" w:cs="Calibri"/>
          <w:kern w:val="0"/>
          <w:lang w:eastAsia="en-US" w:bidi="ar-SA"/>
        </w:rPr>
        <w:t xml:space="preserve">FR: </w:t>
      </w:r>
      <w:hyperlink r:id="rId12" w:history="1">
        <w:r w:rsidRPr="006F2CC1">
          <w:rPr>
            <w:rStyle w:val="Hyperlink"/>
            <w:rFonts w:ascii="Calibri" w:eastAsiaTheme="minorEastAsia" w:hAnsi="Calibri" w:cs="Calibri"/>
            <w:kern w:val="0"/>
            <w:lang w:eastAsia="en-US" w:bidi="ar-SA"/>
          </w:rPr>
          <w:t>http://www.icann.org/fr/reviews/affirmation/whois-rt-draft-final-report-05dec11-fr.pdf</w:t>
        </w:r>
      </w:hyperlink>
      <w:r w:rsidRPr="006F2CC1">
        <w:rPr>
          <w:rFonts w:ascii="Calibri" w:eastAsiaTheme="minorEastAsia" w:hAnsi="Calibri" w:cs="Calibri"/>
          <w:kern w:val="0"/>
          <w:lang w:eastAsia="en-US" w:bidi="ar-SA"/>
        </w:rPr>
        <w:t xml:space="preserve"> </w:t>
      </w:r>
    </w:p>
    <w:p w14:paraId="77FF42AB" w14:textId="794A39C6" w:rsidR="006F2CC1" w:rsidRPr="006F2CC1" w:rsidRDefault="006F2CC1" w:rsidP="006F2CC1">
      <w:pPr>
        <w:pStyle w:val="ListParagraph"/>
        <w:widowControl w:val="0"/>
        <w:numPr>
          <w:ilvl w:val="0"/>
          <w:numId w:val="5"/>
        </w:numPr>
        <w:suppressAutoHyphens w:val="0"/>
        <w:autoSpaceDE w:val="0"/>
        <w:autoSpaceDN w:val="0"/>
        <w:adjustRightInd w:val="0"/>
        <w:rPr>
          <w:rFonts w:ascii="Calibri" w:eastAsiaTheme="minorEastAsia" w:hAnsi="Calibri" w:cs="Calibri"/>
          <w:kern w:val="0"/>
          <w:lang w:eastAsia="en-US" w:bidi="ar-SA"/>
        </w:rPr>
      </w:pPr>
      <w:r w:rsidRPr="006F2CC1">
        <w:rPr>
          <w:rFonts w:ascii="Calibri" w:eastAsiaTheme="minorEastAsia" w:hAnsi="Calibri" w:cs="Calibri"/>
          <w:kern w:val="0"/>
          <w:lang w:eastAsia="en-US" w:bidi="ar-SA"/>
        </w:rPr>
        <w:t xml:space="preserve">RU: </w:t>
      </w:r>
      <w:hyperlink r:id="rId13" w:history="1">
        <w:r w:rsidRPr="006F2CC1">
          <w:rPr>
            <w:rStyle w:val="Hyperlink"/>
            <w:rFonts w:ascii="Calibri" w:eastAsiaTheme="minorEastAsia" w:hAnsi="Calibri" w:cs="Calibri"/>
            <w:kern w:val="0"/>
            <w:lang w:eastAsia="en-US" w:bidi="ar-SA"/>
          </w:rPr>
          <w:t>http://www.icann.org/ru/reviews/affirmation/whois-rt-draft-final-report-05dec11-ru.pdf</w:t>
        </w:r>
      </w:hyperlink>
      <w:r w:rsidRPr="006F2CC1">
        <w:rPr>
          <w:rFonts w:ascii="Calibri" w:eastAsiaTheme="minorEastAsia" w:hAnsi="Calibri" w:cs="Calibri"/>
          <w:kern w:val="0"/>
          <w:lang w:eastAsia="en-US" w:bidi="ar-SA"/>
        </w:rPr>
        <w:t xml:space="preserve"> </w:t>
      </w:r>
    </w:p>
    <w:p w14:paraId="1DB2AC24" w14:textId="2EE76818" w:rsidR="006F2CC1" w:rsidRPr="006F2CC1" w:rsidRDefault="006F2CC1" w:rsidP="006F2CC1">
      <w:pPr>
        <w:pStyle w:val="ListParagraph"/>
        <w:widowControl w:val="0"/>
        <w:numPr>
          <w:ilvl w:val="0"/>
          <w:numId w:val="5"/>
        </w:numPr>
        <w:suppressAutoHyphens w:val="0"/>
        <w:autoSpaceDE w:val="0"/>
        <w:autoSpaceDN w:val="0"/>
        <w:adjustRightInd w:val="0"/>
        <w:rPr>
          <w:rFonts w:ascii="Calibri" w:eastAsiaTheme="minorEastAsia" w:hAnsi="Calibri" w:cs="Calibri"/>
          <w:kern w:val="0"/>
          <w:lang w:eastAsia="en-US" w:bidi="ar-SA"/>
        </w:rPr>
      </w:pPr>
      <w:r w:rsidRPr="006F2CC1">
        <w:rPr>
          <w:rFonts w:ascii="Calibri" w:eastAsiaTheme="minorEastAsia" w:hAnsi="Calibri" w:cs="Calibri"/>
          <w:kern w:val="0"/>
          <w:lang w:eastAsia="en-US" w:bidi="ar-SA"/>
        </w:rPr>
        <w:t xml:space="preserve">ZH: </w:t>
      </w:r>
      <w:hyperlink r:id="rId14" w:history="1">
        <w:r w:rsidRPr="006F2CC1">
          <w:rPr>
            <w:rStyle w:val="Hyperlink"/>
            <w:rFonts w:ascii="Calibri" w:eastAsiaTheme="minorEastAsia" w:hAnsi="Calibri" w:cs="Calibri"/>
            <w:kern w:val="0"/>
            <w:lang w:eastAsia="en-US" w:bidi="ar-SA"/>
          </w:rPr>
          <w:t>http://www.icann.org/zh/reviews/affirmation/whois-rt-draft-final-report-05dec11-zh.pdf</w:t>
        </w:r>
      </w:hyperlink>
      <w:r w:rsidRPr="006F2CC1">
        <w:rPr>
          <w:rFonts w:ascii="Calibri" w:eastAsiaTheme="minorEastAsia" w:hAnsi="Calibri" w:cs="Calibri"/>
          <w:kern w:val="0"/>
          <w:lang w:eastAsia="en-US" w:bidi="ar-SA"/>
        </w:rPr>
        <w:t xml:space="preserve"> </w:t>
      </w:r>
    </w:p>
    <w:p w14:paraId="150A2217" w14:textId="77777777" w:rsidR="006F2CC1" w:rsidRDefault="006F2CC1" w:rsidP="00D040F0">
      <w:pPr>
        <w:widowControl w:val="0"/>
        <w:suppressAutoHyphens w:val="0"/>
        <w:autoSpaceDE w:val="0"/>
        <w:autoSpaceDN w:val="0"/>
        <w:adjustRightInd w:val="0"/>
        <w:rPr>
          <w:rFonts w:ascii="Calibri" w:eastAsiaTheme="minorEastAsia" w:hAnsi="Calibri" w:cs="Calibri"/>
          <w:kern w:val="0"/>
          <w:lang w:eastAsia="en-US" w:bidi="ar-SA"/>
        </w:rPr>
      </w:pPr>
    </w:p>
    <w:p w14:paraId="40CA7857" w14:textId="2A9CCF0C" w:rsidR="006F2CC1" w:rsidRPr="006F2CC1" w:rsidRDefault="006F2CC1" w:rsidP="00D040F0">
      <w:pPr>
        <w:widowControl w:val="0"/>
        <w:suppressAutoHyphens w:val="0"/>
        <w:autoSpaceDE w:val="0"/>
        <w:autoSpaceDN w:val="0"/>
        <w:adjustRightInd w:val="0"/>
        <w:rPr>
          <w:rFonts w:ascii="Calibri" w:eastAsiaTheme="minorEastAsia" w:hAnsi="Calibri" w:cs="Calibri"/>
          <w:b/>
          <w:kern w:val="0"/>
          <w:u w:val="single"/>
          <w:lang w:eastAsia="en-US" w:bidi="ar-SA"/>
        </w:rPr>
      </w:pPr>
      <w:r w:rsidRPr="006F2CC1">
        <w:rPr>
          <w:rFonts w:ascii="Calibri" w:eastAsiaTheme="minorEastAsia" w:hAnsi="Calibri" w:cs="Calibri"/>
          <w:b/>
          <w:kern w:val="0"/>
          <w:u w:val="single"/>
          <w:lang w:eastAsia="en-US" w:bidi="ar-SA"/>
        </w:rPr>
        <w:t>Appendices:</w:t>
      </w:r>
    </w:p>
    <w:p w14:paraId="17301BD9" w14:textId="6BF1AFC0" w:rsidR="006F2CC1" w:rsidRPr="00B03DE4" w:rsidRDefault="006F2CC1" w:rsidP="00B03DE4">
      <w:pPr>
        <w:pStyle w:val="ListParagraph"/>
        <w:widowControl w:val="0"/>
        <w:numPr>
          <w:ilvl w:val="0"/>
          <w:numId w:val="6"/>
        </w:numPr>
        <w:suppressAutoHyphens w:val="0"/>
        <w:autoSpaceDE w:val="0"/>
        <w:autoSpaceDN w:val="0"/>
        <w:adjustRightInd w:val="0"/>
        <w:rPr>
          <w:rFonts w:ascii="Calibri" w:eastAsiaTheme="minorEastAsia" w:hAnsi="Calibri" w:cs="Calibri"/>
          <w:kern w:val="0"/>
          <w:lang w:eastAsia="en-US" w:bidi="ar-SA"/>
        </w:rPr>
      </w:pPr>
      <w:r w:rsidRPr="00B03DE4">
        <w:rPr>
          <w:rFonts w:ascii="Calibri" w:eastAsiaTheme="minorEastAsia" w:hAnsi="Calibri" w:cs="Calibri"/>
          <w:kern w:val="0"/>
          <w:lang w:eastAsia="en-US" w:bidi="ar-SA"/>
        </w:rPr>
        <w:t xml:space="preserve">Part I: The Effectiveness of ICANN’s WHOIS Compliance Effort </w:t>
      </w:r>
      <w:hyperlink r:id="rId15" w:history="1">
        <w:r w:rsidRPr="00B03DE4">
          <w:rPr>
            <w:rStyle w:val="Hyperlink"/>
            <w:rFonts w:ascii="Calibri" w:eastAsiaTheme="minorEastAsia" w:hAnsi="Calibri" w:cs="Calibri"/>
            <w:kern w:val="0"/>
            <w:lang w:eastAsia="en-US" w:bidi="ar-SA"/>
          </w:rPr>
          <w:t>http://www.icann.org/en/reviews/affirmation/whois-rt-draft-final-report-appendix-whois-compliance-10jan12-en.pdf</w:t>
        </w:r>
      </w:hyperlink>
      <w:r w:rsidRPr="00B03DE4">
        <w:rPr>
          <w:rFonts w:ascii="Calibri" w:eastAsiaTheme="minorEastAsia" w:hAnsi="Calibri" w:cs="Calibri"/>
          <w:kern w:val="0"/>
          <w:lang w:eastAsia="en-US" w:bidi="ar-SA"/>
        </w:rPr>
        <w:t xml:space="preserve"> </w:t>
      </w:r>
    </w:p>
    <w:p w14:paraId="5477F56D" w14:textId="34D56979" w:rsidR="006F2CC1" w:rsidRPr="00B03DE4" w:rsidRDefault="006F2CC1" w:rsidP="00B03DE4">
      <w:pPr>
        <w:pStyle w:val="ListParagraph"/>
        <w:widowControl w:val="0"/>
        <w:numPr>
          <w:ilvl w:val="0"/>
          <w:numId w:val="6"/>
        </w:numPr>
        <w:suppressAutoHyphens w:val="0"/>
        <w:autoSpaceDE w:val="0"/>
        <w:autoSpaceDN w:val="0"/>
        <w:adjustRightInd w:val="0"/>
        <w:rPr>
          <w:rFonts w:ascii="Calibri" w:eastAsiaTheme="minorEastAsia" w:hAnsi="Calibri" w:cs="Calibri"/>
          <w:kern w:val="0"/>
          <w:lang w:eastAsia="en-US" w:bidi="ar-SA"/>
        </w:rPr>
      </w:pPr>
      <w:r w:rsidRPr="00B03DE4">
        <w:rPr>
          <w:rFonts w:ascii="Calibri" w:eastAsiaTheme="minorEastAsia" w:hAnsi="Calibri" w:cs="Calibri"/>
          <w:kern w:val="0"/>
          <w:lang w:eastAsia="en-US" w:bidi="ar-SA"/>
        </w:rPr>
        <w:t xml:space="preserve">Part II: Methodology &amp; Outreach </w:t>
      </w:r>
      <w:hyperlink r:id="rId16" w:history="1">
        <w:r w:rsidRPr="00B03DE4">
          <w:rPr>
            <w:rStyle w:val="Hyperlink"/>
            <w:rFonts w:ascii="Calibri" w:eastAsiaTheme="minorEastAsia" w:hAnsi="Calibri" w:cs="Calibri"/>
            <w:kern w:val="0"/>
            <w:lang w:eastAsia="en-US" w:bidi="ar-SA"/>
          </w:rPr>
          <w:t>http://www.icann.org/en/reviews/affirmation/whois-rt-draft-final-report-appendix-methodology-outreach-10jan12-en.pdf</w:t>
        </w:r>
      </w:hyperlink>
      <w:r w:rsidRPr="00B03DE4">
        <w:rPr>
          <w:rFonts w:ascii="Calibri" w:eastAsiaTheme="minorEastAsia" w:hAnsi="Calibri" w:cs="Calibri"/>
          <w:kern w:val="0"/>
          <w:lang w:eastAsia="en-US" w:bidi="ar-SA"/>
        </w:rPr>
        <w:t xml:space="preserve"> </w:t>
      </w:r>
    </w:p>
    <w:p w14:paraId="31F0465F" w14:textId="00A15083" w:rsidR="006F2CC1" w:rsidRPr="00B03DE4" w:rsidRDefault="006F2CC1" w:rsidP="00B03DE4">
      <w:pPr>
        <w:pStyle w:val="ListParagraph"/>
        <w:widowControl w:val="0"/>
        <w:numPr>
          <w:ilvl w:val="0"/>
          <w:numId w:val="6"/>
        </w:numPr>
        <w:suppressAutoHyphens w:val="0"/>
        <w:autoSpaceDE w:val="0"/>
        <w:autoSpaceDN w:val="0"/>
        <w:adjustRightInd w:val="0"/>
        <w:rPr>
          <w:rFonts w:ascii="Calibri" w:eastAsiaTheme="minorEastAsia" w:hAnsi="Calibri" w:cs="Calibri"/>
          <w:kern w:val="0"/>
          <w:lang w:eastAsia="en-US" w:bidi="ar-SA"/>
        </w:rPr>
      </w:pPr>
      <w:r w:rsidRPr="00B03DE4">
        <w:rPr>
          <w:rFonts w:ascii="Calibri" w:eastAsiaTheme="minorEastAsia" w:hAnsi="Calibri" w:cs="Calibri"/>
          <w:kern w:val="0"/>
          <w:lang w:eastAsia="en-US" w:bidi="ar-SA"/>
        </w:rPr>
        <w:t xml:space="preserve">Part III: Background and Glossary </w:t>
      </w:r>
      <w:hyperlink r:id="rId17" w:history="1">
        <w:r w:rsidRPr="00B03DE4">
          <w:rPr>
            <w:rStyle w:val="Hyperlink"/>
            <w:rFonts w:ascii="Calibri" w:eastAsiaTheme="minorEastAsia" w:hAnsi="Calibri" w:cs="Calibri"/>
            <w:kern w:val="0"/>
            <w:lang w:eastAsia="en-US" w:bidi="ar-SA"/>
          </w:rPr>
          <w:t>http://www.icann.org/en/reviews/affirmation/whois-rt-draft-final-report-appendix-background-glossary-10jan12-en.pdf</w:t>
        </w:r>
      </w:hyperlink>
      <w:r w:rsidRPr="00B03DE4">
        <w:rPr>
          <w:rFonts w:ascii="Calibri" w:eastAsiaTheme="minorEastAsia" w:hAnsi="Calibri" w:cs="Calibri"/>
          <w:kern w:val="0"/>
          <w:lang w:eastAsia="en-US" w:bidi="ar-SA"/>
        </w:rPr>
        <w:t xml:space="preserve"> </w:t>
      </w:r>
    </w:p>
    <w:p w14:paraId="479A5D7F" w14:textId="24E18D86" w:rsidR="006F2CC1" w:rsidRPr="00B03DE4" w:rsidRDefault="006F2CC1" w:rsidP="00D040F0">
      <w:pPr>
        <w:pStyle w:val="ListParagraph"/>
        <w:widowControl w:val="0"/>
        <w:numPr>
          <w:ilvl w:val="0"/>
          <w:numId w:val="6"/>
        </w:numPr>
        <w:suppressAutoHyphens w:val="0"/>
        <w:autoSpaceDE w:val="0"/>
        <w:autoSpaceDN w:val="0"/>
        <w:adjustRightInd w:val="0"/>
        <w:rPr>
          <w:rFonts w:ascii="Calibri" w:eastAsiaTheme="minorEastAsia" w:hAnsi="Calibri" w:cs="Calibri"/>
          <w:kern w:val="0"/>
          <w:lang w:eastAsia="en-US" w:bidi="ar-SA"/>
        </w:rPr>
      </w:pPr>
      <w:r w:rsidRPr="00B03DE4">
        <w:rPr>
          <w:rFonts w:ascii="Calibri" w:eastAsiaTheme="minorEastAsia" w:hAnsi="Calibri" w:cs="Calibri"/>
          <w:kern w:val="0"/>
          <w:lang w:eastAsia="en-US" w:bidi="ar-SA"/>
        </w:rPr>
        <w:t>Part IV: User Insight Video of Internet Users Attempting to Identify a Website Owner</w:t>
      </w:r>
      <w:r w:rsidR="00B03DE4">
        <w:rPr>
          <w:rFonts w:ascii="Calibri" w:eastAsiaTheme="minorEastAsia" w:hAnsi="Calibri" w:cs="Calibri"/>
          <w:kern w:val="0"/>
          <w:lang w:eastAsia="en-US" w:bidi="ar-SA"/>
        </w:rPr>
        <w:t xml:space="preserve"> </w:t>
      </w:r>
      <w:hyperlink r:id="rId18" w:history="1">
        <w:r w:rsidRPr="00B03DE4">
          <w:rPr>
            <w:rStyle w:val="Hyperlink"/>
            <w:rFonts w:ascii="Calibri" w:eastAsiaTheme="minorEastAsia" w:hAnsi="Calibri" w:cs="Calibri"/>
            <w:kern w:val="0"/>
            <w:lang w:eastAsia="en-US" w:bidi="ar-SA"/>
          </w:rPr>
          <w:t>http://vimeo.com/34627934</w:t>
        </w:r>
      </w:hyperlink>
      <w:r w:rsidRPr="00B03DE4">
        <w:rPr>
          <w:rFonts w:ascii="Calibri" w:eastAsiaTheme="minorEastAsia" w:hAnsi="Calibri" w:cs="Calibri"/>
          <w:kern w:val="0"/>
          <w:lang w:eastAsia="en-US" w:bidi="ar-SA"/>
        </w:rPr>
        <w:t xml:space="preserve"> </w:t>
      </w:r>
    </w:p>
    <w:p w14:paraId="32776CFC" w14:textId="77777777" w:rsidR="006F2CC1" w:rsidRDefault="006F2CC1" w:rsidP="00D040F0">
      <w:pPr>
        <w:widowControl w:val="0"/>
        <w:suppressAutoHyphens w:val="0"/>
        <w:autoSpaceDE w:val="0"/>
        <w:autoSpaceDN w:val="0"/>
        <w:adjustRightInd w:val="0"/>
        <w:rPr>
          <w:rFonts w:ascii="Calibri" w:eastAsiaTheme="minorEastAsia" w:hAnsi="Calibri" w:cs="Calibri"/>
          <w:kern w:val="0"/>
          <w:lang w:eastAsia="en-US" w:bidi="ar-SA"/>
        </w:rPr>
      </w:pPr>
    </w:p>
    <w:p w14:paraId="5D107EE6" w14:textId="17C291EE" w:rsidR="006F2CC1" w:rsidRPr="006F2CC1" w:rsidRDefault="006F2CC1" w:rsidP="00D040F0">
      <w:pPr>
        <w:widowControl w:val="0"/>
        <w:suppressAutoHyphens w:val="0"/>
        <w:autoSpaceDE w:val="0"/>
        <w:autoSpaceDN w:val="0"/>
        <w:adjustRightInd w:val="0"/>
        <w:rPr>
          <w:rFonts w:ascii="Calibri" w:eastAsiaTheme="minorEastAsia" w:hAnsi="Calibri" w:cs="Calibri"/>
          <w:b/>
          <w:kern w:val="0"/>
          <w:lang w:eastAsia="en-US" w:bidi="ar-SA"/>
        </w:rPr>
      </w:pPr>
      <w:r w:rsidRPr="006F2CC1">
        <w:rPr>
          <w:rFonts w:ascii="Calibri" w:eastAsiaTheme="minorEastAsia" w:hAnsi="Calibri" w:cs="Calibri"/>
          <w:b/>
          <w:kern w:val="0"/>
          <w:u w:val="single"/>
          <w:lang w:eastAsia="en-US" w:bidi="ar-SA"/>
        </w:rPr>
        <w:t>Public comment period</w:t>
      </w:r>
      <w:r w:rsidRPr="006F2CC1">
        <w:rPr>
          <w:rFonts w:ascii="Calibri" w:eastAsiaTheme="minorEastAsia" w:hAnsi="Calibri" w:cs="Calibri"/>
          <w:b/>
          <w:kern w:val="0"/>
          <w:lang w:eastAsia="en-US" w:bidi="ar-SA"/>
        </w:rPr>
        <w:t xml:space="preserve">: </w:t>
      </w:r>
      <w:hyperlink r:id="rId19" w:history="1">
        <w:r w:rsidRPr="006F2CC1">
          <w:rPr>
            <w:rStyle w:val="Hyperlink"/>
            <w:rFonts w:ascii="Calibri" w:eastAsiaTheme="minorEastAsia" w:hAnsi="Calibri" w:cs="Calibri"/>
            <w:b/>
            <w:kern w:val="0"/>
            <w:lang w:eastAsia="en-US" w:bidi="ar-SA"/>
          </w:rPr>
          <w:t>http://www.icann.org/en/news/public-comment/whois-rt-draft-final-report-05dec11-en.htm</w:t>
        </w:r>
      </w:hyperlink>
    </w:p>
    <w:p w14:paraId="44B4D176" w14:textId="77777777" w:rsidR="006F2CC1" w:rsidRDefault="006F2CC1" w:rsidP="00D040F0">
      <w:pPr>
        <w:widowControl w:val="0"/>
        <w:suppressAutoHyphens w:val="0"/>
        <w:autoSpaceDE w:val="0"/>
        <w:autoSpaceDN w:val="0"/>
        <w:adjustRightInd w:val="0"/>
        <w:rPr>
          <w:rFonts w:ascii="Calibri" w:eastAsiaTheme="minorEastAsia" w:hAnsi="Calibri" w:cs="Calibri"/>
          <w:kern w:val="0"/>
          <w:lang w:eastAsia="en-US" w:bidi="ar-SA"/>
        </w:rPr>
      </w:pPr>
    </w:p>
    <w:p w14:paraId="1E652760" w14:textId="41A8112B" w:rsidR="006F2CC1" w:rsidRPr="006F2CC1" w:rsidRDefault="006F2CC1" w:rsidP="00D040F0">
      <w:pPr>
        <w:widowControl w:val="0"/>
        <w:suppressAutoHyphens w:val="0"/>
        <w:autoSpaceDE w:val="0"/>
        <w:autoSpaceDN w:val="0"/>
        <w:adjustRightInd w:val="0"/>
        <w:rPr>
          <w:rFonts w:ascii="Calibri" w:eastAsiaTheme="minorEastAsia" w:hAnsi="Calibri" w:cs="Calibri"/>
          <w:b/>
          <w:color w:val="FF0000"/>
          <w:kern w:val="0"/>
          <w:lang w:eastAsia="en-US" w:bidi="ar-SA"/>
        </w:rPr>
      </w:pPr>
      <w:r w:rsidRPr="006F2CC1">
        <w:rPr>
          <w:rFonts w:ascii="Calibri" w:eastAsiaTheme="minorEastAsia" w:hAnsi="Calibri" w:cs="Calibri"/>
          <w:b/>
          <w:color w:val="FF0000"/>
          <w:kern w:val="0"/>
          <w:lang w:eastAsia="en-US" w:bidi="ar-SA"/>
        </w:rPr>
        <w:t>CLOSE DATE: 18 March 2012 – 23:59 UTC</w:t>
      </w:r>
    </w:p>
    <w:p w14:paraId="56453151" w14:textId="56992E20" w:rsidR="006F2CC1" w:rsidRDefault="00EE0096" w:rsidP="00EE0096">
      <w:pPr>
        <w:widowControl w:val="0"/>
        <w:suppressAutoHyphens w:val="0"/>
        <w:autoSpaceDE w:val="0"/>
        <w:autoSpaceDN w:val="0"/>
        <w:adjustRightInd w:val="0"/>
        <w:jc w:val="center"/>
        <w:rPr>
          <w:rFonts w:ascii="Calibri" w:eastAsiaTheme="minorEastAsia" w:hAnsi="Calibri" w:cs="Calibri"/>
          <w:kern w:val="0"/>
          <w:sz w:val="28"/>
          <w:szCs w:val="28"/>
          <w:lang w:eastAsia="en-US" w:bidi="ar-SA"/>
        </w:rPr>
      </w:pPr>
      <w:r>
        <w:rPr>
          <w:rFonts w:ascii="Calibri" w:eastAsiaTheme="minorEastAsia" w:hAnsi="Calibri" w:cs="Calibri"/>
          <w:kern w:val="0"/>
          <w:sz w:val="28"/>
          <w:szCs w:val="28"/>
          <w:lang w:eastAsia="en-US" w:bidi="ar-SA"/>
        </w:rPr>
        <w:br/>
        <w:t>RECOMMENDATIONS</w:t>
      </w:r>
    </w:p>
    <w:p w14:paraId="4D81B81C" w14:textId="77777777" w:rsidR="009C3918" w:rsidRPr="009C3918" w:rsidRDefault="009C3918" w:rsidP="009C3918">
      <w:pPr>
        <w:pStyle w:val="NoteLevel11"/>
        <w:rPr>
          <w:rFonts w:ascii="Calibri" w:hAnsi="Calibri"/>
          <w:i/>
          <w:sz w:val="28"/>
          <w:szCs w:val="28"/>
        </w:rPr>
      </w:pPr>
      <w:r>
        <w:rPr>
          <w:rFonts w:ascii="Calibri" w:hAnsi="Calibri"/>
          <w:i/>
          <w:sz w:val="28"/>
          <w:szCs w:val="28"/>
        </w:rPr>
        <w:t>Single WHOIS</w:t>
      </w:r>
      <w:r w:rsidRPr="004B363D">
        <w:rPr>
          <w:rFonts w:ascii="Calibri" w:hAnsi="Calibri"/>
          <w:i/>
          <w:sz w:val="28"/>
          <w:szCs w:val="28"/>
        </w:rPr>
        <w:t xml:space="preserve"> Policy</w:t>
      </w:r>
    </w:p>
    <w:p w14:paraId="0480E417" w14:textId="77777777" w:rsidR="009C3918" w:rsidRDefault="009C3918" w:rsidP="009C3918">
      <w:pPr>
        <w:pStyle w:val="ListParagraph"/>
        <w:spacing w:line="100" w:lineRule="atLeast"/>
        <w:rPr>
          <w:rFonts w:ascii="Calibri" w:hAnsi="Calibri"/>
        </w:rPr>
      </w:pPr>
    </w:p>
    <w:p w14:paraId="5FBAF8A1" w14:textId="77777777" w:rsidR="009C3918" w:rsidRPr="004B363D" w:rsidRDefault="009C3918" w:rsidP="009C3918">
      <w:pPr>
        <w:pStyle w:val="ListParagraph"/>
        <w:numPr>
          <w:ilvl w:val="0"/>
          <w:numId w:val="4"/>
        </w:numPr>
        <w:spacing w:line="100" w:lineRule="atLeast"/>
        <w:rPr>
          <w:rFonts w:ascii="Calibri" w:hAnsi="Calibri"/>
        </w:rPr>
      </w:pPr>
      <w:r w:rsidRPr="004B363D">
        <w:rPr>
          <w:rFonts w:ascii="Calibri" w:hAnsi="Calibri"/>
        </w:rPr>
        <w:t xml:space="preserve">ICANN's WHOIS policy is poorly defined and decentralized The ICANN Board should oversee the creation of a single WHOIS policy document, and reference it </w:t>
      </w:r>
      <w:r w:rsidRPr="004B363D">
        <w:rPr>
          <w:rFonts w:ascii="Calibri" w:hAnsi="Calibri"/>
        </w:rPr>
        <w:lastRenderedPageBreak/>
        <w:t>in subsequent versions of agreements with Contracted Parties.  In doing so, ICANN should clearly document the current gTLD WHOIS policy as set out in the gTLD Registry and Registrar contracts and GNSO Consensus Policies and Procedure.</w:t>
      </w:r>
    </w:p>
    <w:p w14:paraId="22E1341F" w14:textId="77777777" w:rsidR="009C3918" w:rsidRPr="004B363D" w:rsidRDefault="009C3918" w:rsidP="009C3918">
      <w:pPr>
        <w:pStyle w:val="NoteLevel11"/>
        <w:rPr>
          <w:rFonts w:ascii="Calibri" w:hAnsi="Calibri"/>
          <w:b/>
        </w:rPr>
      </w:pPr>
    </w:p>
    <w:p w14:paraId="349957DD" w14:textId="77777777" w:rsidR="009C3918" w:rsidRPr="004B363D" w:rsidRDefault="009C3918" w:rsidP="009C3918">
      <w:pPr>
        <w:pStyle w:val="NoteLevel11"/>
        <w:rPr>
          <w:rFonts w:ascii="Calibri" w:hAnsi="Calibri"/>
          <w:i/>
          <w:sz w:val="28"/>
          <w:szCs w:val="28"/>
        </w:rPr>
      </w:pPr>
      <w:r w:rsidRPr="004B363D">
        <w:rPr>
          <w:rFonts w:ascii="Calibri" w:hAnsi="Calibri"/>
          <w:i/>
          <w:sz w:val="28"/>
          <w:szCs w:val="28"/>
        </w:rPr>
        <w:t>Policy review – WHOIS Data Reminder Policy</w:t>
      </w:r>
    </w:p>
    <w:p w14:paraId="79CC8183" w14:textId="77777777" w:rsidR="009C3918" w:rsidRPr="004B363D" w:rsidRDefault="009C3918" w:rsidP="009C3918">
      <w:pPr>
        <w:pStyle w:val="NoteLevel11"/>
        <w:rPr>
          <w:rFonts w:ascii="Calibri" w:hAnsi="Calibri"/>
        </w:rPr>
      </w:pPr>
    </w:p>
    <w:p w14:paraId="359182B0" w14:textId="77777777" w:rsidR="009C3918" w:rsidRPr="004B363D" w:rsidRDefault="009C3918" w:rsidP="009C3918">
      <w:pPr>
        <w:pStyle w:val="ListParagraph"/>
        <w:numPr>
          <w:ilvl w:val="0"/>
          <w:numId w:val="4"/>
        </w:numPr>
        <w:spacing w:line="100" w:lineRule="atLeast"/>
        <w:rPr>
          <w:rFonts w:ascii="Calibri" w:hAnsi="Calibri"/>
        </w:rPr>
      </w:pPr>
      <w:r w:rsidRPr="004B363D">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p>
    <w:p w14:paraId="2A4F7CC5" w14:textId="77777777" w:rsidR="009C3918" w:rsidRPr="004B363D" w:rsidRDefault="009C3918" w:rsidP="009C3918">
      <w:pPr>
        <w:widowControl w:val="0"/>
        <w:rPr>
          <w:rFonts w:ascii="Calibri" w:hAnsi="Calibri"/>
        </w:rPr>
      </w:pPr>
    </w:p>
    <w:p w14:paraId="46725B72" w14:textId="77777777" w:rsidR="009C3918" w:rsidRPr="004B363D" w:rsidRDefault="009C3918" w:rsidP="009C3918">
      <w:pPr>
        <w:widowControl w:val="0"/>
        <w:rPr>
          <w:rFonts w:ascii="Calibri" w:hAnsi="Calibri"/>
          <w:bCs/>
          <w:i/>
          <w:sz w:val="28"/>
          <w:szCs w:val="28"/>
        </w:rPr>
      </w:pPr>
      <w:r w:rsidRPr="004B363D">
        <w:rPr>
          <w:rFonts w:ascii="Calibri" w:hAnsi="Calibri"/>
          <w:bCs/>
          <w:i/>
          <w:sz w:val="28"/>
          <w:szCs w:val="28"/>
        </w:rPr>
        <w:t>Strategic Priority</w:t>
      </w:r>
    </w:p>
    <w:p w14:paraId="2C2B0200" w14:textId="77777777" w:rsidR="009C3918" w:rsidRPr="004B363D" w:rsidRDefault="009C3918" w:rsidP="009C3918">
      <w:pPr>
        <w:widowControl w:val="0"/>
        <w:rPr>
          <w:rFonts w:ascii="Calibri" w:hAnsi="Calibri"/>
          <w:b/>
          <w:bCs/>
        </w:rPr>
      </w:pPr>
    </w:p>
    <w:p w14:paraId="08F88ED3" w14:textId="77777777" w:rsidR="009C3918" w:rsidRDefault="009C3918" w:rsidP="009C3918">
      <w:pPr>
        <w:pStyle w:val="ListParagraph"/>
        <w:numPr>
          <w:ilvl w:val="0"/>
          <w:numId w:val="4"/>
        </w:numPr>
        <w:rPr>
          <w:rFonts w:ascii="Calibri" w:hAnsi="Calibri"/>
        </w:rPr>
      </w:pPr>
      <w:r w:rsidRPr="004B363D">
        <w:rPr>
          <w:rFonts w:ascii="Calibri" w:hAnsi="Calibri"/>
        </w:rPr>
        <w: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t>
      </w:r>
      <w:r w:rsidRPr="004B363D">
        <w:rPr>
          <w:rFonts w:ascii="Calibri" w:hAnsi="Calibri"/>
        </w:rPr>
        <w:tab/>
      </w:r>
    </w:p>
    <w:p w14:paraId="428BD971" w14:textId="77777777" w:rsidR="009C3918" w:rsidRPr="004B363D" w:rsidRDefault="009C3918" w:rsidP="009C3918">
      <w:pPr>
        <w:pStyle w:val="ListParagraph"/>
        <w:rPr>
          <w:rFonts w:ascii="Calibri" w:hAnsi="Calibri"/>
        </w:rPr>
      </w:pPr>
    </w:p>
    <w:p w14:paraId="0A21A503" w14:textId="77777777" w:rsidR="009C3918" w:rsidRPr="004B363D" w:rsidRDefault="009C3918" w:rsidP="009C3918">
      <w:pPr>
        <w:widowControl w:val="0"/>
        <w:rPr>
          <w:rFonts w:ascii="Calibri" w:hAnsi="Calibri"/>
          <w:bCs/>
          <w:i/>
          <w:sz w:val="28"/>
          <w:szCs w:val="28"/>
        </w:rPr>
      </w:pPr>
      <w:r w:rsidRPr="004B363D">
        <w:rPr>
          <w:rFonts w:ascii="Calibri" w:hAnsi="Calibri"/>
          <w:bCs/>
          <w:i/>
          <w:sz w:val="28"/>
          <w:szCs w:val="28"/>
        </w:rPr>
        <w:t xml:space="preserve">Outreach </w:t>
      </w:r>
    </w:p>
    <w:p w14:paraId="47C41937" w14:textId="77777777" w:rsidR="009C3918" w:rsidRPr="004B363D" w:rsidRDefault="009C3918" w:rsidP="009C3918">
      <w:pPr>
        <w:widowControl w:val="0"/>
        <w:rPr>
          <w:rFonts w:ascii="Calibri" w:hAnsi="Calibri"/>
          <w:b/>
          <w:bCs/>
        </w:rPr>
      </w:pPr>
    </w:p>
    <w:p w14:paraId="49082481" w14:textId="77777777" w:rsidR="009C3918" w:rsidRPr="004B363D" w:rsidRDefault="009C3918" w:rsidP="009C3918">
      <w:pPr>
        <w:pStyle w:val="ListParagraph"/>
        <w:numPr>
          <w:ilvl w:val="0"/>
          <w:numId w:val="4"/>
        </w:numPr>
        <w:spacing w:line="100" w:lineRule="atLeast"/>
        <w:rPr>
          <w:rFonts w:ascii="Calibri" w:hAnsi="Calibri"/>
        </w:rPr>
      </w:pPr>
      <w:r w:rsidRPr="004B363D">
        <w:rPr>
          <w:rFonts w:ascii="Calibri" w:hAnsi="Calibri"/>
        </w:rPr>
        <w:t>ICANN should ensure that WHOIS policy issues are accompanied by cross-community outreach, including outreach to the communities outside of ICANN with a specific interest in the issues and an ongoing program for consumer awareness.</w:t>
      </w:r>
    </w:p>
    <w:p w14:paraId="586D3451" w14:textId="77777777" w:rsidR="009C3918" w:rsidRPr="004B363D" w:rsidRDefault="009C3918" w:rsidP="009C3918">
      <w:pPr>
        <w:widowControl w:val="0"/>
        <w:rPr>
          <w:rFonts w:ascii="Calibri" w:hAnsi="Calibri"/>
        </w:rPr>
      </w:pPr>
    </w:p>
    <w:p w14:paraId="707CDDE4" w14:textId="77777777" w:rsidR="009C3918" w:rsidRPr="004B363D" w:rsidRDefault="009C3918" w:rsidP="009C3918">
      <w:pPr>
        <w:widowControl w:val="0"/>
        <w:rPr>
          <w:rFonts w:ascii="Calibri" w:hAnsi="Calibri"/>
          <w:bCs/>
          <w:i/>
          <w:sz w:val="28"/>
          <w:szCs w:val="28"/>
        </w:rPr>
      </w:pPr>
      <w:r w:rsidRPr="004B363D">
        <w:rPr>
          <w:rFonts w:ascii="Calibri" w:hAnsi="Calibri"/>
          <w:bCs/>
          <w:i/>
          <w:sz w:val="28"/>
          <w:szCs w:val="28"/>
        </w:rPr>
        <w:t xml:space="preserve">Data Accuracy </w:t>
      </w:r>
    </w:p>
    <w:p w14:paraId="01596533" w14:textId="77777777" w:rsidR="009C3918" w:rsidRPr="004B363D" w:rsidRDefault="009C3918" w:rsidP="009C3918">
      <w:pPr>
        <w:widowControl w:val="0"/>
        <w:rPr>
          <w:rFonts w:ascii="Calibri" w:hAnsi="Calibri"/>
        </w:rPr>
      </w:pPr>
    </w:p>
    <w:p w14:paraId="5D8C0242"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ICANN should take appropriate measures to reduce the number of unreachable WHOIS registrations (as defined by the NORC Data Accuracy Study, 2009/10) by 50% within 12 months and by 50% again over the following 12 months.</w:t>
      </w:r>
    </w:p>
    <w:p w14:paraId="5F3F88AD" w14:textId="77777777" w:rsidR="009C3918" w:rsidRPr="004B363D" w:rsidRDefault="009C3918" w:rsidP="009C3918">
      <w:pPr>
        <w:pStyle w:val="ListParagraph"/>
        <w:spacing w:line="100" w:lineRule="atLeast"/>
        <w:ind w:left="360"/>
        <w:rPr>
          <w:rFonts w:ascii="Calibri" w:hAnsi="Calibri"/>
        </w:rPr>
      </w:pPr>
    </w:p>
    <w:p w14:paraId="236B2CF7"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 xml:space="preserve">ICANN shall produce and publish an accuracy report focused on measured reduction in “unreachable WHOIS registrations”, on an annual basis. </w:t>
      </w:r>
    </w:p>
    <w:p w14:paraId="61A8CA95" w14:textId="77777777" w:rsidR="009C3918" w:rsidRPr="004B363D" w:rsidRDefault="009C3918" w:rsidP="009C3918">
      <w:pPr>
        <w:spacing w:line="100" w:lineRule="atLeast"/>
        <w:rPr>
          <w:rFonts w:ascii="Calibri" w:hAnsi="Calibri"/>
        </w:rPr>
      </w:pPr>
    </w:p>
    <w:p w14:paraId="2370A194"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ICANN should provide at least annual status reports on its progress towards achieving the goals set out by this WHOIS Review Team, published by the time the next WHOIS Review Team starts. This report should include tangible, reliable figures needed.</w:t>
      </w:r>
    </w:p>
    <w:p w14:paraId="32F37060" w14:textId="77777777" w:rsidR="009C3918" w:rsidRPr="004B363D" w:rsidRDefault="009C3918" w:rsidP="009C3918">
      <w:pPr>
        <w:widowControl w:val="0"/>
        <w:rPr>
          <w:rFonts w:ascii="Calibri" w:hAnsi="Calibri"/>
          <w:shd w:val="clear" w:color="auto" w:fill="FFFFFF"/>
        </w:rPr>
      </w:pPr>
    </w:p>
    <w:p w14:paraId="402AE2E6"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t>
      </w:r>
    </w:p>
    <w:p w14:paraId="484F6B18" w14:textId="77777777" w:rsidR="009C3918" w:rsidRPr="004B363D" w:rsidRDefault="009C3918" w:rsidP="009C3918">
      <w:pPr>
        <w:widowControl w:val="0"/>
        <w:rPr>
          <w:rFonts w:ascii="Calibri" w:hAnsi="Calibri"/>
        </w:rPr>
      </w:pPr>
    </w:p>
    <w:p w14:paraId="29CC53E2"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14:paraId="1EBAC89D" w14:textId="77777777" w:rsidR="009C3918" w:rsidRPr="004B363D" w:rsidRDefault="009C3918" w:rsidP="009C3918">
      <w:pPr>
        <w:widowControl w:val="0"/>
        <w:rPr>
          <w:rFonts w:ascii="Calibri" w:hAnsi="Calibri"/>
        </w:rPr>
      </w:pPr>
    </w:p>
    <w:p w14:paraId="7EAEFBC2" w14:textId="77777777" w:rsidR="009C3918" w:rsidRPr="004B363D" w:rsidRDefault="009C3918" w:rsidP="009C3918">
      <w:pPr>
        <w:rPr>
          <w:rFonts w:ascii="Calibri" w:hAnsi="Calibri"/>
          <w:bCs/>
          <w:i/>
          <w:sz w:val="28"/>
          <w:szCs w:val="28"/>
        </w:rPr>
      </w:pPr>
      <w:r w:rsidRPr="004B363D">
        <w:rPr>
          <w:rFonts w:ascii="Calibri" w:hAnsi="Calibri"/>
          <w:bCs/>
          <w:i/>
          <w:sz w:val="28"/>
          <w:szCs w:val="28"/>
        </w:rPr>
        <w:t>Data Access – Privacy Services</w:t>
      </w:r>
    </w:p>
    <w:p w14:paraId="19FD41AE" w14:textId="77777777" w:rsidR="009C3918" w:rsidRPr="004B363D" w:rsidRDefault="009C3918" w:rsidP="009C3918">
      <w:pPr>
        <w:rPr>
          <w:rFonts w:ascii="Calibri" w:hAnsi="Calibri"/>
          <w:b/>
          <w:bCs/>
        </w:rPr>
      </w:pPr>
    </w:p>
    <w:p w14:paraId="23CD81F6"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t>
      </w:r>
    </w:p>
    <w:p w14:paraId="1DFF745D" w14:textId="77777777" w:rsidR="009C3918" w:rsidRPr="004B363D" w:rsidRDefault="009C3918" w:rsidP="009C3918">
      <w:pPr>
        <w:ind w:left="720"/>
        <w:rPr>
          <w:rFonts w:ascii="Calibri" w:hAnsi="Calibri"/>
        </w:rPr>
      </w:pPr>
    </w:p>
    <w:p w14:paraId="6C1FDDE3" w14:textId="77777777" w:rsidR="009C3918" w:rsidRPr="004B363D" w:rsidRDefault="009C3918" w:rsidP="009C3918">
      <w:pPr>
        <w:pStyle w:val="ListParagraph"/>
        <w:widowControl w:val="0"/>
        <w:numPr>
          <w:ilvl w:val="0"/>
          <w:numId w:val="3"/>
        </w:numPr>
        <w:spacing w:line="0" w:lineRule="atLeast"/>
        <w:rPr>
          <w:rFonts w:ascii="Calibri" w:hAnsi="Calibri"/>
        </w:rPr>
      </w:pPr>
      <w:r w:rsidRPr="004B363D">
        <w:rPr>
          <w:rFonts w:ascii="Calibri" w:hAnsi="Calibri"/>
        </w:rPr>
        <w:t>WHOIS entry must clearly label that this is a private registration</w:t>
      </w:r>
    </w:p>
    <w:p w14:paraId="1D903FF5" w14:textId="77777777" w:rsidR="009C3918" w:rsidRPr="004B363D" w:rsidRDefault="009C3918" w:rsidP="009C3918">
      <w:pPr>
        <w:pStyle w:val="ListParagraph"/>
        <w:widowControl w:val="0"/>
        <w:numPr>
          <w:ilvl w:val="0"/>
          <w:numId w:val="3"/>
        </w:numPr>
        <w:spacing w:line="0" w:lineRule="atLeast"/>
        <w:rPr>
          <w:rFonts w:ascii="Calibri" w:hAnsi="Calibri"/>
        </w:rPr>
      </w:pPr>
      <w:r w:rsidRPr="004B363D">
        <w:rPr>
          <w:rFonts w:ascii="Calibri" w:hAnsi="Calibri"/>
        </w:rPr>
        <w:t>Privacy services must provide full contact details as required by the WHOIS which are available and responsive as required by the framework mentioned above.</w:t>
      </w:r>
    </w:p>
    <w:p w14:paraId="41F26276" w14:textId="77777777" w:rsidR="009C3918" w:rsidRPr="004B363D" w:rsidRDefault="009C3918" w:rsidP="009C3918">
      <w:pPr>
        <w:pStyle w:val="ListParagraph"/>
        <w:widowControl w:val="0"/>
        <w:numPr>
          <w:ilvl w:val="0"/>
          <w:numId w:val="3"/>
        </w:numPr>
        <w:spacing w:line="0" w:lineRule="atLeast"/>
        <w:rPr>
          <w:rFonts w:ascii="Calibri" w:hAnsi="Calibri"/>
        </w:rPr>
      </w:pPr>
      <w:r w:rsidRPr="004B363D">
        <w:rPr>
          <w:rFonts w:ascii="Calibri" w:hAnsi="Calibri"/>
        </w:rPr>
        <w:t>Standardized relay and reveal processes and timeframes.</w:t>
      </w:r>
    </w:p>
    <w:p w14:paraId="0AB81526" w14:textId="77777777" w:rsidR="009C3918" w:rsidRPr="004B363D" w:rsidRDefault="009C3918" w:rsidP="009C3918">
      <w:pPr>
        <w:pStyle w:val="ListParagraph"/>
        <w:widowControl w:val="0"/>
        <w:numPr>
          <w:ilvl w:val="0"/>
          <w:numId w:val="3"/>
        </w:numPr>
        <w:spacing w:line="0" w:lineRule="atLeast"/>
        <w:rPr>
          <w:rFonts w:ascii="Calibri" w:hAnsi="Calibri"/>
        </w:rPr>
      </w:pPr>
      <w:r w:rsidRPr="004B363D">
        <w:rPr>
          <w:rFonts w:ascii="Calibri" w:hAnsi="Calibri"/>
        </w:rPr>
        <w:t xml:space="preserve">Rules for the appropriate level of publicly available information on the registrant  </w:t>
      </w:r>
    </w:p>
    <w:p w14:paraId="531002D5" w14:textId="77777777" w:rsidR="009C3918" w:rsidRPr="004B363D" w:rsidRDefault="009C3918" w:rsidP="009C3918">
      <w:pPr>
        <w:pStyle w:val="ListParagraph"/>
        <w:widowControl w:val="0"/>
        <w:numPr>
          <w:ilvl w:val="0"/>
          <w:numId w:val="3"/>
        </w:numPr>
        <w:spacing w:line="0" w:lineRule="atLeast"/>
        <w:rPr>
          <w:rFonts w:ascii="Calibri" w:hAnsi="Calibri"/>
        </w:rPr>
      </w:pPr>
      <w:r w:rsidRPr="004B363D">
        <w:rPr>
          <w:rFonts w:ascii="Calibri" w:hAnsi="Calibri"/>
        </w:rPr>
        <w:t>Maintenance of a dedicated abuse point of contact for the privacy service provider</w:t>
      </w:r>
    </w:p>
    <w:p w14:paraId="28498FC7" w14:textId="77777777" w:rsidR="009C3918" w:rsidRPr="004B363D" w:rsidRDefault="009C3918" w:rsidP="009C3918">
      <w:pPr>
        <w:pStyle w:val="ListParagraph"/>
        <w:widowControl w:val="0"/>
        <w:numPr>
          <w:ilvl w:val="0"/>
          <w:numId w:val="3"/>
        </w:numPr>
        <w:spacing w:line="0" w:lineRule="atLeast"/>
        <w:rPr>
          <w:rFonts w:ascii="Calibri" w:hAnsi="Calibri"/>
        </w:rPr>
      </w:pPr>
      <w:r w:rsidRPr="004B363D">
        <w:rPr>
          <w:rFonts w:ascii="Calibri" w:hAnsi="Calibri"/>
        </w:rPr>
        <w:t>Privacy service provider shall conduct periodic due diligence checks on registrant contact information</w:t>
      </w:r>
    </w:p>
    <w:p w14:paraId="291D9C70" w14:textId="77777777" w:rsidR="009C3918" w:rsidRPr="004B363D" w:rsidRDefault="009C3918" w:rsidP="009C3918">
      <w:pPr>
        <w:widowControl w:val="0"/>
        <w:spacing w:line="0" w:lineRule="atLeast"/>
        <w:rPr>
          <w:rFonts w:ascii="Calibri" w:hAnsi="Calibri"/>
        </w:rPr>
      </w:pPr>
    </w:p>
    <w:p w14:paraId="700731AD" w14:textId="77777777" w:rsidR="009C3918" w:rsidRDefault="009C3918" w:rsidP="009C3918">
      <w:pPr>
        <w:pStyle w:val="ListParagraph"/>
        <w:numPr>
          <w:ilvl w:val="0"/>
          <w:numId w:val="2"/>
        </w:numPr>
        <w:spacing w:line="100" w:lineRule="atLeast"/>
        <w:rPr>
          <w:rFonts w:ascii="Calibri" w:hAnsi="Calibri"/>
        </w:rPr>
      </w:pPr>
      <w:r w:rsidRPr="004B363D">
        <w:rPr>
          <w:rFonts w:ascii="Calibri" w:hAnsi="Calibri"/>
        </w:rPr>
        <w:t>ICANN should develop a graduated and enforceable series of penalties for privacy service providers who violate the requirements with a clear path to de-accreditation for repeat, serial or otherwise serious breaches.</w:t>
      </w:r>
    </w:p>
    <w:p w14:paraId="60A4AD64" w14:textId="77777777" w:rsidR="001769D1" w:rsidRDefault="001769D1" w:rsidP="001769D1">
      <w:pPr>
        <w:spacing w:line="100" w:lineRule="atLeast"/>
        <w:rPr>
          <w:rFonts w:ascii="Calibri" w:hAnsi="Calibri"/>
        </w:rPr>
      </w:pPr>
    </w:p>
    <w:p w14:paraId="38E450DA" w14:textId="77777777" w:rsidR="001769D1" w:rsidRPr="001769D1" w:rsidRDefault="001769D1" w:rsidP="001769D1">
      <w:pPr>
        <w:spacing w:line="100" w:lineRule="atLeast"/>
        <w:rPr>
          <w:rFonts w:ascii="Calibri" w:hAnsi="Calibri"/>
        </w:rPr>
      </w:pPr>
    </w:p>
    <w:p w14:paraId="5F09B481" w14:textId="77777777" w:rsidR="009C3918" w:rsidRPr="004B363D" w:rsidRDefault="009C3918" w:rsidP="009C3918">
      <w:pPr>
        <w:pStyle w:val="ListParagraph"/>
        <w:spacing w:line="100" w:lineRule="atLeast"/>
        <w:ind w:left="360"/>
        <w:rPr>
          <w:rFonts w:ascii="Calibri" w:hAnsi="Calibri"/>
        </w:rPr>
      </w:pPr>
    </w:p>
    <w:p w14:paraId="125EA00B" w14:textId="77777777" w:rsidR="009C3918" w:rsidRPr="004B363D" w:rsidRDefault="009C3918" w:rsidP="009C3918">
      <w:pPr>
        <w:rPr>
          <w:rFonts w:ascii="Calibri" w:hAnsi="Calibri"/>
          <w:bCs/>
          <w:i/>
          <w:sz w:val="28"/>
          <w:szCs w:val="28"/>
        </w:rPr>
      </w:pPr>
      <w:r w:rsidRPr="004B363D">
        <w:rPr>
          <w:rFonts w:ascii="Calibri" w:hAnsi="Calibri"/>
          <w:bCs/>
          <w:i/>
          <w:sz w:val="28"/>
          <w:szCs w:val="28"/>
        </w:rPr>
        <w:t xml:space="preserve">Data Access- Proxy Service </w:t>
      </w:r>
    </w:p>
    <w:p w14:paraId="532E7E0B" w14:textId="77777777" w:rsidR="009C3918" w:rsidRPr="004B363D" w:rsidRDefault="009C3918" w:rsidP="009C3918">
      <w:pPr>
        <w:widowControl w:val="0"/>
        <w:rPr>
          <w:rFonts w:ascii="Calibri" w:hAnsi="Calibri"/>
          <w:color w:val="3366FF"/>
        </w:rPr>
      </w:pPr>
    </w:p>
    <w:p w14:paraId="39A640BE" w14:textId="77777777" w:rsidR="009C3918" w:rsidRPr="004B363D" w:rsidRDefault="009C3918" w:rsidP="009C3918">
      <w:pPr>
        <w:pStyle w:val="ListParagraph"/>
        <w:widowControl w:val="0"/>
        <w:numPr>
          <w:ilvl w:val="0"/>
          <w:numId w:val="2"/>
        </w:numPr>
        <w:suppressAutoHyphens w:val="0"/>
        <w:autoSpaceDE w:val="0"/>
        <w:autoSpaceDN w:val="0"/>
        <w:adjustRightInd w:val="0"/>
        <w:rPr>
          <w:rFonts w:ascii="Calibri" w:hAnsi="Calibri"/>
        </w:rPr>
      </w:pPr>
      <w:r w:rsidRPr="004B363D">
        <w:rPr>
          <w:rFonts w:ascii="Calibri" w:hAnsi="Calibri"/>
        </w:rPr>
        <w:t>ICANN should facilitate the review of existing practices by reaching out to proxy providers to create a discussion which sets out current processes followed by proxy service providers.</w:t>
      </w:r>
    </w:p>
    <w:p w14:paraId="3A0E7D35" w14:textId="77777777" w:rsidR="009C3918" w:rsidRPr="004B363D" w:rsidRDefault="009C3918" w:rsidP="009C3918">
      <w:pPr>
        <w:pStyle w:val="ListParagraph"/>
        <w:widowControl w:val="0"/>
        <w:suppressAutoHyphens w:val="0"/>
        <w:autoSpaceDE w:val="0"/>
        <w:autoSpaceDN w:val="0"/>
        <w:adjustRightInd w:val="0"/>
        <w:ind w:left="360"/>
        <w:rPr>
          <w:rFonts w:ascii="Calibri" w:hAnsi="Calibri"/>
        </w:rPr>
      </w:pPr>
    </w:p>
    <w:p w14:paraId="58E63F55" w14:textId="77777777" w:rsidR="009C3918" w:rsidRPr="004B363D" w:rsidRDefault="009C3918" w:rsidP="009C3918">
      <w:pPr>
        <w:pStyle w:val="ListParagraph"/>
        <w:widowControl w:val="0"/>
        <w:numPr>
          <w:ilvl w:val="0"/>
          <w:numId w:val="2"/>
        </w:numPr>
        <w:suppressAutoHyphens w:val="0"/>
        <w:autoSpaceDE w:val="0"/>
        <w:autoSpaceDN w:val="0"/>
        <w:adjustRightInd w:val="0"/>
        <w:rPr>
          <w:rFonts w:ascii="Calibri" w:hAnsi="Calibri"/>
        </w:rPr>
      </w:pPr>
      <w:r w:rsidRPr="004B363D">
        <w:rPr>
          <w:rFonts w:ascii="Calibri" w:hAnsi="Calibri"/>
        </w:rPr>
        <w:t>Registrars should be required to disclosure their relationship with any Affiliated Retail proxy service provider to ICANN.</w:t>
      </w:r>
    </w:p>
    <w:p w14:paraId="14187AFF" w14:textId="77777777" w:rsidR="009C3918" w:rsidRPr="004B363D" w:rsidRDefault="009C3918" w:rsidP="009C3918">
      <w:pPr>
        <w:widowControl w:val="0"/>
        <w:suppressAutoHyphens w:val="0"/>
        <w:autoSpaceDE w:val="0"/>
        <w:autoSpaceDN w:val="0"/>
        <w:adjustRightInd w:val="0"/>
        <w:rPr>
          <w:rFonts w:ascii="Calibri" w:hAnsi="Calibri"/>
        </w:rPr>
      </w:pPr>
    </w:p>
    <w:p w14:paraId="0A333752" w14:textId="77777777" w:rsidR="009C3918" w:rsidRPr="004B363D" w:rsidRDefault="009C3918" w:rsidP="009C3918">
      <w:pPr>
        <w:pStyle w:val="ListParagraph"/>
        <w:widowControl w:val="0"/>
        <w:numPr>
          <w:ilvl w:val="0"/>
          <w:numId w:val="2"/>
        </w:numPr>
        <w:suppressAutoHyphens w:val="0"/>
        <w:autoSpaceDE w:val="0"/>
        <w:autoSpaceDN w:val="0"/>
        <w:adjustRightInd w:val="0"/>
        <w:rPr>
          <w:rFonts w:ascii="Calibri" w:hAnsi="Calibri"/>
        </w:rPr>
      </w:pPr>
      <w:r w:rsidRPr="004B363D">
        <w:rPr>
          <w:rFonts w:ascii="Calibri" w:hAnsi="Calibri"/>
        </w:rPr>
        <w:t> ICANN should develop and manage a set of voluntary best practice guidelines for appropriate proxy services</w:t>
      </w:r>
      <w:r w:rsidRPr="004B363D">
        <w:rPr>
          <w:rStyle w:val="FootnoteReference"/>
          <w:rFonts w:ascii="Calibri" w:hAnsi="Calibri"/>
        </w:rPr>
        <w:footnoteReference w:id="1"/>
      </w:r>
      <w:r w:rsidRPr="004B363D">
        <w:rPr>
          <w:rFonts w:ascii="Calibri" w:hAnsi="Calibri"/>
        </w:rPr>
        <w:t xml:space="preserve"> consistent with national laws. These voluntary guidelines should strike an appropriate balance between stakeholders with competing but legitimate interests. At a minimum this would include privacy, law enforcement and the industry around law enforcement.</w:t>
      </w:r>
    </w:p>
    <w:p w14:paraId="69DDFE7B" w14:textId="77777777" w:rsidR="009C3918" w:rsidRPr="004B363D" w:rsidRDefault="009C3918" w:rsidP="009C3918">
      <w:pPr>
        <w:widowControl w:val="0"/>
        <w:suppressAutoHyphens w:val="0"/>
        <w:autoSpaceDE w:val="0"/>
        <w:autoSpaceDN w:val="0"/>
        <w:adjustRightInd w:val="0"/>
        <w:rPr>
          <w:rFonts w:ascii="Calibri" w:hAnsi="Calibri"/>
        </w:rPr>
      </w:pPr>
    </w:p>
    <w:p w14:paraId="0478AFA5" w14:textId="77777777" w:rsidR="009C3918" w:rsidRPr="004B363D" w:rsidRDefault="009C3918" w:rsidP="009C3918">
      <w:pPr>
        <w:widowControl w:val="0"/>
        <w:suppressAutoHyphens w:val="0"/>
        <w:autoSpaceDE w:val="0"/>
        <w:autoSpaceDN w:val="0"/>
        <w:adjustRightInd w:val="0"/>
        <w:rPr>
          <w:rFonts w:ascii="Calibri" w:eastAsia="ＭＳ 明朝" w:hAnsi="Calibri" w:cs="Times New Roman"/>
          <w:kern w:val="0"/>
          <w:sz w:val="28"/>
          <w:szCs w:val="28"/>
          <w:lang w:eastAsia="en-US" w:bidi="ar-SA"/>
        </w:rPr>
      </w:pPr>
      <w:r w:rsidRPr="004B363D">
        <w:rPr>
          <w:rFonts w:ascii="Calibri" w:eastAsia="ＭＳ 明朝" w:hAnsi="Calibri" w:cs="Calibri"/>
          <w:kern w:val="0"/>
          <w:lang w:eastAsia="en-US" w:bidi="ar-SA"/>
        </w:rPr>
        <w:t>Such voluntary guidelines may include:</w:t>
      </w:r>
    </w:p>
    <w:p w14:paraId="24F70331" w14:textId="77777777" w:rsidR="009C3918" w:rsidRPr="004B363D" w:rsidRDefault="009C3918" w:rsidP="009C3918">
      <w:pPr>
        <w:pStyle w:val="ListParagraph"/>
        <w:widowControl w:val="0"/>
        <w:numPr>
          <w:ilvl w:val="0"/>
          <w:numId w:val="1"/>
        </w:numPr>
        <w:suppressAutoHyphens w:val="0"/>
        <w:autoSpaceDE w:val="0"/>
        <w:autoSpaceDN w:val="0"/>
        <w:adjustRightInd w:val="0"/>
        <w:rPr>
          <w:rFonts w:ascii="Calibri" w:eastAsia="ＭＳ 明朝" w:hAnsi="Calibri" w:cs="Times New Roman"/>
          <w:kern w:val="0"/>
          <w:sz w:val="28"/>
          <w:szCs w:val="28"/>
          <w:lang w:eastAsia="en-US" w:bidi="ar-SA"/>
        </w:rPr>
      </w:pPr>
      <w:r w:rsidRPr="004B363D">
        <w:rPr>
          <w:rFonts w:ascii="Calibri" w:eastAsia="ＭＳ 明朝" w:hAnsi="Calibri" w:cs="Calibri"/>
          <w:kern w:val="0"/>
          <w:lang w:eastAsia="en-US" w:bidi="ar-SA"/>
        </w:rPr>
        <w:t>Proxy services provide full contact details as required by the Whois</w:t>
      </w:r>
    </w:p>
    <w:p w14:paraId="334235C2" w14:textId="77777777" w:rsidR="009C3918" w:rsidRPr="004B363D" w:rsidRDefault="009C3918" w:rsidP="009C3918">
      <w:pPr>
        <w:pStyle w:val="ListParagraph"/>
        <w:widowControl w:val="0"/>
        <w:numPr>
          <w:ilvl w:val="0"/>
          <w:numId w:val="1"/>
        </w:numPr>
        <w:suppressAutoHyphens w:val="0"/>
        <w:autoSpaceDE w:val="0"/>
        <w:autoSpaceDN w:val="0"/>
        <w:adjustRightInd w:val="0"/>
        <w:rPr>
          <w:rFonts w:ascii="Calibri" w:eastAsia="ＭＳ 明朝" w:hAnsi="Calibri" w:cs="Times New Roman"/>
          <w:kern w:val="0"/>
          <w:sz w:val="28"/>
          <w:szCs w:val="28"/>
          <w:lang w:eastAsia="en-US" w:bidi="ar-SA"/>
        </w:rPr>
      </w:pPr>
      <w:r w:rsidRPr="004B363D">
        <w:rPr>
          <w:rFonts w:ascii="Calibri" w:eastAsia="ＭＳ 明朝" w:hAnsi="Calibri" w:cs="Calibri"/>
          <w:kern w:val="0"/>
          <w:lang w:eastAsia="en-US" w:bidi="ar-SA"/>
        </w:rPr>
        <w:t>Publication by the proxy service of its process for revealing and relaying information</w:t>
      </w:r>
    </w:p>
    <w:p w14:paraId="0E152DD8" w14:textId="77777777" w:rsidR="009C3918" w:rsidRPr="004B363D" w:rsidRDefault="009C3918" w:rsidP="009C3918">
      <w:pPr>
        <w:pStyle w:val="ListParagraph"/>
        <w:widowControl w:val="0"/>
        <w:numPr>
          <w:ilvl w:val="0"/>
          <w:numId w:val="1"/>
        </w:numPr>
        <w:suppressAutoHyphens w:val="0"/>
        <w:autoSpaceDE w:val="0"/>
        <w:autoSpaceDN w:val="0"/>
        <w:adjustRightInd w:val="0"/>
        <w:rPr>
          <w:rFonts w:ascii="Calibri" w:eastAsia="ＭＳ 明朝" w:hAnsi="Calibri" w:cs="Times New Roman"/>
          <w:kern w:val="0"/>
          <w:sz w:val="28"/>
          <w:szCs w:val="28"/>
          <w:lang w:eastAsia="en-US" w:bidi="ar-SA"/>
        </w:rPr>
      </w:pPr>
      <w:r w:rsidRPr="004B363D">
        <w:rPr>
          <w:rFonts w:ascii="Calibri" w:eastAsia="ＭＳ 明朝" w:hAnsi="Calibri" w:cs="Calibri"/>
          <w:kern w:val="0"/>
          <w:lang w:eastAsia="en-US" w:bidi="ar-SA"/>
        </w:rPr>
        <w:t>Standardization of reveal and relay processes and timeframes, consistent with national laws</w:t>
      </w:r>
    </w:p>
    <w:p w14:paraId="5D8C6D31" w14:textId="77777777" w:rsidR="009C3918" w:rsidRPr="004B363D" w:rsidRDefault="009C3918" w:rsidP="009C3918">
      <w:pPr>
        <w:pStyle w:val="ListParagraph"/>
        <w:widowControl w:val="0"/>
        <w:numPr>
          <w:ilvl w:val="0"/>
          <w:numId w:val="1"/>
        </w:numPr>
        <w:suppressAutoHyphens w:val="0"/>
        <w:autoSpaceDE w:val="0"/>
        <w:autoSpaceDN w:val="0"/>
        <w:adjustRightInd w:val="0"/>
        <w:rPr>
          <w:rFonts w:ascii="Calibri" w:eastAsia="ＭＳ 明朝" w:hAnsi="Calibri" w:cs="Times New Roman"/>
          <w:kern w:val="0"/>
          <w:sz w:val="28"/>
          <w:szCs w:val="28"/>
          <w:lang w:eastAsia="en-US" w:bidi="ar-SA"/>
        </w:rPr>
      </w:pPr>
      <w:r w:rsidRPr="004B363D">
        <w:rPr>
          <w:rFonts w:ascii="Calibri" w:eastAsia="ＭＳ 明朝" w:hAnsi="Calibri" w:cs="Calibri"/>
          <w:kern w:val="0"/>
          <w:lang w:eastAsia="en-US" w:bidi="ar-SA"/>
        </w:rPr>
        <w:t>Maintenance of a dedicated abuse point of contact for the proxy service provider</w:t>
      </w:r>
    </w:p>
    <w:p w14:paraId="6F45D3B4" w14:textId="77777777" w:rsidR="009C3918" w:rsidRPr="004B363D" w:rsidRDefault="009C3918" w:rsidP="009C3918">
      <w:pPr>
        <w:pStyle w:val="ListParagraph"/>
        <w:widowControl w:val="0"/>
        <w:numPr>
          <w:ilvl w:val="0"/>
          <w:numId w:val="1"/>
        </w:numPr>
        <w:suppressAutoHyphens w:val="0"/>
        <w:autoSpaceDE w:val="0"/>
        <w:autoSpaceDN w:val="0"/>
        <w:adjustRightInd w:val="0"/>
        <w:rPr>
          <w:rFonts w:ascii="Calibri" w:eastAsia="ＭＳ 明朝" w:hAnsi="Calibri" w:cs="Times New Roman"/>
          <w:kern w:val="0"/>
          <w:sz w:val="28"/>
          <w:szCs w:val="28"/>
          <w:lang w:eastAsia="en-US" w:bidi="ar-SA"/>
        </w:rPr>
      </w:pPr>
      <w:r w:rsidRPr="004B363D">
        <w:rPr>
          <w:rFonts w:ascii="Calibri" w:eastAsia="ＭＳ 明朝" w:hAnsi="Calibri" w:cs="Calibri"/>
          <w:kern w:val="0"/>
          <w:lang w:eastAsia="en-US" w:bidi="ar-SA"/>
        </w:rPr>
        <w:t>Due diligence checks on licensee contact information.</w:t>
      </w:r>
    </w:p>
    <w:p w14:paraId="64D7979A" w14:textId="77777777" w:rsidR="009C3918" w:rsidRPr="004B363D" w:rsidRDefault="009C3918" w:rsidP="009C3918">
      <w:pPr>
        <w:widowControl w:val="0"/>
        <w:suppressAutoHyphens w:val="0"/>
        <w:autoSpaceDE w:val="0"/>
        <w:autoSpaceDN w:val="0"/>
        <w:adjustRightInd w:val="0"/>
        <w:rPr>
          <w:rFonts w:ascii="Calibri" w:eastAsia="ＭＳ 明朝" w:hAnsi="Calibri" w:cs="Calibri"/>
          <w:kern w:val="0"/>
          <w:lang w:eastAsia="en-US" w:bidi="ar-SA"/>
        </w:rPr>
      </w:pPr>
    </w:p>
    <w:p w14:paraId="3DDFC87C" w14:textId="77777777" w:rsidR="009C3918" w:rsidRPr="004B363D" w:rsidRDefault="009C3918" w:rsidP="009C3918">
      <w:pPr>
        <w:pStyle w:val="ListParagraph"/>
        <w:widowControl w:val="0"/>
        <w:numPr>
          <w:ilvl w:val="0"/>
          <w:numId w:val="2"/>
        </w:numPr>
        <w:suppressAutoHyphens w:val="0"/>
        <w:autoSpaceDE w:val="0"/>
        <w:autoSpaceDN w:val="0"/>
        <w:adjustRightInd w:val="0"/>
        <w:rPr>
          <w:rFonts w:ascii="Calibri" w:eastAsia="ＭＳ 明朝" w:hAnsi="Calibri" w:cs="Times New Roman"/>
          <w:kern w:val="0"/>
          <w:lang w:eastAsia="en-US" w:bidi="ar-SA"/>
        </w:rPr>
      </w:pPr>
      <w:r w:rsidRPr="004B363D">
        <w:rPr>
          <w:rFonts w:ascii="Calibri" w:eastAsia="ＭＳ 明朝" w:hAnsi="Calibri" w:cs="Calibri"/>
          <w:kern w:val="0"/>
          <w:lang w:eastAsia="en-US" w:bidi="ar-SA"/>
        </w:rPr>
        <w:t xml:space="preserve"> ICANN should encourage and incentivize registrars to interact with the retail service providers that adopt the best practices.</w:t>
      </w:r>
    </w:p>
    <w:p w14:paraId="4D1B1935" w14:textId="77777777" w:rsidR="009C3918" w:rsidRPr="004B363D" w:rsidRDefault="009C3918" w:rsidP="009C3918">
      <w:pPr>
        <w:pStyle w:val="ListParagraph"/>
        <w:widowControl w:val="0"/>
        <w:suppressAutoHyphens w:val="0"/>
        <w:autoSpaceDE w:val="0"/>
        <w:autoSpaceDN w:val="0"/>
        <w:adjustRightInd w:val="0"/>
        <w:ind w:left="360"/>
        <w:rPr>
          <w:rFonts w:ascii="Calibri" w:eastAsia="ＭＳ 明朝" w:hAnsi="Calibri" w:cs="Times New Roman"/>
          <w:kern w:val="0"/>
          <w:lang w:eastAsia="en-US" w:bidi="ar-SA"/>
        </w:rPr>
      </w:pPr>
    </w:p>
    <w:p w14:paraId="23A2F021" w14:textId="77777777" w:rsidR="009C3918" w:rsidRPr="004B363D" w:rsidRDefault="009C3918" w:rsidP="009C3918">
      <w:pPr>
        <w:pStyle w:val="ListParagraph"/>
        <w:widowControl w:val="0"/>
        <w:numPr>
          <w:ilvl w:val="0"/>
          <w:numId w:val="2"/>
        </w:numPr>
        <w:suppressAutoHyphens w:val="0"/>
        <w:autoSpaceDE w:val="0"/>
        <w:autoSpaceDN w:val="0"/>
        <w:adjustRightInd w:val="0"/>
        <w:rPr>
          <w:rFonts w:ascii="Calibri" w:eastAsia="ＭＳ 明朝" w:hAnsi="Calibri" w:cs="Times New Roman"/>
          <w:kern w:val="0"/>
          <w:lang w:eastAsia="en-US" w:bidi="ar-SA"/>
        </w:rPr>
      </w:pPr>
      <w:r w:rsidRPr="004B363D">
        <w:rPr>
          <w:rFonts w:ascii="Calibri" w:eastAsia="ＭＳ 明朝" w:hAnsi="Calibri" w:cs="Calibri"/>
          <w:kern w:val="0"/>
          <w:lang w:eastAsia="en-US" w:bidi="ar-SA"/>
        </w:rPr>
        <w: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t>
      </w:r>
    </w:p>
    <w:p w14:paraId="3CE2EEB7" w14:textId="77777777" w:rsidR="009C3918" w:rsidRPr="004B363D" w:rsidRDefault="009C3918" w:rsidP="009C3918">
      <w:pPr>
        <w:pStyle w:val="ListParagraph"/>
        <w:jc w:val="both"/>
        <w:rPr>
          <w:rFonts w:ascii="Calibri" w:hAnsi="Calibri"/>
        </w:rPr>
      </w:pPr>
    </w:p>
    <w:p w14:paraId="29FE9D0E" w14:textId="77777777" w:rsidR="001769D1" w:rsidRDefault="001769D1" w:rsidP="009C3918">
      <w:pPr>
        <w:rPr>
          <w:rFonts w:ascii="Calibri" w:hAnsi="Calibri"/>
          <w:bCs/>
          <w:i/>
          <w:color w:val="000000"/>
          <w:sz w:val="28"/>
          <w:szCs w:val="28"/>
          <w:shd w:val="clear" w:color="auto" w:fill="FFFFFF"/>
        </w:rPr>
      </w:pPr>
    </w:p>
    <w:p w14:paraId="68ECBC51" w14:textId="77777777" w:rsidR="009C3918" w:rsidRPr="004B363D" w:rsidRDefault="009C3918" w:rsidP="009C3918">
      <w:pPr>
        <w:rPr>
          <w:rFonts w:ascii="Calibri" w:hAnsi="Calibri"/>
          <w:bCs/>
          <w:i/>
          <w:color w:val="000000"/>
          <w:sz w:val="28"/>
          <w:szCs w:val="28"/>
          <w:shd w:val="clear" w:color="auto" w:fill="FFFFFF"/>
        </w:rPr>
      </w:pPr>
      <w:r w:rsidRPr="004B363D">
        <w:rPr>
          <w:rFonts w:ascii="Calibri" w:hAnsi="Calibri"/>
          <w:bCs/>
          <w:i/>
          <w:color w:val="000000"/>
          <w:sz w:val="28"/>
          <w:szCs w:val="28"/>
          <w:shd w:val="clear" w:color="auto" w:fill="FFFFFF"/>
        </w:rPr>
        <w:t>Data Access – Common Interface</w:t>
      </w:r>
    </w:p>
    <w:p w14:paraId="5D016776" w14:textId="77777777" w:rsidR="009C3918" w:rsidRPr="004B363D" w:rsidRDefault="009C3918" w:rsidP="009C3918">
      <w:pPr>
        <w:rPr>
          <w:rFonts w:ascii="Calibri" w:hAnsi="Calibri"/>
          <w:b/>
          <w:bCs/>
          <w:color w:val="000000"/>
          <w:shd w:val="clear" w:color="auto" w:fill="FFFFFF"/>
        </w:rPr>
      </w:pPr>
    </w:p>
    <w:p w14:paraId="19EAF342"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To improve access to the Whois data of .COM and .NET gTLDs, the only remaining Thin Registries, ICANN should set up a dedicated, multilingual interface website to provide thick WHOIS data for them.</w:t>
      </w:r>
    </w:p>
    <w:p w14:paraId="6582F933" w14:textId="77777777" w:rsidR="009C3918" w:rsidRPr="004B363D" w:rsidRDefault="009C3918" w:rsidP="009C3918">
      <w:pPr>
        <w:spacing w:line="100" w:lineRule="atLeast"/>
        <w:rPr>
          <w:rFonts w:ascii="Calibri" w:hAnsi="Calibri"/>
        </w:rPr>
      </w:pPr>
    </w:p>
    <w:p w14:paraId="6C9F0BA4" w14:textId="77777777" w:rsidR="009C3918" w:rsidRPr="004B363D" w:rsidRDefault="009C3918" w:rsidP="009C3918">
      <w:pPr>
        <w:spacing w:line="100" w:lineRule="atLeast"/>
        <w:rPr>
          <w:rFonts w:ascii="Calibri" w:hAnsi="Calibri"/>
          <w:b/>
        </w:rPr>
      </w:pPr>
      <w:r w:rsidRPr="004B363D">
        <w:rPr>
          <w:rFonts w:ascii="Calibri" w:hAnsi="Calibri"/>
          <w:b/>
        </w:rPr>
        <w:t>ALTERNATIVE for public comment:</w:t>
      </w:r>
    </w:p>
    <w:p w14:paraId="2C8E84EC" w14:textId="77777777" w:rsidR="009C3918" w:rsidRPr="004B363D" w:rsidRDefault="009C3918" w:rsidP="009C3918">
      <w:pPr>
        <w:pStyle w:val="ListParagraph"/>
        <w:spacing w:line="100" w:lineRule="atLeast"/>
        <w:ind w:left="360"/>
        <w:rPr>
          <w:rFonts w:ascii="Calibri" w:hAnsi="Calibri"/>
        </w:rPr>
      </w:pPr>
      <w:r w:rsidRPr="00E31E55">
        <w:rPr>
          <w:rFonts w:ascii="Calibri" w:eastAsia="ＭＳ 明朝" w:hAnsi="Calibri" w:cs="Calibri"/>
          <w:kern w:val="0"/>
          <w:lang w:eastAsia="en-US" w:bidi="ar-SA"/>
        </w:rPr>
        <w:t>To make WHOIS data more accessible for consumers, ICANN should set up a dedicated, multilingual interface website to allow  "unrestricted and public access to accurate and complete WHOIS information".  Such interface should provide thick WHOIS data for all gTLD domain names.</w:t>
      </w:r>
    </w:p>
    <w:p w14:paraId="728E0C67" w14:textId="77777777" w:rsidR="009C3918" w:rsidRPr="004B363D" w:rsidRDefault="009C3918" w:rsidP="009C3918">
      <w:pPr>
        <w:pStyle w:val="ListParagraph"/>
        <w:spacing w:line="100" w:lineRule="atLeast"/>
        <w:ind w:left="360"/>
        <w:rPr>
          <w:rFonts w:ascii="Calibri" w:hAnsi="Calibri"/>
        </w:rPr>
      </w:pPr>
    </w:p>
    <w:p w14:paraId="4E7EADE0" w14:textId="77777777" w:rsidR="009C3918" w:rsidRPr="004B363D" w:rsidRDefault="009C3918" w:rsidP="009C3918">
      <w:pPr>
        <w:rPr>
          <w:rFonts w:ascii="Calibri" w:hAnsi="Calibri"/>
          <w:bCs/>
          <w:i/>
          <w:color w:val="000000"/>
          <w:sz w:val="28"/>
          <w:szCs w:val="28"/>
          <w:shd w:val="clear" w:color="auto" w:fill="FFFFFF"/>
        </w:rPr>
      </w:pPr>
      <w:r w:rsidRPr="004B363D">
        <w:rPr>
          <w:rFonts w:ascii="Calibri" w:hAnsi="Calibri"/>
          <w:bCs/>
          <w:i/>
          <w:color w:val="000000"/>
          <w:sz w:val="28"/>
          <w:szCs w:val="28"/>
          <w:shd w:val="clear" w:color="auto" w:fill="FFFFFF"/>
        </w:rPr>
        <w:t>Internationalized Domain Names</w:t>
      </w:r>
    </w:p>
    <w:p w14:paraId="6CE137EC" w14:textId="77777777" w:rsidR="009C3918" w:rsidRPr="004B363D" w:rsidRDefault="009C3918" w:rsidP="009C3918">
      <w:pPr>
        <w:rPr>
          <w:rFonts w:ascii="Calibri" w:hAnsi="Calibri"/>
          <w:b/>
          <w:bCs/>
          <w:color w:val="000000"/>
          <w:shd w:val="clear" w:color="auto" w:fill="FFFFFF"/>
        </w:rPr>
      </w:pPr>
    </w:p>
    <w:p w14:paraId="172B58DD"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t>
      </w:r>
    </w:p>
    <w:p w14:paraId="74FCE123" w14:textId="77777777" w:rsidR="009C3918" w:rsidRPr="004B363D" w:rsidRDefault="009C3918" w:rsidP="009C3918">
      <w:pPr>
        <w:widowControl w:val="0"/>
        <w:rPr>
          <w:rFonts w:ascii="Calibri" w:hAnsi="Calibri"/>
          <w:bCs/>
        </w:rPr>
      </w:pPr>
    </w:p>
    <w:p w14:paraId="2455E72A" w14:textId="77777777" w:rsidR="009C3918" w:rsidRPr="004B363D" w:rsidRDefault="009C3918" w:rsidP="009C3918">
      <w:pPr>
        <w:pStyle w:val="ListParagraph"/>
        <w:numPr>
          <w:ilvl w:val="0"/>
          <w:numId w:val="2"/>
        </w:numPr>
        <w:spacing w:line="100" w:lineRule="atLeast"/>
        <w:rPr>
          <w:rFonts w:ascii="Calibri" w:hAnsi="Calibri"/>
        </w:rPr>
      </w:pPr>
      <w:r w:rsidRPr="004B363D">
        <w:rPr>
          <w:rFonts w:ascii="Calibri" w:hAnsi="Calibri"/>
        </w:rPr>
        <w: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t>
      </w:r>
    </w:p>
    <w:p w14:paraId="0E91FC05" w14:textId="77777777" w:rsidR="009C3918" w:rsidRPr="004B363D" w:rsidRDefault="009C3918" w:rsidP="009C3918">
      <w:pPr>
        <w:widowControl w:val="0"/>
        <w:rPr>
          <w:rFonts w:ascii="Calibri" w:hAnsi="Calibri"/>
          <w:bCs/>
        </w:rPr>
      </w:pPr>
    </w:p>
    <w:p w14:paraId="117E036B" w14:textId="77777777" w:rsidR="009C3918" w:rsidRDefault="009C3918" w:rsidP="009C3918">
      <w:pPr>
        <w:pStyle w:val="ListParagraph"/>
        <w:numPr>
          <w:ilvl w:val="0"/>
          <w:numId w:val="2"/>
        </w:numPr>
        <w:spacing w:line="100" w:lineRule="atLeast"/>
        <w:rPr>
          <w:rFonts w:ascii="Calibri" w:hAnsi="Calibri"/>
        </w:rPr>
      </w:pPr>
      <w:r w:rsidRPr="004B363D">
        <w:rPr>
          <w:rFonts w:ascii="Calibri" w:hAnsi="Calibri"/>
        </w:rPr>
        <w: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t>
      </w:r>
    </w:p>
    <w:p w14:paraId="177249B6" w14:textId="77777777" w:rsidR="00EE0096" w:rsidRPr="00EE0096" w:rsidRDefault="00EE0096" w:rsidP="00EE0096">
      <w:pPr>
        <w:spacing w:line="100" w:lineRule="atLeast"/>
        <w:rPr>
          <w:rFonts w:ascii="Calibri" w:hAnsi="Calibri"/>
        </w:rPr>
      </w:pPr>
    </w:p>
    <w:p w14:paraId="2A55CACF" w14:textId="77777777" w:rsidR="007D4407" w:rsidRDefault="007D4407">
      <w:pPr>
        <w:rPr>
          <w:sz w:val="28"/>
          <w:szCs w:val="28"/>
        </w:rPr>
      </w:pPr>
    </w:p>
    <w:p w14:paraId="27DBDE1B" w14:textId="77777777" w:rsidR="001769D1" w:rsidRDefault="001769D1">
      <w:pPr>
        <w:rPr>
          <w:sz w:val="28"/>
          <w:szCs w:val="28"/>
        </w:rPr>
      </w:pPr>
    </w:p>
    <w:p w14:paraId="38E4783E" w14:textId="77777777" w:rsidR="001769D1" w:rsidRDefault="001769D1">
      <w:pPr>
        <w:rPr>
          <w:sz w:val="28"/>
          <w:szCs w:val="28"/>
        </w:rPr>
      </w:pPr>
    </w:p>
    <w:p w14:paraId="2FE5B279" w14:textId="77777777" w:rsidR="001769D1" w:rsidRDefault="001769D1">
      <w:pPr>
        <w:rPr>
          <w:sz w:val="28"/>
          <w:szCs w:val="28"/>
        </w:rPr>
      </w:pPr>
    </w:p>
    <w:p w14:paraId="19FC9E88" w14:textId="77777777" w:rsidR="001769D1" w:rsidRPr="00EE0096" w:rsidRDefault="001769D1">
      <w:pPr>
        <w:rPr>
          <w:sz w:val="28"/>
          <w:szCs w:val="28"/>
        </w:rPr>
      </w:pPr>
    </w:p>
    <w:p w14:paraId="1E69692A" w14:textId="0D4241AC" w:rsidR="00B03DE4" w:rsidRPr="00EE0096" w:rsidRDefault="00EE0096" w:rsidP="00EE0096">
      <w:pPr>
        <w:jc w:val="center"/>
        <w:rPr>
          <w:rFonts w:asciiTheme="majorHAnsi" w:hAnsiTheme="majorHAnsi"/>
          <w:b/>
          <w:sz w:val="28"/>
          <w:szCs w:val="28"/>
        </w:rPr>
      </w:pPr>
      <w:r w:rsidRPr="00EE0096">
        <w:rPr>
          <w:rFonts w:asciiTheme="majorHAnsi" w:hAnsiTheme="majorHAnsi"/>
          <w:b/>
          <w:sz w:val="28"/>
          <w:szCs w:val="28"/>
        </w:rPr>
        <w:t>THE REVIEW TEAM ALSO SEEKS FEEDBACK ON</w:t>
      </w:r>
    </w:p>
    <w:p w14:paraId="71D7DC16" w14:textId="77777777" w:rsidR="00EE0096" w:rsidRDefault="00EE0096" w:rsidP="00EE0096">
      <w:pPr>
        <w:jc w:val="center"/>
        <w:rPr>
          <w:rFonts w:asciiTheme="majorHAnsi" w:hAnsiTheme="majorHAnsi"/>
        </w:rPr>
      </w:pPr>
    </w:p>
    <w:p w14:paraId="65436E7D" w14:textId="77777777" w:rsidR="00EE0096" w:rsidRPr="00EE0096" w:rsidRDefault="00EE0096" w:rsidP="00EE0096">
      <w:pPr>
        <w:numPr>
          <w:ilvl w:val="0"/>
          <w:numId w:val="7"/>
        </w:numPr>
        <w:shd w:val="clear" w:color="auto" w:fill="FFFFFF"/>
        <w:suppressAutoHyphens w:val="0"/>
        <w:spacing w:before="100" w:beforeAutospacing="1" w:after="75" w:line="330" w:lineRule="atLeast"/>
        <w:ind w:left="300" w:right="525"/>
        <w:rPr>
          <w:rFonts w:asciiTheme="majorHAnsi" w:eastAsia="Times New Roman" w:hAnsiTheme="majorHAnsi" w:cs="Arial"/>
          <w:kern w:val="0"/>
          <w:lang w:eastAsia="en-US" w:bidi="ar-SA"/>
        </w:rPr>
      </w:pPr>
      <w:r w:rsidRPr="00EE0096">
        <w:rPr>
          <w:rFonts w:asciiTheme="majorHAnsi" w:eastAsia="Times New Roman" w:hAnsiTheme="majorHAnsi" w:cs="Arial"/>
          <w:kern w:val="0"/>
          <w:lang w:eastAsia="en-US" w:bidi="ar-SA"/>
        </w:rPr>
        <w:t>Acceptable timeframes for ICANN to implement the Review Team's recommendations;</w:t>
      </w:r>
    </w:p>
    <w:p w14:paraId="66F2AF4A" w14:textId="77777777" w:rsidR="00EE0096" w:rsidRPr="00EE0096" w:rsidRDefault="00EE0096" w:rsidP="00EE0096">
      <w:pPr>
        <w:numPr>
          <w:ilvl w:val="0"/>
          <w:numId w:val="7"/>
        </w:numPr>
        <w:shd w:val="clear" w:color="auto" w:fill="FFFFFF"/>
        <w:suppressAutoHyphens w:val="0"/>
        <w:spacing w:before="100" w:beforeAutospacing="1" w:after="75" w:line="330" w:lineRule="atLeast"/>
        <w:ind w:left="300" w:right="525"/>
        <w:rPr>
          <w:rFonts w:asciiTheme="majorHAnsi" w:eastAsia="Times New Roman" w:hAnsiTheme="majorHAnsi" w:cs="Arial"/>
          <w:kern w:val="0"/>
          <w:lang w:eastAsia="en-US" w:bidi="ar-SA"/>
        </w:rPr>
      </w:pPr>
      <w:r w:rsidRPr="00EE0096">
        <w:rPr>
          <w:rFonts w:asciiTheme="majorHAnsi" w:eastAsia="Times New Roman" w:hAnsiTheme="majorHAnsi" w:cs="Arial"/>
          <w:kern w:val="0"/>
          <w:lang w:eastAsia="en-US" w:bidi="ar-SA"/>
        </w:rPr>
        <w:t>Particular ICANN departments, staff or supporting organizations which ought to be tasked with particular recommendations, with some explanation;</w:t>
      </w:r>
    </w:p>
    <w:p w14:paraId="073B89B8" w14:textId="77777777" w:rsidR="00EE0096" w:rsidRPr="00EE0096" w:rsidRDefault="00EE0096" w:rsidP="00EE0096">
      <w:pPr>
        <w:numPr>
          <w:ilvl w:val="0"/>
          <w:numId w:val="7"/>
        </w:numPr>
        <w:shd w:val="clear" w:color="auto" w:fill="FFFFFF"/>
        <w:suppressAutoHyphens w:val="0"/>
        <w:spacing w:before="100" w:beforeAutospacing="1" w:after="75" w:line="330" w:lineRule="atLeast"/>
        <w:ind w:left="300" w:right="525"/>
        <w:rPr>
          <w:rFonts w:asciiTheme="majorHAnsi" w:eastAsia="Times New Roman" w:hAnsiTheme="majorHAnsi" w:cs="Arial"/>
          <w:kern w:val="0"/>
          <w:lang w:eastAsia="en-US" w:bidi="ar-SA"/>
        </w:rPr>
      </w:pPr>
      <w:r w:rsidRPr="00EE0096">
        <w:rPr>
          <w:rFonts w:asciiTheme="majorHAnsi" w:eastAsia="Times New Roman" w:hAnsiTheme="majorHAnsi" w:cs="Arial"/>
          <w:kern w:val="0"/>
          <w:lang w:eastAsia="en-US" w:bidi="ar-SA"/>
        </w:rPr>
        <w:t>Input on all Recommendations, including Recommendation 17 in which two variations of scope are presented for the "common interface" recommendation;</w:t>
      </w:r>
    </w:p>
    <w:p w14:paraId="121F1789" w14:textId="77777777" w:rsidR="00EE0096" w:rsidRPr="00EE0096" w:rsidRDefault="00EE0096" w:rsidP="00EE0096">
      <w:pPr>
        <w:numPr>
          <w:ilvl w:val="0"/>
          <w:numId w:val="7"/>
        </w:numPr>
        <w:shd w:val="clear" w:color="auto" w:fill="FFFFFF"/>
        <w:suppressAutoHyphens w:val="0"/>
        <w:spacing w:before="100" w:beforeAutospacing="1" w:after="75" w:line="330" w:lineRule="atLeast"/>
        <w:ind w:left="300" w:right="525"/>
        <w:rPr>
          <w:rFonts w:asciiTheme="majorHAnsi" w:eastAsia="Times New Roman" w:hAnsiTheme="majorHAnsi" w:cs="Arial"/>
          <w:kern w:val="0"/>
          <w:lang w:eastAsia="en-US" w:bidi="ar-SA"/>
        </w:rPr>
      </w:pPr>
      <w:r w:rsidRPr="00EE0096">
        <w:rPr>
          <w:rFonts w:asciiTheme="majorHAnsi" w:eastAsia="Times New Roman" w:hAnsiTheme="majorHAnsi" w:cs="Arial"/>
          <w:kern w:val="0"/>
          <w:lang w:eastAsia="en-US" w:bidi="ar-SA"/>
        </w:rPr>
        <w:t>Input on effective and efficient mechanisms for monitoring ICANN's progress in implementing the final Recommendations between completion of this Report and start of the next WHOIS Policy Review Team; and</w:t>
      </w:r>
    </w:p>
    <w:p w14:paraId="4DD6A561" w14:textId="77777777" w:rsidR="00EE0096" w:rsidRPr="00EE0096" w:rsidRDefault="00EE0096" w:rsidP="00EE0096">
      <w:pPr>
        <w:numPr>
          <w:ilvl w:val="0"/>
          <w:numId w:val="7"/>
        </w:numPr>
        <w:shd w:val="clear" w:color="auto" w:fill="FFFFFF"/>
        <w:suppressAutoHyphens w:val="0"/>
        <w:spacing w:before="100" w:beforeAutospacing="1" w:after="75" w:line="330" w:lineRule="atLeast"/>
        <w:ind w:left="300" w:right="525"/>
        <w:rPr>
          <w:rFonts w:asciiTheme="majorHAnsi" w:eastAsia="Times New Roman" w:hAnsiTheme="majorHAnsi" w:cs="Arial"/>
          <w:kern w:val="0"/>
          <w:lang w:eastAsia="en-US" w:bidi="ar-SA"/>
        </w:rPr>
      </w:pPr>
      <w:r w:rsidRPr="00EE0096">
        <w:rPr>
          <w:rFonts w:asciiTheme="majorHAnsi" w:eastAsia="Times New Roman" w:hAnsiTheme="majorHAnsi" w:cs="Arial"/>
          <w:kern w:val="0"/>
          <w:lang w:eastAsia="en-US" w:bidi="ar-SA"/>
        </w:rPr>
        <w:t>Additional input and notes.</w:t>
      </w:r>
    </w:p>
    <w:p w14:paraId="4E7304CD" w14:textId="77777777" w:rsidR="00B03DE4" w:rsidRDefault="00B03DE4"/>
    <w:p w14:paraId="2D8C1BD1" w14:textId="77777777" w:rsidR="00B03DE4" w:rsidRDefault="00B03DE4"/>
    <w:p w14:paraId="7313F79D" w14:textId="77777777" w:rsidR="00B03DE4" w:rsidRDefault="00B03DE4"/>
    <w:p w14:paraId="24C0B2ED" w14:textId="50B72DEB" w:rsidR="006F2CC1" w:rsidRPr="00B03DE4" w:rsidRDefault="006F2CC1" w:rsidP="00B03DE4">
      <w:pPr>
        <w:jc w:val="center"/>
        <w:rPr>
          <w:rFonts w:asciiTheme="majorHAnsi" w:hAnsiTheme="majorHAnsi"/>
          <w:b/>
          <w:sz w:val="28"/>
          <w:szCs w:val="28"/>
        </w:rPr>
      </w:pPr>
      <w:r w:rsidRPr="00B03DE4">
        <w:rPr>
          <w:rFonts w:asciiTheme="majorHAnsi" w:hAnsiTheme="majorHAnsi"/>
          <w:b/>
          <w:sz w:val="28"/>
          <w:szCs w:val="28"/>
        </w:rPr>
        <w:t xml:space="preserve">Please submit your comments to </w:t>
      </w:r>
      <w:hyperlink r:id="rId20" w:history="1">
        <w:r w:rsidR="00B03DE4" w:rsidRPr="00B03DE4">
          <w:rPr>
            <w:rStyle w:val="Hyperlink"/>
            <w:rFonts w:asciiTheme="majorHAnsi" w:hAnsiTheme="majorHAnsi"/>
            <w:b/>
            <w:sz w:val="28"/>
            <w:szCs w:val="28"/>
          </w:rPr>
          <w:t>whois-rt-draft-final-report@icann.org</w:t>
        </w:r>
      </w:hyperlink>
      <w:r w:rsidR="00B03DE4" w:rsidRPr="00B03DE4">
        <w:rPr>
          <w:rFonts w:asciiTheme="majorHAnsi" w:hAnsiTheme="majorHAnsi"/>
          <w:b/>
          <w:sz w:val="28"/>
          <w:szCs w:val="28"/>
        </w:rPr>
        <w:t xml:space="preserve"> by 18 March 2012 – 23:59 UTC.</w:t>
      </w:r>
    </w:p>
    <w:sectPr w:rsidR="006F2CC1" w:rsidRPr="00B03DE4" w:rsidSect="00FA5085">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A2F11" w14:textId="77777777" w:rsidR="006F2CC1" w:rsidRDefault="006F2CC1" w:rsidP="009C3918">
      <w:r>
        <w:separator/>
      </w:r>
    </w:p>
  </w:endnote>
  <w:endnote w:type="continuationSeparator" w:id="0">
    <w:p w14:paraId="4FB7F979" w14:textId="77777777" w:rsidR="006F2CC1" w:rsidRDefault="006F2CC1" w:rsidP="009C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A5BC" w14:textId="77777777" w:rsidR="006F2CC1" w:rsidRDefault="006F2CC1" w:rsidP="006F2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ECFC5" w14:textId="77777777" w:rsidR="006F2CC1" w:rsidRDefault="006F2CC1" w:rsidP="006F2C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95D5" w14:textId="77777777" w:rsidR="006F2CC1" w:rsidRDefault="006F2CC1" w:rsidP="006F2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702">
      <w:rPr>
        <w:rStyle w:val="PageNumber"/>
        <w:noProof/>
      </w:rPr>
      <w:t>1</w:t>
    </w:r>
    <w:r>
      <w:rPr>
        <w:rStyle w:val="PageNumber"/>
      </w:rPr>
      <w:fldChar w:fldCharType="end"/>
    </w:r>
  </w:p>
  <w:p w14:paraId="563CE031" w14:textId="77777777" w:rsidR="006F2CC1" w:rsidRDefault="006F2CC1" w:rsidP="006F2C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1DBF" w14:textId="77777777" w:rsidR="006F2CC1" w:rsidRDefault="006F2CC1" w:rsidP="009C3918">
      <w:r>
        <w:separator/>
      </w:r>
    </w:p>
  </w:footnote>
  <w:footnote w:type="continuationSeparator" w:id="0">
    <w:p w14:paraId="1D572D3A" w14:textId="77777777" w:rsidR="006F2CC1" w:rsidRDefault="006F2CC1" w:rsidP="009C3918">
      <w:r>
        <w:continuationSeparator/>
      </w:r>
    </w:p>
  </w:footnote>
  <w:footnote w:id="1">
    <w:p w14:paraId="34FBA66C" w14:textId="77777777" w:rsidR="006F2CC1" w:rsidRPr="004B363D" w:rsidRDefault="006F2CC1" w:rsidP="009C3918">
      <w:pPr>
        <w:widowControl w:val="0"/>
        <w:suppressAutoHyphens w:val="0"/>
        <w:autoSpaceDE w:val="0"/>
        <w:autoSpaceDN w:val="0"/>
        <w:adjustRightInd w:val="0"/>
        <w:rPr>
          <w:rFonts w:ascii="Times" w:eastAsia="ＭＳ 明朝" w:hAnsi="Times" w:cs="Times New Roman"/>
          <w:kern w:val="0"/>
          <w:sz w:val="16"/>
          <w:szCs w:val="16"/>
          <w:lang w:eastAsia="en-US" w:bidi="ar-SA"/>
        </w:rPr>
      </w:pPr>
      <w:r w:rsidRPr="003743AB">
        <w:rPr>
          <w:rStyle w:val="FootnoteReference"/>
          <w:rFonts w:ascii="Times" w:hAnsi="Times"/>
          <w:sz w:val="16"/>
          <w:szCs w:val="16"/>
        </w:rPr>
        <w:footnoteRef/>
      </w:r>
      <w:r w:rsidRPr="003743AB">
        <w:rPr>
          <w:rFonts w:ascii="Times" w:hAnsi="Times"/>
          <w:sz w:val="16"/>
          <w:szCs w:val="16"/>
        </w:rPr>
        <w:t xml:space="preserve"> </w:t>
      </w:r>
      <w:r w:rsidRPr="004B363D">
        <w:rPr>
          <w:rFonts w:ascii="Times" w:eastAsia="ＭＳ 明朝" w:hAnsi="Times" w:cs="Calibri"/>
          <w:kern w:val="0"/>
          <w:sz w:val="16"/>
          <w:szCs w:val="16"/>
          <w:lang w:eastAsia="en-US" w:bidi="ar-SA"/>
        </w:rPr>
        <w:t>As guidance to the Community and as useful background for the Proxy Service Recommendations, the Review Team provides its working definitions of proxy service and different types of proxy service providers:</w:t>
      </w:r>
    </w:p>
    <w:p w14:paraId="352C5474" w14:textId="77777777" w:rsidR="006F2CC1" w:rsidRPr="004B363D" w:rsidRDefault="006F2CC1" w:rsidP="009C3918">
      <w:pPr>
        <w:widowControl w:val="0"/>
        <w:suppressAutoHyphens w:val="0"/>
        <w:autoSpaceDE w:val="0"/>
        <w:autoSpaceDN w:val="0"/>
        <w:adjustRightInd w:val="0"/>
        <w:rPr>
          <w:rFonts w:ascii="Times" w:eastAsia="ＭＳ 明朝" w:hAnsi="Times" w:cs="Times New Roman"/>
          <w:kern w:val="0"/>
          <w:sz w:val="16"/>
          <w:szCs w:val="16"/>
          <w:lang w:eastAsia="en-US" w:bidi="ar-SA"/>
        </w:rPr>
      </w:pPr>
      <w:r w:rsidRPr="004B363D">
        <w:rPr>
          <w:rFonts w:ascii="Times" w:eastAsia="ＭＳ 明朝" w:hAnsi="Times" w:cs="Times New Roman"/>
          <w:kern w:val="0"/>
          <w:sz w:val="16"/>
          <w:szCs w:val="16"/>
          <w:lang w:eastAsia="en-US" w:bidi="ar-SA"/>
        </w:rPr>
        <w:t>- </w:t>
      </w:r>
      <w:r w:rsidRPr="004B363D">
        <w:rPr>
          <w:rFonts w:ascii="Times" w:eastAsia="ＭＳ 明朝" w:hAnsi="Times" w:cs="Times New Roman"/>
          <w:b/>
          <w:bCs/>
          <w:kern w:val="0"/>
          <w:sz w:val="16"/>
          <w:szCs w:val="16"/>
          <w:u w:val="single"/>
          <w:lang w:eastAsia="en-US" w:bidi="ar-SA"/>
        </w:rPr>
        <w:t>Proxy Service</w:t>
      </w:r>
      <w:r w:rsidRPr="004B363D">
        <w:rPr>
          <w:rFonts w:ascii="Times" w:eastAsia="ＭＳ 明朝" w:hAnsi="Times" w:cs="Times New Roman"/>
          <w:b/>
          <w:bCs/>
          <w:kern w:val="0"/>
          <w:sz w:val="16"/>
          <w:szCs w:val="16"/>
          <w:lang w:eastAsia="en-US" w:bidi="ar-SA"/>
        </w:rPr>
        <w:t> </w:t>
      </w:r>
      <w:r w:rsidRPr="004B363D">
        <w:rPr>
          <w:rFonts w:ascii="Times" w:eastAsia="ＭＳ 明朝" w:hAnsi="Times" w:cs="Times New Roman"/>
          <w:kern w:val="0"/>
          <w:sz w:val="16"/>
          <w:szCs w:val="16"/>
          <w:lang w:eastAsia="en-US" w:bidi="ar-SA"/>
        </w:rPr>
        <w:t xml:space="preserve">– </w:t>
      </w:r>
      <w:r w:rsidRPr="004B363D">
        <w:rPr>
          <w:rFonts w:ascii="Calibri" w:eastAsia="ＭＳ 明朝" w:hAnsi="Calibri" w:cs="Calibri"/>
          <w:kern w:val="0"/>
          <w:sz w:val="16"/>
          <w:szCs w:val="16"/>
          <w:lang w:eastAsia="en-US" w:bidi="ar-SA"/>
        </w:rPr>
        <w:t>a relationship in which the registrant is acting on behalf of another. The WHOIS data is that of the agent and the agent alone obtains all rights and assumes all responsibility for the domain name and its manner of use.</w:t>
      </w:r>
    </w:p>
    <w:p w14:paraId="00B0AA1B" w14:textId="77777777" w:rsidR="006F2CC1" w:rsidRPr="004B363D" w:rsidRDefault="006F2CC1" w:rsidP="009C3918">
      <w:pPr>
        <w:widowControl w:val="0"/>
        <w:suppressAutoHyphens w:val="0"/>
        <w:autoSpaceDE w:val="0"/>
        <w:autoSpaceDN w:val="0"/>
        <w:adjustRightInd w:val="0"/>
        <w:rPr>
          <w:rFonts w:ascii="Times" w:eastAsia="ＭＳ 明朝" w:hAnsi="Times" w:cs="Times New Roman"/>
          <w:kern w:val="0"/>
          <w:sz w:val="16"/>
          <w:szCs w:val="16"/>
          <w:lang w:eastAsia="en-US" w:bidi="ar-SA"/>
        </w:rPr>
      </w:pPr>
      <w:r w:rsidRPr="004B363D">
        <w:rPr>
          <w:rFonts w:ascii="Times" w:eastAsia="ＭＳ 明朝" w:hAnsi="Times" w:cs="Times New Roman"/>
          <w:i/>
          <w:iCs/>
          <w:kern w:val="0"/>
          <w:sz w:val="16"/>
          <w:szCs w:val="16"/>
          <w:lang w:eastAsia="en-US" w:bidi="ar-SA"/>
        </w:rPr>
        <w:t>- </w:t>
      </w:r>
      <w:r w:rsidRPr="004B363D">
        <w:rPr>
          <w:rFonts w:ascii="Times" w:eastAsia="ＭＳ 明朝" w:hAnsi="Times" w:cs="Times New Roman"/>
          <w:b/>
          <w:bCs/>
          <w:kern w:val="0"/>
          <w:sz w:val="16"/>
          <w:szCs w:val="16"/>
          <w:u w:val="single"/>
          <w:lang w:eastAsia="en-US" w:bidi="ar-SA"/>
        </w:rPr>
        <w:t xml:space="preserve">Affiliated </w:t>
      </w:r>
      <w:r w:rsidRPr="004B363D">
        <w:rPr>
          <w:rFonts w:ascii="Times" w:eastAsia="ＭＳ 明朝" w:hAnsi="Times" w:cs="Times New Roman"/>
          <w:b/>
          <w:bCs/>
          <w:kern w:val="0"/>
          <w:sz w:val="16"/>
          <w:szCs w:val="16"/>
          <w:lang w:eastAsia="en-US" w:bidi="ar-SA"/>
        </w:rPr>
        <w:t xml:space="preserve">Registrar </w:t>
      </w:r>
      <w:r w:rsidRPr="004B363D">
        <w:rPr>
          <w:rFonts w:ascii="Times" w:eastAsia="ＭＳ 明朝" w:hAnsi="Times" w:cs="Times New Roman"/>
          <w:kern w:val="0"/>
          <w:sz w:val="16"/>
          <w:szCs w:val="16"/>
          <w:lang w:eastAsia="en-US" w:bidi="ar-SA"/>
        </w:rPr>
        <w:t>– another ICANN accredited registrar that operates under a common controlling interest (2009 Registrar Accreditation Agreement, Section 1.20)</w:t>
      </w:r>
    </w:p>
    <w:p w14:paraId="147A779F" w14:textId="77777777" w:rsidR="006F2CC1" w:rsidRPr="004B363D" w:rsidRDefault="006F2CC1" w:rsidP="009C3918">
      <w:pPr>
        <w:widowControl w:val="0"/>
        <w:suppressAutoHyphens w:val="0"/>
        <w:autoSpaceDE w:val="0"/>
        <w:autoSpaceDN w:val="0"/>
        <w:adjustRightInd w:val="0"/>
        <w:rPr>
          <w:rFonts w:ascii="Times" w:eastAsia="ＭＳ 明朝" w:hAnsi="Times" w:cs="Times New Roman"/>
          <w:kern w:val="0"/>
          <w:sz w:val="16"/>
          <w:szCs w:val="16"/>
          <w:lang w:eastAsia="en-US" w:bidi="ar-SA"/>
        </w:rPr>
      </w:pPr>
      <w:r w:rsidRPr="004B363D">
        <w:rPr>
          <w:rFonts w:ascii="Times" w:eastAsia="ＭＳ 明朝" w:hAnsi="Times" w:cs="Times New Roman"/>
          <w:kern w:val="0"/>
          <w:sz w:val="16"/>
          <w:szCs w:val="16"/>
          <w:lang w:eastAsia="en-US" w:bidi="ar-SA"/>
        </w:rPr>
        <w:t>- </w:t>
      </w:r>
      <w:r w:rsidRPr="004B363D">
        <w:rPr>
          <w:rFonts w:ascii="Times" w:eastAsia="ＭＳ 明朝" w:hAnsi="Times" w:cs="Times New Roman"/>
          <w:b/>
          <w:bCs/>
          <w:kern w:val="0"/>
          <w:sz w:val="16"/>
          <w:szCs w:val="16"/>
          <w:lang w:eastAsia="en-US" w:bidi="ar-SA"/>
        </w:rPr>
        <w:t>Affiliate retail proxy service provider </w:t>
      </w:r>
      <w:r w:rsidRPr="004B363D">
        <w:rPr>
          <w:rFonts w:ascii="Times" w:eastAsia="ＭＳ 明朝" w:hAnsi="Times" w:cs="Times New Roman"/>
          <w:kern w:val="0"/>
          <w:sz w:val="16"/>
          <w:szCs w:val="16"/>
          <w:lang w:eastAsia="en-US" w:bidi="ar-SA"/>
        </w:rPr>
        <w:t>– entity operating under a common controlling interest of a registrar.</w:t>
      </w:r>
    </w:p>
    <w:p w14:paraId="394BCFE0" w14:textId="77777777" w:rsidR="006F2CC1" w:rsidRPr="004B363D" w:rsidRDefault="006F2CC1" w:rsidP="009C3918">
      <w:pPr>
        <w:widowControl w:val="0"/>
        <w:suppressAutoHyphens w:val="0"/>
        <w:autoSpaceDE w:val="0"/>
        <w:autoSpaceDN w:val="0"/>
        <w:adjustRightInd w:val="0"/>
        <w:rPr>
          <w:rFonts w:ascii="Times" w:eastAsia="ＭＳ 明朝" w:hAnsi="Times" w:cs="Times New Roman"/>
          <w:kern w:val="0"/>
          <w:sz w:val="16"/>
          <w:szCs w:val="16"/>
          <w:lang w:eastAsia="en-US" w:bidi="ar-SA"/>
        </w:rPr>
      </w:pPr>
      <w:r w:rsidRPr="004B363D">
        <w:rPr>
          <w:rFonts w:ascii="Times" w:eastAsia="ＭＳ 明朝" w:hAnsi="Times" w:cs="Times New Roman"/>
          <w:kern w:val="0"/>
          <w:sz w:val="16"/>
          <w:szCs w:val="16"/>
          <w:lang w:eastAsia="en-US" w:bidi="ar-SA"/>
        </w:rPr>
        <w:t>- </w:t>
      </w:r>
      <w:r w:rsidRPr="004B363D">
        <w:rPr>
          <w:rFonts w:ascii="Times" w:eastAsia="ＭＳ 明朝" w:hAnsi="Times" w:cs="Times New Roman"/>
          <w:b/>
          <w:bCs/>
          <w:kern w:val="0"/>
          <w:sz w:val="16"/>
          <w:szCs w:val="16"/>
          <w:lang w:eastAsia="en-US" w:bidi="ar-SA"/>
        </w:rPr>
        <w:t>Retail proxy service provider </w:t>
      </w:r>
      <w:r w:rsidRPr="004B363D">
        <w:rPr>
          <w:rFonts w:ascii="Times" w:eastAsia="ＭＳ 明朝" w:hAnsi="Times" w:cs="Times New Roman"/>
          <w:kern w:val="0"/>
          <w:sz w:val="16"/>
          <w:szCs w:val="16"/>
          <w:lang w:eastAsia="en-US" w:bidi="ar-SA"/>
        </w:rPr>
        <w:t>- proxy service with little or no knowledge of the entity or individual requesting the service  beyond their ability to pay and their agreement to</w:t>
      </w:r>
      <w:r w:rsidRPr="004B363D">
        <w:rPr>
          <w:rFonts w:eastAsia="ＭＳ 明朝" w:cs="Times New Roman"/>
          <w:kern w:val="0"/>
          <w:lang w:eastAsia="en-US" w:bidi="ar-SA"/>
        </w:rPr>
        <w:t xml:space="preserve"> </w:t>
      </w:r>
      <w:r w:rsidRPr="004B363D">
        <w:rPr>
          <w:rFonts w:ascii="Times" w:eastAsia="ＭＳ 明朝" w:hAnsi="Times" w:cs="Times New Roman"/>
          <w:kern w:val="0"/>
          <w:sz w:val="16"/>
          <w:szCs w:val="16"/>
          <w:lang w:eastAsia="en-US" w:bidi="ar-SA"/>
        </w:rPr>
        <w:t>the  general terms and conditions.</w:t>
      </w:r>
    </w:p>
    <w:p w14:paraId="2C72A3CC" w14:textId="77777777" w:rsidR="006F2CC1" w:rsidRPr="004B363D" w:rsidRDefault="006F2CC1" w:rsidP="009C3918">
      <w:pPr>
        <w:widowControl w:val="0"/>
        <w:suppressAutoHyphens w:val="0"/>
        <w:autoSpaceDE w:val="0"/>
        <w:autoSpaceDN w:val="0"/>
        <w:adjustRightInd w:val="0"/>
        <w:rPr>
          <w:rFonts w:eastAsia="ＭＳ 明朝" w:cs="Times New Roman"/>
          <w:kern w:val="0"/>
          <w:sz w:val="28"/>
          <w:szCs w:val="28"/>
          <w:lang w:eastAsia="en-US" w:bidi="ar-SA"/>
        </w:rPr>
      </w:pPr>
      <w:r w:rsidRPr="004B363D">
        <w:rPr>
          <w:rFonts w:ascii="Times" w:eastAsia="ＭＳ 明朝" w:hAnsi="Times" w:cs="Calibri"/>
          <w:kern w:val="0"/>
          <w:sz w:val="16"/>
          <w:szCs w:val="16"/>
          <w:lang w:eastAsia="en-US" w:bidi="ar-SA"/>
        </w:rPr>
        <w:t>- </w:t>
      </w:r>
      <w:r w:rsidRPr="004B363D">
        <w:rPr>
          <w:rFonts w:ascii="Times" w:eastAsia="ＭＳ 明朝" w:hAnsi="Times" w:cs="Calibri"/>
          <w:b/>
          <w:bCs/>
          <w:kern w:val="0"/>
          <w:sz w:val="16"/>
          <w:szCs w:val="16"/>
          <w:u w:val="single"/>
          <w:lang w:eastAsia="en-US" w:bidi="ar-SA"/>
        </w:rPr>
        <w:t>Limited proxy service provider </w:t>
      </w:r>
      <w:r w:rsidRPr="004B363D">
        <w:rPr>
          <w:rFonts w:ascii="Times" w:eastAsia="ＭＳ 明朝" w:hAnsi="Times" w:cs="Calibri"/>
          <w:kern w:val="0"/>
          <w:sz w:val="16"/>
          <w:szCs w:val="16"/>
          <w:lang w:eastAsia="en-US" w:bidi="ar-SA"/>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93"/>
    <w:multiLevelType w:val="multilevel"/>
    <w:tmpl w:val="9C5859C0"/>
    <w:lvl w:ilvl="0">
      <w:start w:val="1"/>
      <w:numFmt w:val="decimal"/>
      <w:lvlText w:val="%1."/>
      <w:lvlJc w:val="left"/>
      <w:pPr>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882B79"/>
    <w:multiLevelType w:val="hybridMultilevel"/>
    <w:tmpl w:val="133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6197B"/>
    <w:multiLevelType w:val="hybridMultilevel"/>
    <w:tmpl w:val="53A2D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5B6EDF"/>
    <w:multiLevelType w:val="hybridMultilevel"/>
    <w:tmpl w:val="7026DF46"/>
    <w:lvl w:ilvl="0" w:tplc="C290AC8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B23DE"/>
    <w:multiLevelType w:val="multilevel"/>
    <w:tmpl w:val="4BF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E4555"/>
    <w:multiLevelType w:val="hybridMultilevel"/>
    <w:tmpl w:val="0D0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E30E7"/>
    <w:multiLevelType w:val="hybridMultilevel"/>
    <w:tmpl w:val="80C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18"/>
    <w:rsid w:val="001769D1"/>
    <w:rsid w:val="001C1702"/>
    <w:rsid w:val="006F2CC1"/>
    <w:rsid w:val="007D4407"/>
    <w:rsid w:val="009C3918"/>
    <w:rsid w:val="00AF6269"/>
    <w:rsid w:val="00B03DE4"/>
    <w:rsid w:val="00D040F0"/>
    <w:rsid w:val="00EE0096"/>
    <w:rsid w:val="00FA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C6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18"/>
    <w:pPr>
      <w:suppressAutoHyphens/>
    </w:pPr>
    <w:rPr>
      <w:rFonts w:ascii="Times New Roman" w:eastAsia="Lucida Sans Unicode"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C3918"/>
    <w:rPr>
      <w:vertAlign w:val="superscript"/>
    </w:rPr>
  </w:style>
  <w:style w:type="paragraph" w:styleId="ListParagraph">
    <w:name w:val="List Paragraph"/>
    <w:basedOn w:val="Normal"/>
    <w:qFormat/>
    <w:rsid w:val="009C3918"/>
    <w:pPr>
      <w:ind w:left="720"/>
    </w:pPr>
  </w:style>
  <w:style w:type="paragraph" w:customStyle="1" w:styleId="NoteLevel11">
    <w:name w:val="Note Level 11"/>
    <w:basedOn w:val="Normal"/>
    <w:rsid w:val="009C3918"/>
    <w:pPr>
      <w:keepNext/>
    </w:pPr>
    <w:rPr>
      <w:rFonts w:ascii="Verdana" w:hAnsi="Verdana"/>
    </w:rPr>
  </w:style>
  <w:style w:type="character" w:styleId="Hyperlink">
    <w:name w:val="Hyperlink"/>
    <w:basedOn w:val="DefaultParagraphFont"/>
    <w:uiPriority w:val="99"/>
    <w:unhideWhenUsed/>
    <w:rsid w:val="006F2CC1"/>
    <w:rPr>
      <w:color w:val="0000FF" w:themeColor="hyperlink"/>
      <w:u w:val="single"/>
    </w:rPr>
  </w:style>
  <w:style w:type="paragraph" w:styleId="Footer">
    <w:name w:val="footer"/>
    <w:basedOn w:val="Normal"/>
    <w:link w:val="FooterChar"/>
    <w:uiPriority w:val="99"/>
    <w:unhideWhenUsed/>
    <w:rsid w:val="006F2CC1"/>
    <w:pPr>
      <w:tabs>
        <w:tab w:val="center" w:pos="4320"/>
        <w:tab w:val="right" w:pos="8640"/>
      </w:tabs>
    </w:pPr>
  </w:style>
  <w:style w:type="character" w:customStyle="1" w:styleId="FooterChar">
    <w:name w:val="Footer Char"/>
    <w:basedOn w:val="DefaultParagraphFont"/>
    <w:link w:val="Footer"/>
    <w:uiPriority w:val="99"/>
    <w:rsid w:val="006F2CC1"/>
    <w:rPr>
      <w:rFonts w:ascii="Times New Roman" w:eastAsia="Lucida Sans Unicode" w:hAnsi="Times New Roman" w:cs="Mangal"/>
      <w:kern w:val="1"/>
      <w:lang w:eastAsia="hi-IN" w:bidi="hi-IN"/>
    </w:rPr>
  </w:style>
  <w:style w:type="character" w:styleId="PageNumber">
    <w:name w:val="page number"/>
    <w:basedOn w:val="DefaultParagraphFont"/>
    <w:uiPriority w:val="99"/>
    <w:semiHidden/>
    <w:unhideWhenUsed/>
    <w:rsid w:val="006F2CC1"/>
  </w:style>
  <w:style w:type="character" w:customStyle="1" w:styleId="apple-converted-space">
    <w:name w:val="apple-converted-space"/>
    <w:basedOn w:val="DefaultParagraphFont"/>
    <w:rsid w:val="006F2CC1"/>
  </w:style>
  <w:style w:type="paragraph" w:styleId="BalloonText">
    <w:name w:val="Balloon Text"/>
    <w:basedOn w:val="Normal"/>
    <w:link w:val="BalloonTextChar"/>
    <w:uiPriority w:val="99"/>
    <w:semiHidden/>
    <w:unhideWhenUsed/>
    <w:rsid w:val="00B03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DE4"/>
    <w:rPr>
      <w:rFonts w:ascii="Lucida Grande" w:eastAsia="Lucida Sans Unicode" w:hAnsi="Lucida Grande" w:cs="Lucida Grande"/>
      <w:kern w:val="1"/>
      <w:sz w:val="18"/>
      <w:szCs w:val="18"/>
      <w:lang w:eastAsia="hi-IN" w:bidi="hi-IN"/>
    </w:rPr>
  </w:style>
  <w:style w:type="paragraph" w:styleId="NormalWeb">
    <w:name w:val="Normal (Web)"/>
    <w:basedOn w:val="Normal"/>
    <w:uiPriority w:val="99"/>
    <w:semiHidden/>
    <w:unhideWhenUsed/>
    <w:rsid w:val="00EE0096"/>
    <w:pPr>
      <w:suppressAutoHyphens w:val="0"/>
      <w:spacing w:before="100" w:beforeAutospacing="1" w:after="100" w:afterAutospacing="1"/>
    </w:pPr>
    <w:rPr>
      <w:rFonts w:ascii="Times" w:eastAsiaTheme="minorEastAsia" w:hAnsi="Times" w:cs="Times New Roman"/>
      <w:kern w:val="0"/>
      <w:sz w:val="20"/>
      <w:szCs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18"/>
    <w:pPr>
      <w:suppressAutoHyphens/>
    </w:pPr>
    <w:rPr>
      <w:rFonts w:ascii="Times New Roman" w:eastAsia="Lucida Sans Unicode"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C3918"/>
    <w:rPr>
      <w:vertAlign w:val="superscript"/>
    </w:rPr>
  </w:style>
  <w:style w:type="paragraph" w:styleId="ListParagraph">
    <w:name w:val="List Paragraph"/>
    <w:basedOn w:val="Normal"/>
    <w:qFormat/>
    <w:rsid w:val="009C3918"/>
    <w:pPr>
      <w:ind w:left="720"/>
    </w:pPr>
  </w:style>
  <w:style w:type="paragraph" w:customStyle="1" w:styleId="NoteLevel11">
    <w:name w:val="Note Level 11"/>
    <w:basedOn w:val="Normal"/>
    <w:rsid w:val="009C3918"/>
    <w:pPr>
      <w:keepNext/>
    </w:pPr>
    <w:rPr>
      <w:rFonts w:ascii="Verdana" w:hAnsi="Verdana"/>
    </w:rPr>
  </w:style>
  <w:style w:type="character" w:styleId="Hyperlink">
    <w:name w:val="Hyperlink"/>
    <w:basedOn w:val="DefaultParagraphFont"/>
    <w:uiPriority w:val="99"/>
    <w:unhideWhenUsed/>
    <w:rsid w:val="006F2CC1"/>
    <w:rPr>
      <w:color w:val="0000FF" w:themeColor="hyperlink"/>
      <w:u w:val="single"/>
    </w:rPr>
  </w:style>
  <w:style w:type="paragraph" w:styleId="Footer">
    <w:name w:val="footer"/>
    <w:basedOn w:val="Normal"/>
    <w:link w:val="FooterChar"/>
    <w:uiPriority w:val="99"/>
    <w:unhideWhenUsed/>
    <w:rsid w:val="006F2CC1"/>
    <w:pPr>
      <w:tabs>
        <w:tab w:val="center" w:pos="4320"/>
        <w:tab w:val="right" w:pos="8640"/>
      </w:tabs>
    </w:pPr>
  </w:style>
  <w:style w:type="character" w:customStyle="1" w:styleId="FooterChar">
    <w:name w:val="Footer Char"/>
    <w:basedOn w:val="DefaultParagraphFont"/>
    <w:link w:val="Footer"/>
    <w:uiPriority w:val="99"/>
    <w:rsid w:val="006F2CC1"/>
    <w:rPr>
      <w:rFonts w:ascii="Times New Roman" w:eastAsia="Lucida Sans Unicode" w:hAnsi="Times New Roman" w:cs="Mangal"/>
      <w:kern w:val="1"/>
      <w:lang w:eastAsia="hi-IN" w:bidi="hi-IN"/>
    </w:rPr>
  </w:style>
  <w:style w:type="character" w:styleId="PageNumber">
    <w:name w:val="page number"/>
    <w:basedOn w:val="DefaultParagraphFont"/>
    <w:uiPriority w:val="99"/>
    <w:semiHidden/>
    <w:unhideWhenUsed/>
    <w:rsid w:val="006F2CC1"/>
  </w:style>
  <w:style w:type="character" w:customStyle="1" w:styleId="apple-converted-space">
    <w:name w:val="apple-converted-space"/>
    <w:basedOn w:val="DefaultParagraphFont"/>
    <w:rsid w:val="006F2CC1"/>
  </w:style>
  <w:style w:type="paragraph" w:styleId="BalloonText">
    <w:name w:val="Balloon Text"/>
    <w:basedOn w:val="Normal"/>
    <w:link w:val="BalloonTextChar"/>
    <w:uiPriority w:val="99"/>
    <w:semiHidden/>
    <w:unhideWhenUsed/>
    <w:rsid w:val="00B03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DE4"/>
    <w:rPr>
      <w:rFonts w:ascii="Lucida Grande" w:eastAsia="Lucida Sans Unicode" w:hAnsi="Lucida Grande" w:cs="Lucida Grande"/>
      <w:kern w:val="1"/>
      <w:sz w:val="18"/>
      <w:szCs w:val="18"/>
      <w:lang w:eastAsia="hi-IN" w:bidi="hi-IN"/>
    </w:rPr>
  </w:style>
  <w:style w:type="paragraph" w:styleId="NormalWeb">
    <w:name w:val="Normal (Web)"/>
    <w:basedOn w:val="Normal"/>
    <w:uiPriority w:val="99"/>
    <w:semiHidden/>
    <w:unhideWhenUsed/>
    <w:rsid w:val="00EE0096"/>
    <w:pPr>
      <w:suppressAutoHyphens w:val="0"/>
      <w:spacing w:before="100" w:beforeAutospacing="1" w:after="100" w:afterAutospacing="1"/>
    </w:pPr>
    <w:rPr>
      <w:rFonts w:ascii="Times" w:eastAsiaTheme="minorEastAsia" w:hAnsi="Times"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3652">
      <w:bodyDiv w:val="1"/>
      <w:marLeft w:val="0"/>
      <w:marRight w:val="0"/>
      <w:marTop w:val="0"/>
      <w:marBottom w:val="0"/>
      <w:divBdr>
        <w:top w:val="none" w:sz="0" w:space="0" w:color="auto"/>
        <w:left w:val="none" w:sz="0" w:space="0" w:color="auto"/>
        <w:bottom w:val="none" w:sz="0" w:space="0" w:color="auto"/>
        <w:right w:val="none" w:sz="0" w:space="0" w:color="auto"/>
      </w:divBdr>
    </w:div>
    <w:div w:id="1951666379">
      <w:bodyDiv w:val="1"/>
      <w:marLeft w:val="0"/>
      <w:marRight w:val="0"/>
      <w:marTop w:val="0"/>
      <w:marBottom w:val="0"/>
      <w:divBdr>
        <w:top w:val="none" w:sz="0" w:space="0" w:color="auto"/>
        <w:left w:val="none" w:sz="0" w:space="0" w:color="auto"/>
        <w:bottom w:val="none" w:sz="0" w:space="0" w:color="auto"/>
        <w:right w:val="none" w:sz="0" w:space="0" w:color="auto"/>
      </w:divBdr>
    </w:div>
    <w:div w:id="1988778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reviews/affirmation/whois-rt-draft-final-report-05dec11-en.pdf" TargetMode="External"/><Relationship Id="rId20" Type="http://schemas.openxmlformats.org/officeDocument/2006/relationships/hyperlink" Target="mailto:whois-rt-draft-final-report@icann.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cann.org/ar/reviews/affirmation/whois-rt-draft-final-report-05dec11-ar.pdf" TargetMode="External"/><Relationship Id="rId11" Type="http://schemas.openxmlformats.org/officeDocument/2006/relationships/hyperlink" Target="http://www.icann.org/en/news/public-comment/whois-rt-draft-final-report-05dec11-en.htm" TargetMode="External"/><Relationship Id="rId12" Type="http://schemas.openxmlformats.org/officeDocument/2006/relationships/hyperlink" Target="http://www.icann.org/fr/reviews/affirmation/whois-rt-draft-final-report-05dec11-fr.pdf" TargetMode="External"/><Relationship Id="rId13" Type="http://schemas.openxmlformats.org/officeDocument/2006/relationships/hyperlink" Target="http://www.icann.org/ru/reviews/affirmation/whois-rt-draft-final-report-05dec11-ru.pdf" TargetMode="External"/><Relationship Id="rId14" Type="http://schemas.openxmlformats.org/officeDocument/2006/relationships/hyperlink" Target="http://www.icann.org/zh/reviews/affirmation/whois-rt-draft-final-report-05dec11-zh.pdf" TargetMode="External"/><Relationship Id="rId15" Type="http://schemas.openxmlformats.org/officeDocument/2006/relationships/hyperlink" Target="http://www.icann.org/en/reviews/affirmation/whois-rt-draft-final-report-appendix-whois-compliance-10jan12-en.pdf" TargetMode="External"/><Relationship Id="rId16" Type="http://schemas.openxmlformats.org/officeDocument/2006/relationships/hyperlink" Target="http://www.icann.org/en/reviews/affirmation/whois-rt-draft-final-report-appendix-methodology-outreach-10jan12-en.pdf" TargetMode="External"/><Relationship Id="rId17" Type="http://schemas.openxmlformats.org/officeDocument/2006/relationships/hyperlink" Target="http://www.icann.org/en/reviews/affirmation/whois-rt-draft-final-report-appendix-background-glossary-10jan12-en.pdf" TargetMode="External"/><Relationship Id="rId18" Type="http://schemas.openxmlformats.org/officeDocument/2006/relationships/hyperlink" Target="http://vimeo.com/34627934" TargetMode="External"/><Relationship Id="rId19" Type="http://schemas.openxmlformats.org/officeDocument/2006/relationships/hyperlink" Target="http://www.icann.org/en/news/public-comment/whois-rt-draft-final-report-05dec11-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F334-026E-D848-A2FC-ACDD18BC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9730</Characters>
  <Application>Microsoft Macintosh Word</Application>
  <DocSecurity>0</DocSecurity>
  <Lines>81</Lines>
  <Paragraphs>22</Paragraphs>
  <ScaleCrop>false</ScaleCrop>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2</cp:revision>
  <dcterms:created xsi:type="dcterms:W3CDTF">2012-03-08T16:38:00Z</dcterms:created>
  <dcterms:modified xsi:type="dcterms:W3CDTF">2012-03-08T16:38:00Z</dcterms:modified>
</cp:coreProperties>
</file>