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Default="00FD3CB7" w:rsidP="00FD3CB7">
      <w:pPr>
        <w:pStyle w:val="Heading1"/>
      </w:pPr>
      <w:r>
        <w:t>SSR2 Work Breakdown Structure</w:t>
      </w:r>
    </w:p>
    <w:p w:rsidR="00FD3CB7" w:rsidRDefault="00FD3CB7"/>
    <w:p w:rsidR="00FD3CB7" w:rsidRPr="00FD3CB7" w:rsidRDefault="00FD3CB7" w:rsidP="00FD3CB7">
      <w:pPr>
        <w:pStyle w:val="Heading2"/>
      </w:pPr>
      <w:r w:rsidRPr="00FD3CB7">
        <w:t>Bylaws</w:t>
      </w:r>
    </w:p>
    <w:p w:rsidR="00FD3CB7" w:rsidRDefault="00FD3CB7" w:rsidP="00FD3CB7">
      <w:pPr>
        <w:pStyle w:val="NormalWeb"/>
        <w:spacing w:before="150" w:beforeAutospacing="0" w:after="0" w:afterAutospacing="0"/>
        <w:rPr>
          <w:rFonts w:asciiTheme="minorHAnsi" w:hAnsiTheme="minorHAnsi" w:cs="Arial"/>
          <w:color w:val="333333"/>
        </w:rPr>
      </w:pPr>
      <w:r>
        <w:rPr>
          <w:rFonts w:asciiTheme="minorHAnsi" w:hAnsiTheme="minorHAnsi" w:cs="Arial"/>
          <w:color w:val="333333"/>
        </w:rPr>
        <w:t>The following areas are identified as ‘may assess’ u</w:t>
      </w:r>
      <w:r w:rsidRPr="0006593B">
        <w:rPr>
          <w:rFonts w:asciiTheme="minorHAnsi" w:hAnsiTheme="minorHAnsi" w:cs="Arial"/>
          <w:color w:val="333333"/>
        </w:rPr>
        <w:t xml:space="preserve">nder the </w:t>
      </w:r>
      <w:hyperlink r:id="rId8" w:anchor="article4" w:history="1">
        <w:r w:rsidRPr="0006593B">
          <w:rPr>
            <w:rStyle w:val="Hyperlink"/>
            <w:rFonts w:asciiTheme="minorHAnsi" w:eastAsiaTheme="majorEastAsia" w:hAnsiTheme="minorHAnsi" w:cs="Arial"/>
            <w:color w:val="3B73AF"/>
          </w:rPr>
          <w:t>Bylaws</w:t>
        </w:r>
      </w:hyperlink>
      <w:r w:rsidRPr="0006593B">
        <w:rPr>
          <w:rFonts w:asciiTheme="minorHAnsi" w:hAnsiTheme="minorHAnsi" w:cs="Arial"/>
          <w:color w:val="333333"/>
        </w:rPr>
        <w:t xml:space="preserve">, Section 4.6(c), </w:t>
      </w:r>
    </w:p>
    <w:p w:rsidR="00FD3CB7" w:rsidRPr="00B257D8" w:rsidRDefault="00FD3CB7" w:rsidP="00700087">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 xml:space="preserve"> “(ii) The issues that the review team for the SSR Review (“SSR Review Team”) may assess are the following:</w:t>
      </w:r>
    </w:p>
    <w:p w:rsidR="00FD3CB7" w:rsidRPr="00B257D8" w:rsidRDefault="00FD3CB7" w:rsidP="00FD3CB7">
      <w:pPr>
        <w:pStyle w:val="ListParagraph"/>
        <w:numPr>
          <w:ilvl w:val="0"/>
          <w:numId w:val="24"/>
        </w:numPr>
        <w:spacing w:before="100" w:beforeAutospacing="1" w:after="100" w:afterAutospacing="1" w:line="240" w:lineRule="auto"/>
        <w:rPr>
          <w:rFonts w:asciiTheme="minorHAnsi" w:hAnsiTheme="minorHAnsi" w:cs="Arial"/>
          <w:i/>
          <w:color w:val="333333"/>
          <w:sz w:val="24"/>
          <w:szCs w:val="24"/>
        </w:rPr>
      </w:pPr>
      <w:r w:rsidRPr="001442DD">
        <w:rPr>
          <w:rFonts w:asciiTheme="minorHAnsi" w:hAnsiTheme="minorHAnsi" w:cs="Arial"/>
          <w:i/>
          <w:color w:val="333333"/>
          <w:sz w:val="24"/>
          <w:szCs w:val="24"/>
          <w:u w:val="single"/>
        </w:rPr>
        <w:t>security, operational stability and resiliency matters, both physical and network, relating to the coordination of the Internet’s system of unique identifiers</w:t>
      </w:r>
      <w:r w:rsidRPr="00B257D8">
        <w:rPr>
          <w:rFonts w:asciiTheme="minorHAnsi" w:hAnsiTheme="minorHAnsi" w:cs="Arial"/>
          <w:i/>
          <w:color w:val="333333"/>
          <w:sz w:val="24"/>
          <w:szCs w:val="24"/>
        </w:rPr>
        <w:t>;</w:t>
      </w:r>
    </w:p>
    <w:p w:rsidR="00FD3CB7" w:rsidRPr="00B257D8" w:rsidRDefault="00FD3CB7" w:rsidP="00FD3CB7">
      <w:pPr>
        <w:pStyle w:val="ListParagraph"/>
        <w:numPr>
          <w:ilvl w:val="0"/>
          <w:numId w:val="24"/>
        </w:numPr>
        <w:spacing w:before="100" w:beforeAutospacing="1" w:after="100" w:afterAutospacing="1" w:line="240" w:lineRule="auto"/>
        <w:rPr>
          <w:rFonts w:asciiTheme="minorHAnsi" w:hAnsiTheme="minorHAnsi" w:cs="Arial"/>
          <w:i/>
          <w:color w:val="333333"/>
          <w:sz w:val="24"/>
          <w:szCs w:val="24"/>
        </w:rPr>
      </w:pPr>
      <w:r w:rsidRPr="00B257D8">
        <w:rPr>
          <w:rFonts w:asciiTheme="minorHAnsi" w:hAnsiTheme="minorHAnsi" w:cs="Arial"/>
          <w:i/>
          <w:color w:val="333333"/>
          <w:sz w:val="24"/>
          <w:szCs w:val="24"/>
        </w:rPr>
        <w:t>conformance with appropriate security contingency planning framework for the Internet’s system of unique identifiers;</w:t>
      </w:r>
    </w:p>
    <w:p w:rsidR="00FD3CB7" w:rsidRPr="00B257D8" w:rsidRDefault="00FD3CB7" w:rsidP="00FD3CB7">
      <w:pPr>
        <w:pStyle w:val="ListParagraph"/>
        <w:numPr>
          <w:ilvl w:val="0"/>
          <w:numId w:val="24"/>
        </w:numPr>
        <w:spacing w:before="100" w:beforeAutospacing="1" w:after="100" w:afterAutospacing="1" w:line="240" w:lineRule="auto"/>
        <w:rPr>
          <w:rFonts w:asciiTheme="minorHAnsi" w:hAnsiTheme="minorHAnsi" w:cs="Arial"/>
          <w:i/>
          <w:color w:val="333333"/>
          <w:sz w:val="24"/>
          <w:szCs w:val="24"/>
        </w:rPr>
      </w:pPr>
      <w:r w:rsidRPr="00B257D8">
        <w:rPr>
          <w:rFonts w:asciiTheme="minorHAnsi" w:hAnsiTheme="minorHAnsi" w:cs="Arial"/>
          <w:i/>
          <w:color w:val="333333"/>
          <w:sz w:val="24"/>
          <w:szCs w:val="24"/>
        </w:rPr>
        <w:t>maintaining clear and globally interoperable security processes for those portions of the Internet’s system of unique identifiers that ICANN coordinates.</w:t>
      </w:r>
    </w:p>
    <w:p w:rsidR="00FD3CB7" w:rsidRDefault="00FD3CB7" w:rsidP="00FD3CB7">
      <w:pPr>
        <w:pStyle w:val="NormalWeb"/>
        <w:spacing w:before="150" w:beforeAutospacing="0" w:after="0" w:afterAutospacing="0"/>
        <w:rPr>
          <w:rFonts w:asciiTheme="minorHAnsi" w:hAnsiTheme="minorHAnsi" w:cs="Arial"/>
          <w:color w:val="333333"/>
        </w:rPr>
      </w:pPr>
      <w:r>
        <w:rPr>
          <w:rFonts w:asciiTheme="minorHAnsi" w:hAnsiTheme="minorHAnsi" w:cs="Arial"/>
          <w:color w:val="333333"/>
        </w:rPr>
        <w:t>The following areas are identified as ‘shall assess’ u</w:t>
      </w:r>
      <w:r w:rsidRPr="0006593B">
        <w:rPr>
          <w:rFonts w:asciiTheme="minorHAnsi" w:hAnsiTheme="minorHAnsi" w:cs="Arial"/>
          <w:color w:val="333333"/>
        </w:rPr>
        <w:t xml:space="preserve">nder the </w:t>
      </w:r>
      <w:hyperlink r:id="rId9" w:history="1">
        <w:r w:rsidRPr="0006593B">
          <w:rPr>
            <w:rStyle w:val="Hyperlink"/>
            <w:rFonts w:asciiTheme="minorHAnsi" w:eastAsiaTheme="majorEastAsia" w:hAnsiTheme="minorHAnsi" w:cs="Arial"/>
            <w:color w:val="3B73AF"/>
          </w:rPr>
          <w:t>Bylaws</w:t>
        </w:r>
      </w:hyperlink>
      <w:r w:rsidRPr="0006593B">
        <w:rPr>
          <w:rFonts w:asciiTheme="minorHAnsi" w:hAnsiTheme="minorHAnsi" w:cs="Arial"/>
          <w:color w:val="333333"/>
        </w:rPr>
        <w:t xml:space="preserve">, Section 4.6(c), </w:t>
      </w:r>
    </w:p>
    <w:p w:rsidR="00FD3CB7" w:rsidRPr="00B257D8" w:rsidRDefault="00FD3CB7" w:rsidP="00700087">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 xml:space="preserve">“(iii) The SSR Review Team </w:t>
      </w:r>
      <w:r w:rsidRPr="001442DD">
        <w:rPr>
          <w:rFonts w:asciiTheme="minorHAnsi" w:hAnsiTheme="minorHAnsi" w:cs="Arial"/>
          <w:i/>
          <w:color w:val="333333"/>
          <w:u w:val="single"/>
        </w:rPr>
        <w:t>shall also assess the extent to which ICANN has successfully implemented its security efforts, the effectiveness of the security efforts to deal with actual and potential challenges and threats to the security and stability of the DNS,</w:t>
      </w:r>
      <w:r w:rsidRPr="00B257D8">
        <w:rPr>
          <w:rFonts w:asciiTheme="minorHAnsi" w:hAnsiTheme="minorHAnsi" w:cs="Arial"/>
          <w:i/>
          <w:color w:val="333333"/>
        </w:rPr>
        <w:t xml:space="preserve"> and the extent to which the security efforts are sufficiently robust to meet future challenges and threats to the security, stability and resiliency of the DNS, consistent with ICANN’s Mission.</w:t>
      </w:r>
    </w:p>
    <w:p w:rsidR="00FD3CB7" w:rsidRPr="00B257D8" w:rsidRDefault="00FD3CB7" w:rsidP="00700087">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“(iv) The SSR Review Team shall also assess the extent to which prior SSR Review recommendations have been implemented and the extent to which implementation of such recommendations has resulted in the intended effect.</w:t>
      </w:r>
    </w:p>
    <w:p w:rsidR="00FD3CB7" w:rsidRDefault="00FD3CB7" w:rsidP="00FD3CB7">
      <w:pPr>
        <w:rPr>
          <w:b/>
          <w:sz w:val="28"/>
          <w:szCs w:val="28"/>
        </w:rPr>
      </w:pPr>
    </w:p>
    <w:p w:rsidR="00FD3CB7" w:rsidRPr="00FD3CB7" w:rsidRDefault="00FD3CB7" w:rsidP="00FD3CB7">
      <w:pPr>
        <w:rPr>
          <w:rFonts w:asciiTheme="majorHAnsi" w:eastAsiaTheme="majorEastAsia" w:hAnsiTheme="majorHAnsi" w:cstheme="majorBidi"/>
          <w:color w:val="1F4E79" w:themeColor="accent1" w:themeShade="80"/>
          <w:sz w:val="26"/>
          <w:szCs w:val="26"/>
        </w:rPr>
      </w:pPr>
      <w:r>
        <w:br w:type="page"/>
      </w:r>
    </w:p>
    <w:p w:rsidR="00FD3CB7" w:rsidRDefault="00FD3CB7" w:rsidP="00FD3CB7">
      <w:pPr>
        <w:pStyle w:val="Heading2"/>
      </w:pPr>
      <w:r>
        <w:lastRenderedPageBreak/>
        <w:t>Work Structure</w:t>
      </w:r>
    </w:p>
    <w:p w:rsidR="00FD3CB7" w:rsidRDefault="00FD3CB7" w:rsidP="00FD3CB7"/>
    <w:p w:rsidR="00D35044" w:rsidRPr="00D35044" w:rsidRDefault="00FD3CB7" w:rsidP="00D35044">
      <w:pPr>
        <w:pStyle w:val="Heading3"/>
      </w:pPr>
      <w:r>
        <w:t>Sub Teams</w:t>
      </w:r>
    </w:p>
    <w:p w:rsidR="00643769" w:rsidRDefault="00643769" w:rsidP="00D35044">
      <w:pPr>
        <w:pStyle w:val="Heading4"/>
      </w:pPr>
      <w:r>
        <w:t>Sub Team work methods</w:t>
      </w:r>
    </w:p>
    <w:p w:rsidR="00D35044" w:rsidRDefault="00D35044" w:rsidP="00D35044">
      <w:pPr>
        <w:pStyle w:val="ListParagraph"/>
        <w:numPr>
          <w:ilvl w:val="0"/>
          <w:numId w:val="25"/>
        </w:numPr>
      </w:pPr>
      <w:r>
        <w:t>Sub teams may be proposed in addition to the groupings listed below</w:t>
      </w:r>
    </w:p>
    <w:p w:rsidR="00D35044" w:rsidRDefault="00D35044" w:rsidP="00D35044">
      <w:pPr>
        <w:pStyle w:val="ListParagraph"/>
        <w:numPr>
          <w:ilvl w:val="0"/>
          <w:numId w:val="25"/>
        </w:numPr>
      </w:pPr>
      <w:r>
        <w:t>Sub teams structure and activities will be agreed at the plenary of the SSR2 Review Team in Madrid</w:t>
      </w:r>
    </w:p>
    <w:p w:rsidR="00D35044" w:rsidRDefault="00D35044" w:rsidP="00D35044">
      <w:pPr>
        <w:pStyle w:val="ListParagraph"/>
        <w:numPr>
          <w:ilvl w:val="0"/>
          <w:numId w:val="25"/>
        </w:numPr>
      </w:pPr>
      <w:r>
        <w:t xml:space="preserve">Sub teams will be populated by a call for volunteers lasting 1 week from the date of </w:t>
      </w:r>
    </w:p>
    <w:p w:rsidR="00D35044" w:rsidRDefault="00D35044" w:rsidP="00D35044">
      <w:pPr>
        <w:pStyle w:val="ListParagraph"/>
        <w:numPr>
          <w:ilvl w:val="0"/>
          <w:numId w:val="25"/>
        </w:numPr>
      </w:pPr>
      <w:r>
        <w:t>sub teams should comprise of a minimum of 3 members of the SSR2 RT</w:t>
      </w:r>
    </w:p>
    <w:p w:rsidR="00D35044" w:rsidRDefault="00D35044" w:rsidP="00D35044">
      <w:pPr>
        <w:pStyle w:val="ListParagraph"/>
        <w:numPr>
          <w:ilvl w:val="0"/>
          <w:numId w:val="25"/>
        </w:numPr>
      </w:pPr>
      <w:r>
        <w:t>Sub teams will be required to appoint a rapporteur who will act as the ‘pen holder’ and will guide the sub team through their work and will be responsible for reporting back the progress of the review team to the plenary</w:t>
      </w:r>
    </w:p>
    <w:p w:rsidR="00D35044" w:rsidRDefault="00D35044" w:rsidP="00A37D21">
      <w:pPr>
        <w:pStyle w:val="ListParagraph"/>
        <w:numPr>
          <w:ilvl w:val="0"/>
          <w:numId w:val="25"/>
        </w:numPr>
      </w:pPr>
      <w:r>
        <w:t>Sub team meetings will be convened by the rapporteur as soon as possible to commence its deliberations and is expected to report back to the full CWG on a regular basis</w:t>
      </w:r>
    </w:p>
    <w:p w:rsidR="00D35044" w:rsidRDefault="00D35044" w:rsidP="00A37D21">
      <w:pPr>
        <w:pStyle w:val="ListParagraph"/>
        <w:numPr>
          <w:ilvl w:val="0"/>
          <w:numId w:val="25"/>
        </w:numPr>
      </w:pPr>
      <w:r>
        <w:t>Sub teams will at a defined period of time submit its status and proposed language for inclusion in the relevant section of the draft SSR2 review team document and recommendations, for review by the plenary SSR2 RT</w:t>
      </w:r>
    </w:p>
    <w:p w:rsidR="00D35044" w:rsidRPr="00643769" w:rsidRDefault="00D35044" w:rsidP="00D35044">
      <w:pPr>
        <w:pStyle w:val="ListParagraph"/>
        <w:numPr>
          <w:ilvl w:val="0"/>
          <w:numId w:val="25"/>
        </w:numPr>
      </w:pPr>
      <w:r>
        <w:t>If accepted by the SSR2 RT plenary, the agreed language will be included into the final review team outcomes and recommendations document</w:t>
      </w:r>
    </w:p>
    <w:p w:rsidR="00FD3CB7" w:rsidRPr="00FD3CB7" w:rsidRDefault="00FD3CB7" w:rsidP="00FD3CB7">
      <w:pPr>
        <w:rPr>
          <w:b/>
        </w:rPr>
      </w:pPr>
    </w:p>
    <w:p w:rsidR="00FD3CB7" w:rsidRDefault="00FD3CB7" w:rsidP="00FD3CB7">
      <w:pPr>
        <w:pStyle w:val="Heading4"/>
      </w:pPr>
      <w:r>
        <w:t>Sub T</w:t>
      </w:r>
      <w:r w:rsidRPr="00FD3CB7">
        <w:t>eam</w:t>
      </w:r>
      <w:r>
        <w:t xml:space="preserve"> 1 – SSR1 Review</w:t>
      </w:r>
    </w:p>
    <w:p w:rsidR="00FD3CB7" w:rsidRPr="00FD3CB7" w:rsidRDefault="00FD3CB7" w:rsidP="00FD3CB7"/>
    <w:tbl>
      <w:tblPr>
        <w:tblStyle w:val="TableGrid"/>
        <w:tblW w:w="9918" w:type="dxa"/>
        <w:tblLook w:val="04A0" w:firstRow="1" w:lastRow="0" w:firstColumn="1" w:lastColumn="0" w:noHBand="0" w:noVBand="1"/>
      </w:tblPr>
      <w:tblGrid>
        <w:gridCol w:w="2351"/>
        <w:gridCol w:w="7567"/>
      </w:tblGrid>
      <w:tr w:rsidR="00FD3CB7" w:rsidTr="00FD3CB7">
        <w:tc>
          <w:tcPr>
            <w:tcW w:w="2351" w:type="dxa"/>
          </w:tcPr>
          <w:p w:rsidR="00FD3CB7" w:rsidRDefault="00FD3CB7" w:rsidP="00FD3CB7">
            <w:r>
              <w:rPr>
                <w:b/>
              </w:rPr>
              <w:t>Topic</w:t>
            </w:r>
          </w:p>
        </w:tc>
        <w:tc>
          <w:tcPr>
            <w:tcW w:w="7567" w:type="dxa"/>
          </w:tcPr>
          <w:p w:rsidR="00FD3CB7" w:rsidRDefault="00FD3CB7" w:rsidP="00FD3CB7">
            <w:r w:rsidRPr="00FD3CB7">
              <w:t>Review of implementation of SSR1 Report</w:t>
            </w:r>
          </w:p>
        </w:tc>
      </w:tr>
      <w:tr w:rsidR="00FD3CB7" w:rsidTr="00FD3CB7">
        <w:tc>
          <w:tcPr>
            <w:tcW w:w="2351" w:type="dxa"/>
          </w:tcPr>
          <w:p w:rsidR="00FD3CB7" w:rsidRDefault="00FD3CB7" w:rsidP="00FD3CB7">
            <w:r>
              <w:rPr>
                <w:b/>
              </w:rPr>
              <w:t>Related Bylaw</w:t>
            </w:r>
          </w:p>
        </w:tc>
        <w:tc>
          <w:tcPr>
            <w:tcW w:w="7567" w:type="dxa"/>
          </w:tcPr>
          <w:p w:rsidR="00FD3CB7" w:rsidRPr="00FD3CB7" w:rsidRDefault="00FD3CB7" w:rsidP="00FD3CB7">
            <w:r w:rsidRPr="00FD3CB7">
              <w:t>4.6 (c)(iv)</w:t>
            </w:r>
          </w:p>
        </w:tc>
      </w:tr>
      <w:tr w:rsidR="00FD3CB7" w:rsidTr="00FD3CB7">
        <w:tc>
          <w:tcPr>
            <w:tcW w:w="2351" w:type="dxa"/>
          </w:tcPr>
          <w:p w:rsidR="00FD3CB7" w:rsidRDefault="00FD3CB7" w:rsidP="00FD3CB7">
            <w:r>
              <w:rPr>
                <w:b/>
              </w:rPr>
              <w:t>Skillset</w:t>
            </w:r>
          </w:p>
        </w:tc>
        <w:tc>
          <w:tcPr>
            <w:tcW w:w="7567" w:type="dxa"/>
          </w:tcPr>
          <w:p w:rsidR="00FD3CB7" w:rsidRDefault="00FD3CB7" w:rsidP="00FD3CB7">
            <w:r w:rsidRPr="00FD3CB7">
              <w:t>ICANN, Policy</w:t>
            </w:r>
            <w:r w:rsidR="002164C5">
              <w:t>, SSR1</w:t>
            </w:r>
          </w:p>
        </w:tc>
      </w:tr>
      <w:tr w:rsidR="00FD3CB7" w:rsidTr="00FD3CB7">
        <w:tc>
          <w:tcPr>
            <w:tcW w:w="2351" w:type="dxa"/>
          </w:tcPr>
          <w:p w:rsidR="00FD3CB7" w:rsidRDefault="00FD3CB7" w:rsidP="00FD3CB7">
            <w:pPr>
              <w:rPr>
                <w:b/>
              </w:rPr>
            </w:pPr>
            <w:r w:rsidRPr="00FD3CB7">
              <w:rPr>
                <w:b/>
              </w:rPr>
              <w:t>Description of activity</w:t>
            </w:r>
          </w:p>
          <w:p w:rsidR="00FD3CB7" w:rsidRDefault="00FD3CB7" w:rsidP="00FD3CB7"/>
        </w:tc>
        <w:tc>
          <w:tcPr>
            <w:tcW w:w="7567" w:type="dxa"/>
          </w:tcPr>
          <w:p w:rsidR="00FD3CB7" w:rsidRDefault="005C2230" w:rsidP="00FD3CB7">
            <w:r>
              <w:t xml:space="preserve">The sub team will be responsible for reviewing the </w:t>
            </w:r>
            <w:r w:rsidR="00F1465D">
              <w:t>implementation</w:t>
            </w:r>
            <w:r>
              <w:t xml:space="preserve"> of the SSR1 RTs work and drafting a document outlining the effectiveness of said implementation</w:t>
            </w:r>
          </w:p>
        </w:tc>
      </w:tr>
      <w:tr w:rsidR="00F1465D" w:rsidTr="00FD3CB7">
        <w:tc>
          <w:tcPr>
            <w:tcW w:w="2351" w:type="dxa"/>
          </w:tcPr>
          <w:p w:rsidR="00F1465D" w:rsidRPr="00FD3CB7" w:rsidRDefault="00F1465D" w:rsidP="00FD3CB7">
            <w:pPr>
              <w:rPr>
                <w:b/>
              </w:rPr>
            </w:pPr>
            <w:r>
              <w:rPr>
                <w:b/>
              </w:rPr>
              <w:t>Work Items</w:t>
            </w:r>
          </w:p>
        </w:tc>
        <w:tc>
          <w:tcPr>
            <w:tcW w:w="7567" w:type="dxa"/>
          </w:tcPr>
          <w:p w:rsidR="00F1465D" w:rsidRDefault="00F1465D" w:rsidP="00FD3CB7"/>
        </w:tc>
      </w:tr>
      <w:tr w:rsidR="00F1465D" w:rsidTr="00FD3CB7">
        <w:tc>
          <w:tcPr>
            <w:tcW w:w="2351" w:type="dxa"/>
          </w:tcPr>
          <w:p w:rsidR="00F1465D" w:rsidRDefault="00F1465D" w:rsidP="00FD3CB7">
            <w:pPr>
              <w:rPr>
                <w:b/>
              </w:rPr>
            </w:pPr>
            <w:r>
              <w:rPr>
                <w:b/>
              </w:rPr>
              <w:t>Team Members</w:t>
            </w:r>
          </w:p>
        </w:tc>
        <w:tc>
          <w:tcPr>
            <w:tcW w:w="7567" w:type="dxa"/>
          </w:tcPr>
          <w:p w:rsidR="00F1465D" w:rsidRDefault="00F1465D" w:rsidP="00FD3CB7"/>
        </w:tc>
      </w:tr>
      <w:tr w:rsidR="00F1465D" w:rsidTr="00FD3CB7">
        <w:tc>
          <w:tcPr>
            <w:tcW w:w="2351" w:type="dxa"/>
          </w:tcPr>
          <w:p w:rsidR="00F1465D" w:rsidRDefault="00F1465D" w:rsidP="00FD3CB7">
            <w:pPr>
              <w:rPr>
                <w:b/>
              </w:rPr>
            </w:pPr>
            <w:r>
              <w:rPr>
                <w:b/>
              </w:rPr>
              <w:t>Rapporteur</w:t>
            </w:r>
          </w:p>
        </w:tc>
        <w:tc>
          <w:tcPr>
            <w:tcW w:w="7567" w:type="dxa"/>
          </w:tcPr>
          <w:p w:rsidR="00F1465D" w:rsidRDefault="00F1465D" w:rsidP="00FD3CB7"/>
        </w:tc>
      </w:tr>
    </w:tbl>
    <w:p w:rsidR="00FD3CB7" w:rsidRDefault="00FD3CB7" w:rsidP="00FD3CB7">
      <w:pPr>
        <w:rPr>
          <w:b/>
          <w:sz w:val="28"/>
          <w:szCs w:val="28"/>
        </w:rPr>
      </w:pPr>
    </w:p>
    <w:p w:rsidR="00FD3CB7" w:rsidRPr="00FD3CB7" w:rsidRDefault="00FD3CB7" w:rsidP="00FD3CB7">
      <w:pPr>
        <w:pStyle w:val="Heading4"/>
      </w:pPr>
      <w:r>
        <w:t>Sub T</w:t>
      </w:r>
      <w:r w:rsidRPr="00FD3CB7">
        <w:t>eam</w:t>
      </w:r>
      <w:r>
        <w:t xml:space="preserve"> 2 – ICANN Security</w:t>
      </w:r>
    </w:p>
    <w:tbl>
      <w:tblPr>
        <w:tblStyle w:val="TableGrid"/>
        <w:tblW w:w="9918" w:type="dxa"/>
        <w:tblLook w:val="04A0" w:firstRow="1" w:lastRow="0" w:firstColumn="1" w:lastColumn="0" w:noHBand="0" w:noVBand="1"/>
      </w:tblPr>
      <w:tblGrid>
        <w:gridCol w:w="2351"/>
        <w:gridCol w:w="7567"/>
      </w:tblGrid>
      <w:tr w:rsidR="00FD3CB7" w:rsidTr="008F24E0">
        <w:tc>
          <w:tcPr>
            <w:tcW w:w="2351" w:type="dxa"/>
          </w:tcPr>
          <w:p w:rsidR="00FD3CB7" w:rsidRDefault="00FD3CB7" w:rsidP="008F24E0">
            <w:r>
              <w:rPr>
                <w:b/>
              </w:rPr>
              <w:t>Topic</w:t>
            </w:r>
          </w:p>
        </w:tc>
        <w:tc>
          <w:tcPr>
            <w:tcW w:w="7567" w:type="dxa"/>
          </w:tcPr>
          <w:p w:rsidR="00FD3CB7" w:rsidRDefault="00FD3CB7" w:rsidP="008F24E0">
            <w:r>
              <w:t>ICANN Internal Security Processes</w:t>
            </w:r>
          </w:p>
        </w:tc>
      </w:tr>
      <w:tr w:rsidR="00FD3CB7" w:rsidTr="008F24E0">
        <w:tc>
          <w:tcPr>
            <w:tcW w:w="2351" w:type="dxa"/>
          </w:tcPr>
          <w:p w:rsidR="00FD3CB7" w:rsidRDefault="00FD3CB7" w:rsidP="008F24E0">
            <w:r>
              <w:rPr>
                <w:b/>
              </w:rPr>
              <w:t>Related Bylaw</w:t>
            </w:r>
          </w:p>
        </w:tc>
        <w:tc>
          <w:tcPr>
            <w:tcW w:w="7567" w:type="dxa"/>
          </w:tcPr>
          <w:p w:rsidR="00FD3CB7" w:rsidRDefault="00700087" w:rsidP="008F24E0">
            <w:r w:rsidRPr="00FD3CB7">
              <w:t>4.6 (c)(</w:t>
            </w:r>
            <w:r>
              <w:t>ii)(A)</w:t>
            </w:r>
          </w:p>
          <w:p w:rsidR="00700087" w:rsidRDefault="00700087" w:rsidP="008F24E0">
            <w:r w:rsidRPr="00FD3CB7">
              <w:t>4.6 (c)(</w:t>
            </w:r>
            <w:r>
              <w:t>ii)(B)</w:t>
            </w:r>
          </w:p>
          <w:p w:rsidR="00700087" w:rsidRDefault="00700087" w:rsidP="008F24E0">
            <w:r w:rsidRPr="00FD3CB7">
              <w:t>4.6 (c)(</w:t>
            </w:r>
            <w:r>
              <w:t>iii)</w:t>
            </w:r>
          </w:p>
        </w:tc>
      </w:tr>
      <w:tr w:rsidR="00FD3CB7" w:rsidTr="008F24E0">
        <w:tc>
          <w:tcPr>
            <w:tcW w:w="2351" w:type="dxa"/>
          </w:tcPr>
          <w:p w:rsidR="00FD3CB7" w:rsidRDefault="00FD3CB7" w:rsidP="008F24E0">
            <w:r>
              <w:rPr>
                <w:b/>
              </w:rPr>
              <w:t>Skillset</w:t>
            </w:r>
          </w:p>
        </w:tc>
        <w:tc>
          <w:tcPr>
            <w:tcW w:w="7567" w:type="dxa"/>
          </w:tcPr>
          <w:p w:rsidR="00FD3CB7" w:rsidRDefault="008F24E0" w:rsidP="008F24E0">
            <w:r>
              <w:t>IT Security, Audit, Risk Management</w:t>
            </w:r>
            <w:r w:rsidR="002164C5">
              <w:t>, Disaster Recovery</w:t>
            </w:r>
          </w:p>
        </w:tc>
      </w:tr>
      <w:tr w:rsidR="00FD3CB7" w:rsidTr="008F24E0">
        <w:tc>
          <w:tcPr>
            <w:tcW w:w="2351" w:type="dxa"/>
          </w:tcPr>
          <w:p w:rsidR="00FD3CB7" w:rsidRDefault="00FD3CB7" w:rsidP="008F24E0">
            <w:pPr>
              <w:rPr>
                <w:b/>
              </w:rPr>
            </w:pPr>
            <w:r w:rsidRPr="00FD3CB7">
              <w:rPr>
                <w:b/>
              </w:rPr>
              <w:t>Description of activity</w:t>
            </w:r>
          </w:p>
          <w:p w:rsidR="00FD3CB7" w:rsidRDefault="00FD3CB7" w:rsidP="008F24E0"/>
        </w:tc>
        <w:tc>
          <w:tcPr>
            <w:tcW w:w="7567" w:type="dxa"/>
          </w:tcPr>
          <w:p w:rsidR="00FD3CB7" w:rsidRDefault="005C2230" w:rsidP="008F24E0">
            <w:r>
              <w:t>The sub team will be responsible for reviewing the completeness and effectiveness of ICANNs internal security processes and the effectiveness of the ICANN security framework</w:t>
            </w:r>
          </w:p>
        </w:tc>
      </w:tr>
      <w:tr w:rsidR="00F1465D" w:rsidTr="008F24E0">
        <w:tc>
          <w:tcPr>
            <w:tcW w:w="2351" w:type="dxa"/>
          </w:tcPr>
          <w:p w:rsidR="00F1465D" w:rsidRPr="00FD3CB7" w:rsidRDefault="00F1465D" w:rsidP="00F1465D">
            <w:pPr>
              <w:rPr>
                <w:b/>
              </w:rPr>
            </w:pPr>
            <w:r>
              <w:rPr>
                <w:b/>
              </w:rPr>
              <w:t>Work Items</w:t>
            </w:r>
          </w:p>
        </w:tc>
        <w:tc>
          <w:tcPr>
            <w:tcW w:w="7567" w:type="dxa"/>
          </w:tcPr>
          <w:p w:rsidR="00F1465D" w:rsidRDefault="00F1465D" w:rsidP="00F1465D"/>
        </w:tc>
      </w:tr>
      <w:tr w:rsidR="00F1465D" w:rsidTr="00F1465D">
        <w:tc>
          <w:tcPr>
            <w:tcW w:w="2351" w:type="dxa"/>
          </w:tcPr>
          <w:p w:rsidR="00F1465D" w:rsidRDefault="00F1465D" w:rsidP="00E7259C">
            <w:pPr>
              <w:rPr>
                <w:b/>
              </w:rPr>
            </w:pPr>
            <w:r>
              <w:rPr>
                <w:b/>
              </w:rPr>
              <w:t>Team Members</w:t>
            </w:r>
          </w:p>
        </w:tc>
        <w:tc>
          <w:tcPr>
            <w:tcW w:w="7567" w:type="dxa"/>
          </w:tcPr>
          <w:p w:rsidR="00F1465D" w:rsidRDefault="00F1465D" w:rsidP="00E7259C"/>
        </w:tc>
      </w:tr>
      <w:tr w:rsidR="00F1465D" w:rsidTr="00F1465D">
        <w:tc>
          <w:tcPr>
            <w:tcW w:w="2351" w:type="dxa"/>
          </w:tcPr>
          <w:p w:rsidR="00F1465D" w:rsidRDefault="00F1465D" w:rsidP="00E7259C">
            <w:pPr>
              <w:rPr>
                <w:b/>
              </w:rPr>
            </w:pPr>
            <w:r>
              <w:rPr>
                <w:b/>
              </w:rPr>
              <w:t>Rapporteur</w:t>
            </w:r>
          </w:p>
        </w:tc>
        <w:tc>
          <w:tcPr>
            <w:tcW w:w="7567" w:type="dxa"/>
          </w:tcPr>
          <w:p w:rsidR="00F1465D" w:rsidRDefault="00F1465D" w:rsidP="00E7259C"/>
        </w:tc>
      </w:tr>
    </w:tbl>
    <w:p w:rsidR="00FD3CB7" w:rsidRPr="00FD3CB7" w:rsidRDefault="00FD3CB7" w:rsidP="00FD3CB7">
      <w:pPr>
        <w:rPr>
          <w:b/>
        </w:rPr>
      </w:pPr>
    </w:p>
    <w:p w:rsidR="00FD3CB7" w:rsidRPr="00FD3CB7" w:rsidRDefault="00FD3CB7" w:rsidP="00FD3CB7">
      <w:pPr>
        <w:pStyle w:val="Heading4"/>
      </w:pPr>
      <w:r>
        <w:t>Sub T</w:t>
      </w:r>
      <w:r w:rsidRPr="00FD3CB7">
        <w:t>eam</w:t>
      </w:r>
      <w:r>
        <w:t xml:space="preserve"> 3 – DNS Security</w:t>
      </w:r>
    </w:p>
    <w:tbl>
      <w:tblPr>
        <w:tblStyle w:val="TableGrid"/>
        <w:tblW w:w="9918" w:type="dxa"/>
        <w:tblLook w:val="04A0" w:firstRow="1" w:lastRow="0" w:firstColumn="1" w:lastColumn="0" w:noHBand="0" w:noVBand="1"/>
      </w:tblPr>
      <w:tblGrid>
        <w:gridCol w:w="2351"/>
        <w:gridCol w:w="7567"/>
      </w:tblGrid>
      <w:tr w:rsidR="00FD3CB7" w:rsidTr="008F24E0">
        <w:tc>
          <w:tcPr>
            <w:tcW w:w="2351" w:type="dxa"/>
          </w:tcPr>
          <w:p w:rsidR="00FD3CB7" w:rsidRDefault="00FD3CB7" w:rsidP="008F24E0">
            <w:r>
              <w:rPr>
                <w:b/>
              </w:rPr>
              <w:t>Topic</w:t>
            </w:r>
          </w:p>
        </w:tc>
        <w:tc>
          <w:tcPr>
            <w:tcW w:w="7567" w:type="dxa"/>
          </w:tcPr>
          <w:p w:rsidR="00FD3CB7" w:rsidRDefault="00FD3CB7" w:rsidP="00FD3CB7">
            <w:r>
              <w:t>ICANN DNS Security Coordination Processes</w:t>
            </w:r>
          </w:p>
        </w:tc>
      </w:tr>
      <w:tr w:rsidR="00FD3CB7" w:rsidTr="008F24E0">
        <w:tc>
          <w:tcPr>
            <w:tcW w:w="2351" w:type="dxa"/>
          </w:tcPr>
          <w:p w:rsidR="00FD3CB7" w:rsidRDefault="00FD3CB7" w:rsidP="008F24E0">
            <w:r>
              <w:rPr>
                <w:b/>
              </w:rPr>
              <w:t>Related Bylaw</w:t>
            </w:r>
          </w:p>
        </w:tc>
        <w:tc>
          <w:tcPr>
            <w:tcW w:w="7567" w:type="dxa"/>
          </w:tcPr>
          <w:p w:rsidR="00700087" w:rsidRDefault="00700087" w:rsidP="00700087">
            <w:r w:rsidRPr="00FD3CB7">
              <w:t>4.6 (c)(</w:t>
            </w:r>
            <w:r>
              <w:t>ii)(A)</w:t>
            </w:r>
          </w:p>
          <w:p w:rsidR="00700087" w:rsidRDefault="00700087" w:rsidP="008F24E0">
            <w:r w:rsidRPr="00FD3CB7">
              <w:t>4.6 (c)(</w:t>
            </w:r>
            <w:r>
              <w:t>ii)(C)</w:t>
            </w:r>
          </w:p>
        </w:tc>
      </w:tr>
      <w:tr w:rsidR="00FD3CB7" w:rsidTr="008F24E0">
        <w:tc>
          <w:tcPr>
            <w:tcW w:w="2351" w:type="dxa"/>
          </w:tcPr>
          <w:p w:rsidR="00FD3CB7" w:rsidRDefault="00FD3CB7" w:rsidP="008F24E0">
            <w:r>
              <w:rPr>
                <w:b/>
              </w:rPr>
              <w:t>Skillset</w:t>
            </w:r>
          </w:p>
        </w:tc>
        <w:tc>
          <w:tcPr>
            <w:tcW w:w="7567" w:type="dxa"/>
          </w:tcPr>
          <w:p w:rsidR="00FD3CB7" w:rsidRDefault="008F24E0" w:rsidP="008F24E0">
            <w:r>
              <w:t xml:space="preserve">DNS Security, </w:t>
            </w:r>
            <w:r w:rsidR="002164C5">
              <w:t>RIR, IETF, Risk Management</w:t>
            </w:r>
          </w:p>
        </w:tc>
      </w:tr>
      <w:tr w:rsidR="00FD3CB7" w:rsidTr="008F24E0">
        <w:tc>
          <w:tcPr>
            <w:tcW w:w="2351" w:type="dxa"/>
          </w:tcPr>
          <w:p w:rsidR="00FD3CB7" w:rsidRDefault="00FD3CB7" w:rsidP="008F24E0">
            <w:pPr>
              <w:rPr>
                <w:b/>
              </w:rPr>
            </w:pPr>
            <w:r w:rsidRPr="00FD3CB7">
              <w:rPr>
                <w:b/>
              </w:rPr>
              <w:t>Description of activity</w:t>
            </w:r>
          </w:p>
          <w:p w:rsidR="00FD3CB7" w:rsidRDefault="00FD3CB7" w:rsidP="008F24E0"/>
        </w:tc>
        <w:tc>
          <w:tcPr>
            <w:tcW w:w="7567" w:type="dxa"/>
          </w:tcPr>
          <w:p w:rsidR="00FD3CB7" w:rsidRDefault="005C2230" w:rsidP="008F24E0">
            <w:r>
              <w:t>The sub team will be responsible for reviewing ICANNs role in the broader security of the DNS and unique identifiers system, including its role in mitigating threats to the DNS and other unique identities it coordinates</w:t>
            </w:r>
          </w:p>
        </w:tc>
      </w:tr>
      <w:tr w:rsidR="00F1465D" w:rsidTr="008F24E0">
        <w:tc>
          <w:tcPr>
            <w:tcW w:w="2351" w:type="dxa"/>
          </w:tcPr>
          <w:p w:rsidR="00F1465D" w:rsidRPr="00FD3CB7" w:rsidRDefault="00F1465D" w:rsidP="00F1465D">
            <w:pPr>
              <w:rPr>
                <w:b/>
              </w:rPr>
            </w:pPr>
            <w:r>
              <w:rPr>
                <w:b/>
              </w:rPr>
              <w:t>Work Items</w:t>
            </w:r>
          </w:p>
        </w:tc>
        <w:tc>
          <w:tcPr>
            <w:tcW w:w="7567" w:type="dxa"/>
          </w:tcPr>
          <w:p w:rsidR="00F1465D" w:rsidRDefault="00F1465D" w:rsidP="00F1465D"/>
        </w:tc>
      </w:tr>
      <w:tr w:rsidR="00F1465D" w:rsidTr="00F1465D">
        <w:tc>
          <w:tcPr>
            <w:tcW w:w="2351" w:type="dxa"/>
          </w:tcPr>
          <w:p w:rsidR="00F1465D" w:rsidRDefault="00F1465D" w:rsidP="00E7259C">
            <w:pPr>
              <w:rPr>
                <w:b/>
              </w:rPr>
            </w:pPr>
            <w:r>
              <w:rPr>
                <w:b/>
              </w:rPr>
              <w:t>Team Members</w:t>
            </w:r>
          </w:p>
        </w:tc>
        <w:tc>
          <w:tcPr>
            <w:tcW w:w="7567" w:type="dxa"/>
          </w:tcPr>
          <w:p w:rsidR="00F1465D" w:rsidRDefault="00F1465D" w:rsidP="00E7259C"/>
        </w:tc>
      </w:tr>
      <w:tr w:rsidR="00F1465D" w:rsidTr="00F1465D">
        <w:tc>
          <w:tcPr>
            <w:tcW w:w="2351" w:type="dxa"/>
          </w:tcPr>
          <w:p w:rsidR="00F1465D" w:rsidRDefault="00F1465D" w:rsidP="00E7259C">
            <w:pPr>
              <w:rPr>
                <w:b/>
              </w:rPr>
            </w:pPr>
            <w:r>
              <w:rPr>
                <w:b/>
              </w:rPr>
              <w:t>Rapporteur</w:t>
            </w:r>
          </w:p>
        </w:tc>
        <w:tc>
          <w:tcPr>
            <w:tcW w:w="7567" w:type="dxa"/>
          </w:tcPr>
          <w:p w:rsidR="00F1465D" w:rsidRDefault="00F1465D" w:rsidP="00E7259C"/>
        </w:tc>
      </w:tr>
    </w:tbl>
    <w:p w:rsidR="00FD3CB7" w:rsidRPr="00FD3CB7" w:rsidRDefault="00FD3CB7" w:rsidP="00FD3CB7">
      <w:pPr>
        <w:rPr>
          <w:b/>
        </w:rPr>
      </w:pPr>
    </w:p>
    <w:p w:rsidR="00FD3CB7" w:rsidRPr="00FD3CB7" w:rsidRDefault="00FD3CB7" w:rsidP="00FD3CB7">
      <w:pPr>
        <w:pStyle w:val="Heading4"/>
      </w:pPr>
      <w:r>
        <w:t>Sub T</w:t>
      </w:r>
      <w:r w:rsidRPr="00FD3CB7">
        <w:t>eam</w:t>
      </w:r>
      <w:r>
        <w:t xml:space="preserve"> 4 – Future Threats</w:t>
      </w:r>
    </w:p>
    <w:tbl>
      <w:tblPr>
        <w:tblStyle w:val="TableGrid"/>
        <w:tblW w:w="9918" w:type="dxa"/>
        <w:tblLook w:val="04A0" w:firstRow="1" w:lastRow="0" w:firstColumn="1" w:lastColumn="0" w:noHBand="0" w:noVBand="1"/>
      </w:tblPr>
      <w:tblGrid>
        <w:gridCol w:w="2351"/>
        <w:gridCol w:w="7567"/>
      </w:tblGrid>
      <w:tr w:rsidR="00FD3CB7" w:rsidTr="008F24E0">
        <w:tc>
          <w:tcPr>
            <w:tcW w:w="2351" w:type="dxa"/>
          </w:tcPr>
          <w:p w:rsidR="00FD3CB7" w:rsidRDefault="00FD3CB7" w:rsidP="008F24E0">
            <w:r>
              <w:rPr>
                <w:b/>
              </w:rPr>
              <w:t>Topic</w:t>
            </w:r>
          </w:p>
        </w:tc>
        <w:tc>
          <w:tcPr>
            <w:tcW w:w="7567" w:type="dxa"/>
          </w:tcPr>
          <w:p w:rsidR="00FD3CB7" w:rsidRDefault="00FD3CB7" w:rsidP="008F24E0">
            <w:r>
              <w:t>Future Threats and Challenges</w:t>
            </w:r>
          </w:p>
        </w:tc>
      </w:tr>
      <w:tr w:rsidR="00FD3CB7" w:rsidTr="008F24E0">
        <w:tc>
          <w:tcPr>
            <w:tcW w:w="2351" w:type="dxa"/>
          </w:tcPr>
          <w:p w:rsidR="00FD3CB7" w:rsidRDefault="00FD3CB7" w:rsidP="008F24E0">
            <w:r>
              <w:rPr>
                <w:b/>
              </w:rPr>
              <w:t>Related Bylaw</w:t>
            </w:r>
          </w:p>
        </w:tc>
        <w:tc>
          <w:tcPr>
            <w:tcW w:w="7567" w:type="dxa"/>
          </w:tcPr>
          <w:p w:rsidR="00FD3CB7" w:rsidRDefault="00700087" w:rsidP="008F24E0">
            <w:r w:rsidRPr="00FD3CB7">
              <w:t>4.6 (c)(</w:t>
            </w:r>
            <w:r>
              <w:t>iii)</w:t>
            </w:r>
          </w:p>
        </w:tc>
      </w:tr>
      <w:tr w:rsidR="00FD3CB7" w:rsidTr="008F24E0">
        <w:tc>
          <w:tcPr>
            <w:tcW w:w="2351" w:type="dxa"/>
          </w:tcPr>
          <w:p w:rsidR="00FD3CB7" w:rsidRDefault="00FD3CB7" w:rsidP="008F24E0">
            <w:r>
              <w:rPr>
                <w:b/>
              </w:rPr>
              <w:t>Skillset</w:t>
            </w:r>
          </w:p>
        </w:tc>
        <w:tc>
          <w:tcPr>
            <w:tcW w:w="7567" w:type="dxa"/>
          </w:tcPr>
          <w:p w:rsidR="00FD3CB7" w:rsidRDefault="002164C5" w:rsidP="008F24E0">
            <w:r>
              <w:t>Threat Intel, Policy, Cybersecurity, IETF,</w:t>
            </w:r>
          </w:p>
        </w:tc>
      </w:tr>
      <w:tr w:rsidR="00FD3CB7" w:rsidTr="008F24E0">
        <w:tc>
          <w:tcPr>
            <w:tcW w:w="2351" w:type="dxa"/>
          </w:tcPr>
          <w:p w:rsidR="00FD3CB7" w:rsidRDefault="00FD3CB7" w:rsidP="008F24E0">
            <w:pPr>
              <w:rPr>
                <w:b/>
              </w:rPr>
            </w:pPr>
            <w:r w:rsidRPr="00FD3CB7">
              <w:rPr>
                <w:b/>
              </w:rPr>
              <w:t>Description of activity</w:t>
            </w:r>
          </w:p>
          <w:p w:rsidR="00FD3CB7" w:rsidRDefault="00FD3CB7" w:rsidP="008F24E0"/>
        </w:tc>
        <w:tc>
          <w:tcPr>
            <w:tcW w:w="7567" w:type="dxa"/>
          </w:tcPr>
          <w:p w:rsidR="00FD3CB7" w:rsidRDefault="005C2230" w:rsidP="008F24E0">
            <w:r>
              <w:t>The sub team will be responsible for reviewing the long term strategy of ICANN to plan for and mitigate potential threats to the secure and resilient operation of the unique identifiers systems it coordinates.</w:t>
            </w:r>
          </w:p>
        </w:tc>
      </w:tr>
      <w:tr w:rsidR="00F1465D" w:rsidTr="008F24E0">
        <w:tc>
          <w:tcPr>
            <w:tcW w:w="2351" w:type="dxa"/>
          </w:tcPr>
          <w:p w:rsidR="00F1465D" w:rsidRPr="00FD3CB7" w:rsidRDefault="00F1465D" w:rsidP="00F1465D">
            <w:pPr>
              <w:rPr>
                <w:b/>
              </w:rPr>
            </w:pPr>
            <w:r>
              <w:rPr>
                <w:b/>
              </w:rPr>
              <w:t>Work Items</w:t>
            </w:r>
          </w:p>
        </w:tc>
        <w:tc>
          <w:tcPr>
            <w:tcW w:w="7567" w:type="dxa"/>
          </w:tcPr>
          <w:p w:rsidR="00F1465D" w:rsidRDefault="00F1465D" w:rsidP="00F1465D"/>
        </w:tc>
      </w:tr>
      <w:tr w:rsidR="00F1465D" w:rsidTr="00F1465D">
        <w:tc>
          <w:tcPr>
            <w:tcW w:w="2351" w:type="dxa"/>
          </w:tcPr>
          <w:p w:rsidR="00F1465D" w:rsidRDefault="00F1465D" w:rsidP="00E7259C">
            <w:pPr>
              <w:rPr>
                <w:b/>
              </w:rPr>
            </w:pPr>
            <w:r>
              <w:rPr>
                <w:b/>
              </w:rPr>
              <w:t>Team Members</w:t>
            </w:r>
          </w:p>
        </w:tc>
        <w:tc>
          <w:tcPr>
            <w:tcW w:w="7567" w:type="dxa"/>
          </w:tcPr>
          <w:p w:rsidR="00F1465D" w:rsidRDefault="00F1465D" w:rsidP="00E7259C"/>
        </w:tc>
      </w:tr>
      <w:tr w:rsidR="00F1465D" w:rsidTr="00F1465D">
        <w:tc>
          <w:tcPr>
            <w:tcW w:w="2351" w:type="dxa"/>
          </w:tcPr>
          <w:p w:rsidR="00F1465D" w:rsidRDefault="00F1465D" w:rsidP="00E7259C">
            <w:pPr>
              <w:rPr>
                <w:b/>
              </w:rPr>
            </w:pPr>
            <w:r>
              <w:rPr>
                <w:b/>
              </w:rPr>
              <w:t>Rapporteur</w:t>
            </w:r>
          </w:p>
        </w:tc>
        <w:tc>
          <w:tcPr>
            <w:tcW w:w="7567" w:type="dxa"/>
          </w:tcPr>
          <w:p w:rsidR="00F1465D" w:rsidRDefault="00F1465D" w:rsidP="00E7259C"/>
        </w:tc>
      </w:tr>
    </w:tbl>
    <w:p w:rsidR="00FD3CB7" w:rsidRPr="00FD3CB7" w:rsidRDefault="00FD3CB7" w:rsidP="00FD3CB7">
      <w:pPr>
        <w:rPr>
          <w:b/>
        </w:rPr>
      </w:pPr>
    </w:p>
    <w:p w:rsidR="00FD3CB7" w:rsidRPr="00FD3CB7" w:rsidRDefault="00FD3CB7" w:rsidP="00FD3CB7">
      <w:pPr>
        <w:pStyle w:val="Heading4"/>
      </w:pPr>
      <w:r>
        <w:t>Sub T</w:t>
      </w:r>
      <w:r w:rsidRPr="00FD3CB7">
        <w:t>eam</w:t>
      </w:r>
      <w:r>
        <w:t xml:space="preserve"> 5 – IANA </w:t>
      </w:r>
      <w:r w:rsidR="009B6783">
        <w:t>Transition</w:t>
      </w:r>
    </w:p>
    <w:tbl>
      <w:tblPr>
        <w:tblStyle w:val="TableGrid"/>
        <w:tblW w:w="9918" w:type="dxa"/>
        <w:tblLook w:val="04A0" w:firstRow="1" w:lastRow="0" w:firstColumn="1" w:lastColumn="0" w:noHBand="0" w:noVBand="1"/>
      </w:tblPr>
      <w:tblGrid>
        <w:gridCol w:w="2351"/>
        <w:gridCol w:w="7567"/>
      </w:tblGrid>
      <w:tr w:rsidR="00FD3CB7" w:rsidTr="008F24E0">
        <w:tc>
          <w:tcPr>
            <w:tcW w:w="2351" w:type="dxa"/>
          </w:tcPr>
          <w:p w:rsidR="00FD3CB7" w:rsidRDefault="00FD3CB7" w:rsidP="008F24E0">
            <w:r>
              <w:rPr>
                <w:b/>
              </w:rPr>
              <w:t>Topic</w:t>
            </w:r>
          </w:p>
        </w:tc>
        <w:tc>
          <w:tcPr>
            <w:tcW w:w="7567" w:type="dxa"/>
          </w:tcPr>
          <w:p w:rsidR="00FD3CB7" w:rsidRDefault="00FD3CB7" w:rsidP="008F24E0">
            <w:r>
              <w:t>IANA Transition Impact</w:t>
            </w:r>
          </w:p>
        </w:tc>
      </w:tr>
      <w:tr w:rsidR="00FD3CB7" w:rsidTr="008F24E0">
        <w:tc>
          <w:tcPr>
            <w:tcW w:w="2351" w:type="dxa"/>
          </w:tcPr>
          <w:p w:rsidR="00FD3CB7" w:rsidRDefault="00FD3CB7" w:rsidP="008F24E0">
            <w:r>
              <w:rPr>
                <w:b/>
              </w:rPr>
              <w:t>Related Bylaw</w:t>
            </w:r>
          </w:p>
        </w:tc>
        <w:tc>
          <w:tcPr>
            <w:tcW w:w="7567" w:type="dxa"/>
          </w:tcPr>
          <w:p w:rsidR="00FD3CB7" w:rsidRDefault="00700087" w:rsidP="008F24E0">
            <w:r w:rsidRPr="00FD3CB7">
              <w:t>4.6 (c)(</w:t>
            </w:r>
            <w:r>
              <w:t>ii)(B)</w:t>
            </w:r>
          </w:p>
          <w:p w:rsidR="00700087" w:rsidRDefault="00700087" w:rsidP="008F24E0">
            <w:r w:rsidRPr="00FD3CB7">
              <w:t>4.6 (c)(</w:t>
            </w:r>
            <w:r>
              <w:t>iii)</w:t>
            </w:r>
          </w:p>
        </w:tc>
      </w:tr>
      <w:tr w:rsidR="00FD3CB7" w:rsidTr="008F24E0">
        <w:tc>
          <w:tcPr>
            <w:tcW w:w="2351" w:type="dxa"/>
          </w:tcPr>
          <w:p w:rsidR="00FD3CB7" w:rsidRDefault="00FD3CB7" w:rsidP="008F24E0">
            <w:r>
              <w:rPr>
                <w:b/>
              </w:rPr>
              <w:t>Skillset</w:t>
            </w:r>
          </w:p>
        </w:tc>
        <w:tc>
          <w:tcPr>
            <w:tcW w:w="7567" w:type="dxa"/>
          </w:tcPr>
          <w:p w:rsidR="00FD3CB7" w:rsidRDefault="002164C5" w:rsidP="008F24E0">
            <w:r>
              <w:t>IANA, CCWG, IETF, RIR, Risk Management</w:t>
            </w:r>
          </w:p>
        </w:tc>
      </w:tr>
      <w:tr w:rsidR="00FD3CB7" w:rsidTr="008F24E0">
        <w:tc>
          <w:tcPr>
            <w:tcW w:w="2351" w:type="dxa"/>
          </w:tcPr>
          <w:p w:rsidR="00FD3CB7" w:rsidRDefault="00FD3CB7" w:rsidP="008F24E0">
            <w:pPr>
              <w:rPr>
                <w:b/>
              </w:rPr>
            </w:pPr>
            <w:r w:rsidRPr="00FD3CB7">
              <w:rPr>
                <w:b/>
              </w:rPr>
              <w:t>Description of activity</w:t>
            </w:r>
          </w:p>
          <w:p w:rsidR="00FD3CB7" w:rsidRDefault="00FD3CB7" w:rsidP="008F24E0"/>
        </w:tc>
        <w:tc>
          <w:tcPr>
            <w:tcW w:w="7567" w:type="dxa"/>
          </w:tcPr>
          <w:p w:rsidR="00FD3CB7" w:rsidRDefault="005C2230" w:rsidP="008F24E0">
            <w:r>
              <w:t>The sub team will be responsible for reviewing the impact of the IANA transition on the security of ICANN and the unique identifier systems it coordinates</w:t>
            </w:r>
          </w:p>
        </w:tc>
      </w:tr>
      <w:tr w:rsidR="00F1465D" w:rsidTr="008F24E0">
        <w:tc>
          <w:tcPr>
            <w:tcW w:w="2351" w:type="dxa"/>
          </w:tcPr>
          <w:p w:rsidR="00F1465D" w:rsidRPr="00FD3CB7" w:rsidRDefault="00F1465D" w:rsidP="00F1465D">
            <w:pPr>
              <w:rPr>
                <w:b/>
              </w:rPr>
            </w:pPr>
            <w:r>
              <w:rPr>
                <w:b/>
              </w:rPr>
              <w:t>Work Items</w:t>
            </w:r>
          </w:p>
        </w:tc>
        <w:tc>
          <w:tcPr>
            <w:tcW w:w="7567" w:type="dxa"/>
          </w:tcPr>
          <w:p w:rsidR="00F1465D" w:rsidRDefault="00F1465D" w:rsidP="00F1465D"/>
        </w:tc>
      </w:tr>
      <w:tr w:rsidR="00F1465D" w:rsidTr="00F1465D">
        <w:tc>
          <w:tcPr>
            <w:tcW w:w="2351" w:type="dxa"/>
          </w:tcPr>
          <w:p w:rsidR="00F1465D" w:rsidRDefault="00F1465D" w:rsidP="00E7259C">
            <w:pPr>
              <w:rPr>
                <w:b/>
              </w:rPr>
            </w:pPr>
            <w:r>
              <w:rPr>
                <w:b/>
              </w:rPr>
              <w:t>Team Members</w:t>
            </w:r>
          </w:p>
        </w:tc>
        <w:tc>
          <w:tcPr>
            <w:tcW w:w="7567" w:type="dxa"/>
          </w:tcPr>
          <w:p w:rsidR="00F1465D" w:rsidRDefault="00F1465D" w:rsidP="00E7259C"/>
        </w:tc>
      </w:tr>
      <w:tr w:rsidR="00F1465D" w:rsidTr="00F1465D">
        <w:tc>
          <w:tcPr>
            <w:tcW w:w="2351" w:type="dxa"/>
          </w:tcPr>
          <w:p w:rsidR="00F1465D" w:rsidRDefault="00F1465D" w:rsidP="00E7259C">
            <w:pPr>
              <w:rPr>
                <w:b/>
              </w:rPr>
            </w:pPr>
            <w:r>
              <w:rPr>
                <w:b/>
              </w:rPr>
              <w:t>Rapporteur</w:t>
            </w:r>
          </w:p>
        </w:tc>
        <w:tc>
          <w:tcPr>
            <w:tcW w:w="7567" w:type="dxa"/>
          </w:tcPr>
          <w:p w:rsidR="00F1465D" w:rsidRDefault="00F1465D" w:rsidP="00E7259C"/>
        </w:tc>
      </w:tr>
    </w:tbl>
    <w:p w:rsidR="00FD3CB7" w:rsidRDefault="00FD3CB7" w:rsidP="00FD3CB7">
      <w:pPr>
        <w:rPr>
          <w:b/>
          <w:sz w:val="28"/>
          <w:szCs w:val="28"/>
        </w:rPr>
      </w:pPr>
    </w:p>
    <w:p w:rsidR="00FD3CB7" w:rsidRDefault="00FD3CB7"/>
    <w:p w:rsidR="000D6BAA" w:rsidRDefault="000D6BAA"/>
    <w:p w:rsidR="000D6BAA" w:rsidRDefault="000D6BAA"/>
    <w:p w:rsidR="000D6BAA" w:rsidRDefault="000D6BAA"/>
    <w:p w:rsidR="000D6BAA" w:rsidRDefault="000D6BAA"/>
    <w:p w:rsidR="000D6BAA" w:rsidRDefault="000D6BAA">
      <w:pPr>
        <w:sectPr w:rsidR="000D6BAA">
          <w:pgSz w:w="12240" w:h="15840"/>
          <w:pgMar w:top="1440" w:right="1440" w:bottom="1440" w:left="1440" w:header="720" w:footer="720" w:gutter="0"/>
          <w:cols w:space="720"/>
          <w:docGrid w:linePitch="360"/>
        </w:sectPr>
      </w:pPr>
    </w:p>
    <w:p w:rsidR="000D6BAA" w:rsidRDefault="000D6BAA" w:rsidP="000D6BAA">
      <w:pPr>
        <w:pStyle w:val="Heading2"/>
      </w:pPr>
      <w:r>
        <w:lastRenderedPageBreak/>
        <w:t>Timeline (Based on Terms of Reference V3)</w:t>
      </w:r>
    </w:p>
    <w:p w:rsidR="000D6BAA" w:rsidRDefault="000D6BAA"/>
    <w:bookmarkStart w:id="0" w:name="_GoBack"/>
    <w:p w:rsidR="000D6BAA" w:rsidRDefault="000D6BAA">
      <w:r>
        <w:object w:dxaOrig="14716" w:dyaOrig="3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47.5pt;height:135.5pt" o:ole="">
            <v:imagedata r:id="rId10" o:title=""/>
          </v:shape>
          <o:OLEObject Type="Embed" ProgID="Visio.Drawing.15" ShapeID="_x0000_i1029" DrawAspect="Content" ObjectID="_1555761746" r:id="rId11"/>
        </w:object>
      </w:r>
      <w:bookmarkEnd w:id="0"/>
    </w:p>
    <w:sectPr w:rsidR="000D6BAA" w:rsidSect="000D6BA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7F550E"/>
    <w:multiLevelType w:val="multilevel"/>
    <w:tmpl w:val="23F4CE30"/>
    <w:lvl w:ilvl="0">
      <w:start w:val="1"/>
      <w:numFmt w:val="upperLetter"/>
      <w:lvlText w:val="%1)"/>
      <w:lvlJc w:val="left"/>
      <w:pPr>
        <w:tabs>
          <w:tab w:val="num" w:pos="1440"/>
        </w:tabs>
        <w:ind w:left="1440" w:hanging="360"/>
      </w:pPr>
      <w:rPr>
        <w:rFonts w:hint="default"/>
      </w:rPr>
    </w:lvl>
    <w:lvl w:ilvl="1">
      <w:start w:val="1"/>
      <w:numFmt w:val="lowerLetter"/>
      <w:lvlText w:val="%2."/>
      <w:lvlJc w:val="left"/>
      <w:pPr>
        <w:ind w:left="2160" w:hanging="360"/>
      </w:pPr>
      <w:rPr>
        <w:rFonts w:hint="default"/>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D8278E4"/>
    <w:multiLevelType w:val="hybridMultilevel"/>
    <w:tmpl w:val="105AB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3"/>
  </w:num>
  <w:num w:numId="3">
    <w:abstractNumId w:val="10"/>
  </w:num>
  <w:num w:numId="4">
    <w:abstractNumId w:val="23"/>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2"/>
  </w:num>
  <w:num w:numId="21">
    <w:abstractNumId w:val="19"/>
  </w:num>
  <w:num w:numId="22">
    <w:abstractNumId w:val="12"/>
  </w:num>
  <w:num w:numId="23">
    <w:abstractNumId w:val="24"/>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6" w:nlCheck="1" w:checkStyle="0"/>
  <w:activeWritingStyle w:appName="MSWord" w:lang="en-US" w:vendorID="64" w:dllVersion="4096" w:nlCheck="1" w:checkStyle="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B7"/>
    <w:rsid w:val="000D6BAA"/>
    <w:rsid w:val="0011475C"/>
    <w:rsid w:val="002164C5"/>
    <w:rsid w:val="005C2230"/>
    <w:rsid w:val="00643769"/>
    <w:rsid w:val="00645252"/>
    <w:rsid w:val="006D3D74"/>
    <w:rsid w:val="00700087"/>
    <w:rsid w:val="008F24E0"/>
    <w:rsid w:val="009B6783"/>
    <w:rsid w:val="00A9204E"/>
    <w:rsid w:val="00B574AD"/>
    <w:rsid w:val="00D35044"/>
    <w:rsid w:val="00F1465D"/>
    <w:rsid w:val="00FD3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70FD9"/>
  <w15:chartTrackingRefBased/>
  <w15:docId w15:val="{E65BA866-CBA1-4E4F-94EA-CADE15FA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qFormat/>
    <w:rsid w:val="00FD3CB7"/>
    <w:pPr>
      <w:spacing w:after="160" w:line="259" w:lineRule="auto"/>
      <w:ind w:left="720"/>
      <w:contextualSpacing/>
    </w:pPr>
    <w:rPr>
      <w:rFonts w:ascii="Calibri" w:eastAsia="Calibri" w:hAnsi="Calibri" w:cs="Calibri"/>
      <w:color w:val="000000"/>
    </w:rPr>
  </w:style>
  <w:style w:type="paragraph" w:styleId="NormalWeb">
    <w:name w:val="Normal (Web)"/>
    <w:basedOn w:val="Normal"/>
    <w:uiPriority w:val="99"/>
    <w:unhideWhenUsed/>
    <w:rsid w:val="00FD3CB7"/>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FD3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governance/bylaws-e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Visio_Drawing.vsdx"/><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hyperlink" Target="https://www.icann.org/resources/pages/governance/bylaws-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4</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2</cp:revision>
  <dcterms:created xsi:type="dcterms:W3CDTF">2017-05-08T14:16:00Z</dcterms:created>
  <dcterms:modified xsi:type="dcterms:W3CDTF">2017-05-08T14:16:00Z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