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Technical Study Group on Access to Non-Public Registration Data</w:t>
      </w:r>
    </w:p>
    <w:p w:rsidR="00000000" w:rsidDel="00000000" w:rsidP="00000000" w:rsidRDefault="00000000" w:rsidRPr="00000000" w14:paraId="00000001">
      <w:pPr>
        <w:rPr>
          <w:b w:val="1"/>
        </w:rPr>
      </w:pPr>
      <w:r w:rsidDel="00000000" w:rsidR="00000000" w:rsidRPr="00000000">
        <w:rPr>
          <w:b w:val="1"/>
          <w:rtl w:val="0"/>
        </w:rPr>
        <w:t xml:space="preserve">Face-to-face meeting; 14-15 Jan.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Use cases</w:t>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Use Case #1: query for a name server by its IP address; not redacted data.</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How do the RIRs handle queries of IP addresses?</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RDAP allows a name server search by IP – is that something we need to consider? Yes.</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Use case #2: What does bulk mean? A lot of queries? Reverse searches?</w:t>
      </w:r>
    </w:p>
    <w:p w:rsidR="00000000" w:rsidDel="00000000" w:rsidP="00000000" w:rsidRDefault="00000000" w:rsidRPr="00000000" w14:paraId="00000008">
      <w:pPr>
        <w:numPr>
          <w:ilvl w:val="1"/>
          <w:numId w:val="4"/>
        </w:numPr>
        <w:ind w:left="1440" w:hanging="360"/>
        <w:rPr>
          <w:u w:val="none"/>
        </w:rPr>
      </w:pPr>
      <w:r w:rsidDel="00000000" w:rsidR="00000000" w:rsidRPr="00000000">
        <w:rPr>
          <w:rtl w:val="0"/>
        </w:rPr>
        <w:t xml:space="preserve">2a: Security and law enforcement require bulk access to domain records, which might include multiple queries, reduced or no rate limiting and reverse search capabilities (i.e. search domain by an attribute available in RDAP)</w:t>
      </w:r>
    </w:p>
    <w:p w:rsidR="00000000" w:rsidDel="00000000" w:rsidP="00000000" w:rsidRDefault="00000000" w:rsidRPr="00000000" w14:paraId="00000009">
      <w:pPr>
        <w:numPr>
          <w:ilvl w:val="1"/>
          <w:numId w:val="4"/>
        </w:numPr>
        <w:ind w:left="1440" w:hanging="360"/>
        <w:rPr>
          <w:u w:val="none"/>
        </w:rPr>
      </w:pPr>
      <w:r w:rsidDel="00000000" w:rsidR="00000000" w:rsidRPr="00000000">
        <w:rPr>
          <w:rtl w:val="0"/>
        </w:rPr>
        <w:t xml:space="preserve">Use unique identifiers to correlate across domain names.</w:t>
      </w:r>
    </w:p>
    <w:p w:rsidR="00000000" w:rsidDel="00000000" w:rsidP="00000000" w:rsidRDefault="00000000" w:rsidRPr="00000000" w14:paraId="0000000A">
      <w:pPr>
        <w:numPr>
          <w:ilvl w:val="1"/>
          <w:numId w:val="4"/>
        </w:numPr>
        <w:ind w:left="1440" w:hanging="360"/>
        <w:rPr>
          <w:u w:val="none"/>
        </w:rPr>
      </w:pPr>
      <w:r w:rsidDel="00000000" w:rsidR="00000000" w:rsidRPr="00000000">
        <w:rPr>
          <w:rtl w:val="0"/>
        </w:rPr>
        <w:t xml:space="preserve">Multiple identifiers may exist but don’t have to get into the details </w:t>
      </w:r>
    </w:p>
    <w:p w:rsidR="00000000" w:rsidDel="00000000" w:rsidP="00000000" w:rsidRDefault="00000000" w:rsidRPr="00000000" w14:paraId="0000000B">
      <w:pPr>
        <w:numPr>
          <w:ilvl w:val="1"/>
          <w:numId w:val="4"/>
        </w:numPr>
        <w:ind w:left="1440" w:hanging="360"/>
        <w:rPr>
          <w:u w:val="none"/>
        </w:rPr>
      </w:pPr>
      <w:r w:rsidDel="00000000" w:rsidR="00000000" w:rsidRPr="00000000">
        <w:rPr>
          <w:rtl w:val="0"/>
        </w:rPr>
        <w:t xml:space="preserve">Revised use case #2: Authorized users (e.g., security researchers, law enforcement, etc.) require bulk access to domain records, which might include multiple queries, reduced or no rate limiting, and reverse search capabilities (i.e. search domain by an attribute available in RDAP)</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Use case #3: rephrased as in Google doc</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Towards a Policy Framework for Registration Data Directory Services (Crocker)</w:t>
      </w:r>
    </w:p>
    <w:p w:rsidR="00000000" w:rsidDel="00000000" w:rsidP="00000000" w:rsidRDefault="00000000" w:rsidRPr="00000000" w14:paraId="0000000E">
      <w:pPr>
        <w:numPr>
          <w:ilvl w:val="1"/>
          <w:numId w:val="4"/>
        </w:numPr>
        <w:ind w:left="1440" w:hanging="360"/>
        <w:rPr>
          <w:u w:val="none"/>
        </w:rPr>
      </w:pPr>
      <w:r w:rsidDel="00000000" w:rsidR="00000000" w:rsidRPr="00000000">
        <w:rPr>
          <w:rtl w:val="0"/>
        </w:rPr>
        <w:t xml:space="preserve">Graph similar to the data fields identified by EPDP, they have not yet discussed access.</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Use case #6: Merit in exploring the idea of hashed data being lodged with ICANN – would have</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Note why we removed use cases, including redundancies –</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Unicorn: Ram’s statement from 1305-1310</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May be an error condition for an operating model in which a query is sent to an ICANN service that is expecting to receive only accepted conditions – may be normal model of operation for server operators. (or is this a use case?)</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For Rys/RRs, if you’re doing an unauthenticated query, we only give you the public data. Are we expecting ICANN to do the same thing if it receives an unauthenticated query, it would only receive public data?</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Does CP have to operate an RDAP service that services unauthenticated/unauthorized uses?</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Question to include in final report:  Is ICANN ready to build and manage a system that moderates access requests, at scale, with SLAs etc. attached to it?</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2:28 pm (1.5 hours after lunch) Question to Göran: Can CPs have visibility into the requests/the justification for the data requested?</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Who can query what and what gets recorded? Need very clear requirements on that before implementation can begin.</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Principle of centralization: logic should live in one place, where all fields, justifications, authentication, authorization.</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Add to charter assumptions: Data holders assume that ICANN will ensure validity of credentials.</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Question to Goran: Is ICANN the sole party giving access?</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Question to Goran: Is ICANN going to be the proxy for all non-public data queries? Taking into taccount the legal and political implications that involves? Or is a distributed model also a possibility?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i w:val="1"/>
          <w:rtl w:val="0"/>
        </w:rPr>
        <w:t xml:space="preserve">Charter: Key Questions/Issues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Authentication/Authorization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5"/>
        </w:numPr>
        <w:ind w:left="720" w:hanging="360"/>
        <w:rPr>
          <w:u w:val="none"/>
        </w:rPr>
      </w:pPr>
      <w:r w:rsidDel="00000000" w:rsidR="00000000" w:rsidRPr="00000000">
        <w:rPr>
          <w:rtl w:val="0"/>
        </w:rPr>
        <w:t xml:space="preserve">Question 1: Synchronous, automated approval or asynchronous approval? If so, that’s not a technical question</w:t>
      </w:r>
    </w:p>
    <w:p w:rsidR="00000000" w:rsidDel="00000000" w:rsidP="00000000" w:rsidRDefault="00000000" w:rsidRPr="00000000" w14:paraId="00000022">
      <w:pPr>
        <w:numPr>
          <w:ilvl w:val="1"/>
          <w:numId w:val="15"/>
        </w:numPr>
        <w:ind w:left="1440" w:hanging="360"/>
        <w:rPr>
          <w:u w:val="none"/>
        </w:rPr>
      </w:pPr>
      <w:r w:rsidDel="00000000" w:rsidR="00000000" w:rsidRPr="00000000">
        <w:rPr>
          <w:rtl w:val="0"/>
        </w:rPr>
        <w:t xml:space="preserve">Comes down to what the policy requirement is.</w:t>
      </w:r>
    </w:p>
    <w:p w:rsidR="00000000" w:rsidDel="00000000" w:rsidP="00000000" w:rsidRDefault="00000000" w:rsidRPr="00000000" w14:paraId="00000023">
      <w:pPr>
        <w:numPr>
          <w:ilvl w:val="1"/>
          <w:numId w:val="15"/>
        </w:numPr>
        <w:ind w:left="1440" w:hanging="360"/>
        <w:rPr>
          <w:u w:val="none"/>
        </w:rPr>
      </w:pPr>
      <w:r w:rsidDel="00000000" w:rsidR="00000000" w:rsidRPr="00000000">
        <w:rPr>
          <w:rtl w:val="0"/>
        </w:rPr>
        <w:t xml:space="preserve">May require two systems – one for synchronous/asynchronous</w:t>
      </w:r>
    </w:p>
    <w:p w:rsidR="00000000" w:rsidDel="00000000" w:rsidP="00000000" w:rsidRDefault="00000000" w:rsidRPr="00000000" w14:paraId="00000024">
      <w:pPr>
        <w:numPr>
          <w:ilvl w:val="1"/>
          <w:numId w:val="15"/>
        </w:numPr>
        <w:ind w:left="1440" w:hanging="360"/>
        <w:rPr>
          <w:u w:val="none"/>
        </w:rPr>
      </w:pPr>
      <w:r w:rsidDel="00000000" w:rsidR="00000000" w:rsidRPr="00000000">
        <w:rPr>
          <w:rtl w:val="0"/>
        </w:rPr>
        <w:t xml:space="preserve">Would require a flow diagram to funnel to answers to question 2 or 3.</w:t>
      </w:r>
    </w:p>
    <w:p w:rsidR="00000000" w:rsidDel="00000000" w:rsidP="00000000" w:rsidRDefault="00000000" w:rsidRPr="00000000" w14:paraId="00000025">
      <w:pPr>
        <w:numPr>
          <w:ilvl w:val="0"/>
          <w:numId w:val="13"/>
        </w:numPr>
        <w:ind w:left="720" w:hanging="360"/>
        <w:rPr>
          <w:u w:val="none"/>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3 questions in this section are versions of the same questions.</w:t>
      </w:r>
    </w:p>
    <w:p w:rsidR="00000000" w:rsidDel="00000000" w:rsidP="00000000" w:rsidRDefault="00000000" w:rsidRPr="00000000" w14:paraId="00000026">
      <w:pPr>
        <w:numPr>
          <w:ilvl w:val="0"/>
          <w:numId w:val="13"/>
        </w:numPr>
        <w:ind w:left="720" w:hanging="360"/>
        <w:rPr>
          <w:u w:val="none"/>
        </w:rPr>
      </w:pPr>
      <w:r w:rsidDel="00000000" w:rsidR="00000000" w:rsidRPr="00000000">
        <w:rPr>
          <w:rtl w:val="0"/>
        </w:rPr>
        <w:t xml:space="preserve">Question 2: Steve’s model of pro forma requests that a client can apply to a request for information so authorization can happen in real time. That would ensure synchronous authorization.</w:t>
      </w:r>
    </w:p>
    <w:p w:rsidR="00000000" w:rsidDel="00000000" w:rsidP="00000000" w:rsidRDefault="00000000" w:rsidRPr="00000000" w14:paraId="00000027">
      <w:pPr>
        <w:numPr>
          <w:ilvl w:val="0"/>
          <w:numId w:val="13"/>
        </w:numPr>
        <w:ind w:left="720" w:hanging="360"/>
        <w:rPr>
          <w:u w:val="none"/>
        </w:rPr>
      </w:pPr>
      <w:r w:rsidDel="00000000" w:rsidR="00000000" w:rsidRPr="00000000">
        <w:rPr>
          <w:rtl w:val="0"/>
        </w:rPr>
        <w:t xml:space="preserve">Question 3: ICANN would create a ticketing system.</w:t>
      </w:r>
    </w:p>
    <w:p w:rsidR="00000000" w:rsidDel="00000000" w:rsidP="00000000" w:rsidRDefault="00000000" w:rsidRPr="00000000" w14:paraId="00000028">
      <w:pPr>
        <w:numPr>
          <w:ilvl w:val="0"/>
          <w:numId w:val="13"/>
        </w:numPr>
        <w:ind w:left="720" w:hanging="360"/>
        <w:rPr>
          <w:u w:val="none"/>
        </w:rPr>
      </w:pPr>
      <w:r w:rsidDel="00000000" w:rsidR="00000000" w:rsidRPr="00000000">
        <w:rPr>
          <w:rtl w:val="0"/>
        </w:rPr>
        <w:t xml:space="preserve">Answer to first 3 questions: Reply can be authorized in real-time using a pro-forma query. Requests that don’t meet pro forma templates, must be escalated to a human interaction with a support queue.</w:t>
      </w:r>
    </w:p>
    <w:p w:rsidR="00000000" w:rsidDel="00000000" w:rsidP="00000000" w:rsidRDefault="00000000" w:rsidRPr="00000000" w14:paraId="00000029">
      <w:pPr>
        <w:numPr>
          <w:ilvl w:val="0"/>
          <w:numId w:val="13"/>
        </w:numPr>
        <w:ind w:left="720" w:hanging="360"/>
        <w:rPr>
          <w:u w:val="none"/>
        </w:rPr>
      </w:pPr>
      <w:r w:rsidDel="00000000" w:rsidR="00000000" w:rsidRPr="00000000">
        <w:rPr>
          <w:rtl w:val="0"/>
        </w:rPr>
        <w:t xml:space="preserve">Question 4. Potential solutions (reference Scott’s draft on using federated authentication. Also e.g. certificates.) Which is the best fit for the requirements? Need to know more about the requirements.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Data Transport/Storage &amp; Audit</w:t>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Question 1: Depends on whether ICANN is the proxy for non-public data requests. What do we log and why? Logging driven by a need to audit access requests. Who’s doing the auditing? Does ICANN need to audit Ry/RR logs? Or only its own? Reconcile the two? Need answers in the form of policy recommendations. ICANN and RDAP server both have to log queries.  If logs are used for audit purposes, then we need to come up with a standard format, and a way to ship log data to ICANN for reconciliation. JSON logs may be a good interoperable logging format.</w:t>
      </w:r>
    </w:p>
    <w:p w:rsidR="00000000" w:rsidDel="00000000" w:rsidP="00000000" w:rsidRDefault="00000000" w:rsidRPr="00000000" w14:paraId="0000002D">
      <w:pPr>
        <w:numPr>
          <w:ilvl w:val="1"/>
          <w:numId w:val="5"/>
        </w:numPr>
        <w:ind w:left="1440" w:hanging="360"/>
        <w:rPr>
          <w:u w:val="none"/>
        </w:rPr>
      </w:pPr>
      <w:r w:rsidDel="00000000" w:rsidR="00000000" w:rsidRPr="00000000">
        <w:rPr>
          <w:b w:val="1"/>
          <w:rtl w:val="0"/>
        </w:rPr>
        <w:t xml:space="preserve">Confirm assumption 3: ICANN is the sole party that authorizes access to non-public registration data requests.</w:t>
      </w:r>
      <w:r w:rsidDel="00000000" w:rsidR="00000000" w:rsidRPr="00000000">
        <w:rPr>
          <w:rtl w:val="0"/>
        </w:rPr>
        <w:t xml:space="preserve"> </w:t>
      </w:r>
      <w:r w:rsidDel="00000000" w:rsidR="00000000" w:rsidRPr="00000000">
        <w:rPr>
          <w:b w:val="1"/>
          <w:rtl w:val="0"/>
        </w:rPr>
        <w:t xml:space="preserve">(Question for Goran)</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Question 2: If ICANN is the gateway, it’s an implementation question for ICANN. </w:t>
      </w:r>
      <w:r w:rsidDel="00000000" w:rsidR="00000000" w:rsidRPr="00000000">
        <w:rPr>
          <w:b w:val="1"/>
          <w:rtl w:val="0"/>
        </w:rPr>
        <w:t xml:space="preserve">Raises the question of who has access to logs and who maintains logs. Answer: If there’s a central model, then it could be done on a requestor-by-requestor basis. Counter productive in a decentralized model. </w:t>
      </w:r>
    </w:p>
    <w:p w:rsidR="00000000" w:rsidDel="00000000" w:rsidP="00000000" w:rsidRDefault="00000000" w:rsidRPr="00000000" w14:paraId="0000002F">
      <w:pPr>
        <w:numPr>
          <w:ilvl w:val="0"/>
          <w:numId w:val="5"/>
        </w:numPr>
        <w:ind w:left="720" w:hanging="360"/>
        <w:rPr>
          <w:b w:val="1"/>
        </w:rPr>
      </w:pPr>
      <w:r w:rsidDel="00000000" w:rsidR="00000000" w:rsidRPr="00000000">
        <w:rPr>
          <w:b w:val="1"/>
          <w:rtl w:val="0"/>
        </w:rPr>
        <w:t xml:space="preserve">Question 3: Whether access is centralized or not; in order to provide authorized parties with access to logs, having ICANN be the party that aggregates logs and provides access is the only feasible model. Would require CPs to submit their log data to ICANN on some schedule and in a standardized format. How third parties can access that date is an implementation choice for ICANN.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Access Control Protocol</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Question 1: Delegation of authentication and accreditation is on the table, </w:t>
      </w:r>
      <w:r w:rsidDel="00000000" w:rsidR="00000000" w:rsidRPr="00000000">
        <w:rPr>
          <w:b w:val="1"/>
          <w:rtl w:val="0"/>
        </w:rPr>
        <w:t xml:space="preserve">delegation of authorization is a question for Goran</w:t>
      </w:r>
      <w:r w:rsidDel="00000000" w:rsidR="00000000" w:rsidRPr="00000000">
        <w:rPr>
          <w:rtl w:val="0"/>
        </w:rPr>
        <w:t xml:space="preserve">. </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Question 2: If ICANN is a proxy ahead of CP proxy servers, then ICANN has to do its own authentication/authorization. Or could use a federated model: Authorizing party would be ICANN and generate a signed credential.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Question 3: By running its own RDAP service. May be a web interface. Need both RDAP and a web interface that allows third parties to manually input a request. May be automated RDAP interface or non-automated. </w:t>
        <w:tab/>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New use case: registrars need to be able to query data belonging to registrars not under their purview for transfer purposes. </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New use case: Registries and registrars need to be able to query data for abuse mitigation or other similar legitimate purposes. </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Question 4: If there is data that has to be redacted, how do you show that? Are some parties expecting to receive a reason for why the data is redacted? Already available in RDAP JSON responses, for example, as “Object truncated due to authorization.” Or “Due to lack of authorization.” Design of the asynchronous system must have a prioritization component. How to define priority is a policy question.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Performance Requirements</w:t>
      </w:r>
    </w:p>
    <w:p w:rsidR="00000000" w:rsidDel="00000000" w:rsidP="00000000" w:rsidRDefault="00000000" w:rsidRPr="00000000" w14:paraId="0000003A">
      <w:pPr>
        <w:numPr>
          <w:ilvl w:val="0"/>
          <w:numId w:val="10"/>
        </w:numPr>
        <w:ind w:left="720" w:hanging="360"/>
        <w:rPr>
          <w:u w:val="none"/>
        </w:rPr>
      </w:pPr>
      <w:r w:rsidDel="00000000" w:rsidR="00000000" w:rsidRPr="00000000">
        <w:rPr>
          <w:rtl w:val="0"/>
        </w:rPr>
        <w:t xml:space="preserve">Question 1: At a minimum, SLA should be same as what CPs will run as required for RDAP. Requirements should be linked to decisions made by contracted parties. If the service is unavailable either synchronous or asynchronous channel, appropriate communication measures must be put in place. </w:t>
      </w:r>
    </w:p>
    <w:p w:rsidR="00000000" w:rsidDel="00000000" w:rsidP="00000000" w:rsidRDefault="00000000" w:rsidRPr="00000000" w14:paraId="0000003B">
      <w:pPr>
        <w:numPr>
          <w:ilvl w:val="0"/>
          <w:numId w:val="10"/>
        </w:numPr>
        <w:ind w:left="720" w:hanging="360"/>
        <w:rPr>
          <w:u w:val="none"/>
        </w:rPr>
      </w:pPr>
      <w:r w:rsidDel="00000000" w:rsidR="00000000" w:rsidRPr="00000000">
        <w:rPr>
          <w:rtl w:val="0"/>
        </w:rPr>
        <w:t xml:space="preserve">Questions 5 and 6: Security requirements have to come from policy. Can say that there must be security requirements and it must be addressed by those bodies debating policy. GDPR article 32 provides a security framework. May use that as a set of guidelines. Recommend a current set of standards that may be evolved with policy. </w:t>
      </w:r>
    </w:p>
    <w:p w:rsidR="00000000" w:rsidDel="00000000" w:rsidP="00000000" w:rsidRDefault="00000000" w:rsidRPr="00000000" w14:paraId="0000003C">
      <w:pPr>
        <w:numPr>
          <w:ilvl w:val="1"/>
          <w:numId w:val="10"/>
        </w:numPr>
        <w:ind w:left="1440" w:hanging="360"/>
        <w:rPr>
          <w:b w:val="1"/>
        </w:rPr>
      </w:pPr>
      <w:r w:rsidDel="00000000" w:rsidR="00000000" w:rsidRPr="00000000">
        <w:rPr>
          <w:b w:val="1"/>
          <w:rtl w:val="0"/>
        </w:rPr>
        <w:t xml:space="preserve">Action: Benedict/John/Tomofumi to send language on current security/resiliency standards, referencing e.g. ISO standards, etc. </w:t>
      </w:r>
    </w:p>
    <w:p w:rsidR="00000000" w:rsidDel="00000000" w:rsidP="00000000" w:rsidRDefault="00000000" w:rsidRPr="00000000" w14:paraId="0000003D">
      <w:pPr>
        <w:numPr>
          <w:ilvl w:val="2"/>
          <w:numId w:val="10"/>
        </w:numPr>
        <w:ind w:left="2160" w:hanging="360"/>
        <w:rPr>
          <w:u w:val="none"/>
        </w:rPr>
      </w:pPr>
      <w:r w:rsidDel="00000000" w:rsidR="00000000" w:rsidRPr="00000000">
        <w:rPr>
          <w:rtl w:val="0"/>
        </w:rPr>
        <w:t xml:space="preserve">GDPR Article 32 1. recommends:</w:t>
        <w:br w:type="textWrapping"/>
        <w:br w:type="textWrapping"/>
        <w:t xml:space="preserve">1.</w:t>
        <w:tab/>
        <w:t xml:space="preserve">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 including inter alia as appropriate:</w:t>
        <w:br w:type="textWrapping"/>
        <w:t xml:space="preserve">1.</w:t>
        <w:tab/>
        <w:t xml:space="preserve">the pseudonymisation and encryption of personal data;</w:t>
        <w:br w:type="textWrapping"/>
        <w:t xml:space="preserve">2.</w:t>
        <w:tab/>
        <w:t xml:space="preserve">the ability to ensure the ongoing confidentiality, integrity, availability and resilience of processing systems and services;</w:t>
        <w:br w:type="textWrapping"/>
        <w:t xml:space="preserve">3.</w:t>
        <w:tab/>
        <w:t xml:space="preserve">the ability to restore the availability and access to personal data in a timely manner in the event of a physical or technical incident;</w:t>
        <w:br w:type="textWrapping"/>
        <w:t xml:space="preserve">4.</w:t>
        <w:tab/>
        <w:t xml:space="preserve">a process for regularly testing, assessing and evaluating the effectiveness of technical and organisational measures for ensuring the security of the processing.</w:t>
        <w:br w:type="textWrapping"/>
        <w:t xml:space="preserve">Reference:</w:t>
        <w:br w:type="textWrapping"/>
        <w:t xml:space="preserve">https://gdpr-info.eu/art-32-gdpr/ [gdpr-info.eu]</w:t>
        <w:br w:type="textWrapping"/>
      </w:r>
    </w:p>
    <w:p w:rsidR="00000000" w:rsidDel="00000000" w:rsidP="00000000" w:rsidRDefault="00000000" w:rsidRPr="00000000" w14:paraId="0000003E">
      <w:pPr>
        <w:rPr>
          <w:i w:val="1"/>
        </w:rPr>
      </w:pPr>
      <w:r w:rsidDel="00000000" w:rsidR="00000000" w:rsidRPr="00000000">
        <w:rPr>
          <w:i w:val="1"/>
          <w:rtl w:val="0"/>
        </w:rPr>
        <w:t xml:space="preserve">Other Key Issues for Discussion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Transparency, assignment of responsibility: </w:t>
      </w:r>
    </w:p>
    <w:p w:rsidR="00000000" w:rsidDel="00000000" w:rsidP="00000000" w:rsidRDefault="00000000" w:rsidRPr="00000000" w14:paraId="00000041">
      <w:pPr>
        <w:numPr>
          <w:ilvl w:val="0"/>
          <w:numId w:val="11"/>
        </w:numPr>
        <w:ind w:left="720" w:hanging="360"/>
        <w:rPr>
          <w:u w:val="none"/>
        </w:rPr>
      </w:pPr>
      <w:r w:rsidDel="00000000" w:rsidR="00000000" w:rsidRPr="00000000">
        <w:rPr>
          <w:rtl w:val="0"/>
        </w:rPr>
        <w:t xml:space="preserve">Which logs will be aggregated? Need requirements. Note that logging is an important requirement and specifications required on what to do with RDAP logs. Set the outcome -- not process. I.e. Logging is required for… xyz.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Error conditions</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Should we specify error conditions? Should we design for these errors? Design flow or give response to how to respond to categories of errors. </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How may errors be made? That enumeration may be passed on to a policy group for them to determine outcomes. </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The system operated by ICANN, ought to have a mechanisms when errors (in info collected from registrants or registrars) appear, there is a process to identify the errors and process to correct the errors. System does not necessarily have to do real-time checks, but what do we do when the system identifies errors</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Possible errors: Registrant submits data incorrectly; registrar mistranscribes data; </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Use Case: ICANN internal processes will require sampling data through system to fulfill WHOIS accuracy requirements and identify problems in the system. (out of scope -- this is for the policy discussion) </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Use case: Registrant requests their own data, tied to a domain name. ICANN can use the system to fulfill data subject requests based upon legal obligations. </w:t>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Action: Identify the use case and flag in paper. (there be dragons!)</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Accounting, costs, billing</w:t>
      </w:r>
    </w:p>
    <w:p w:rsidR="00000000" w:rsidDel="00000000" w:rsidP="00000000" w:rsidRDefault="00000000" w:rsidRPr="00000000" w14:paraId="0000004D">
      <w:pPr>
        <w:numPr>
          <w:ilvl w:val="0"/>
          <w:numId w:val="3"/>
        </w:numPr>
        <w:ind w:left="720" w:hanging="360"/>
        <w:rPr>
          <w:u w:val="none"/>
        </w:rPr>
      </w:pPr>
      <w:r w:rsidDel="00000000" w:rsidR="00000000" w:rsidRPr="00000000">
        <w:rPr>
          <w:rtl w:val="0"/>
        </w:rPr>
        <w:t xml:space="preserve">If there are requirements for logging, that may be a step toward a solution. </w:t>
      </w:r>
    </w:p>
    <w:p w:rsidR="00000000" w:rsidDel="00000000" w:rsidP="00000000" w:rsidRDefault="00000000" w:rsidRPr="00000000" w14:paraId="0000004E">
      <w:pPr>
        <w:numPr>
          <w:ilvl w:val="0"/>
          <w:numId w:val="8"/>
        </w:numPr>
        <w:ind w:left="720" w:hanging="360"/>
        <w:rPr>
          <w:u w:val="none"/>
        </w:rPr>
      </w:pPr>
      <w:r w:rsidDel="00000000" w:rsidR="00000000" w:rsidRPr="00000000">
        <w:rPr>
          <w:rtl w:val="0"/>
        </w:rPr>
        <w:t xml:space="preserve">Could bill by query/credential/etc. </w:t>
      </w:r>
    </w:p>
    <w:p w:rsidR="00000000" w:rsidDel="00000000" w:rsidP="00000000" w:rsidRDefault="00000000" w:rsidRPr="00000000" w14:paraId="0000004F">
      <w:pPr>
        <w:numPr>
          <w:ilvl w:val="0"/>
          <w:numId w:val="8"/>
        </w:numPr>
        <w:ind w:left="720" w:hanging="360"/>
        <w:rPr>
          <w:u w:val="none"/>
        </w:rPr>
      </w:pPr>
      <w:r w:rsidDel="00000000" w:rsidR="00000000" w:rsidRPr="00000000">
        <w:rPr>
          <w:rtl w:val="0"/>
        </w:rPr>
        <w:t xml:space="preserve">There be dragons</w:t>
      </w:r>
    </w:p>
    <w:p w:rsidR="00000000" w:rsidDel="00000000" w:rsidP="00000000" w:rsidRDefault="00000000" w:rsidRPr="00000000" w14:paraId="00000050">
      <w:pPr>
        <w:numPr>
          <w:ilvl w:val="0"/>
          <w:numId w:val="8"/>
        </w:numPr>
        <w:ind w:left="720" w:hanging="360"/>
        <w:rPr>
          <w:u w:val="none"/>
        </w:rPr>
      </w:pPr>
      <w:r w:rsidDel="00000000" w:rsidR="00000000" w:rsidRPr="00000000">
        <w:rPr>
          <w:rtl w:val="0"/>
        </w:rPr>
        <w:t xml:space="preserve">Billing model is out of band for TSG</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Maintenance and evolution/Governance</w:t>
      </w:r>
    </w:p>
    <w:p w:rsidR="00000000" w:rsidDel="00000000" w:rsidP="00000000" w:rsidRDefault="00000000" w:rsidRPr="00000000" w14:paraId="00000053">
      <w:pPr>
        <w:numPr>
          <w:ilvl w:val="0"/>
          <w:numId w:val="17"/>
        </w:numPr>
        <w:ind w:left="720" w:hanging="360"/>
        <w:rPr>
          <w:u w:val="none"/>
        </w:rPr>
      </w:pPr>
      <w:r w:rsidDel="00000000" w:rsidR="00000000" w:rsidRPr="00000000">
        <w:rPr>
          <w:rtl w:val="0"/>
        </w:rPr>
        <w:t xml:space="preserve">RDAP, protocol may evolve, policies may evolve: All must be accommodated in the spec. </w:t>
      </w:r>
    </w:p>
    <w:p w:rsidR="00000000" w:rsidDel="00000000" w:rsidP="00000000" w:rsidRDefault="00000000" w:rsidRPr="00000000" w14:paraId="00000054">
      <w:pPr>
        <w:numPr>
          <w:ilvl w:val="0"/>
          <w:numId w:val="17"/>
        </w:numPr>
        <w:ind w:left="720" w:hanging="360"/>
        <w:rPr>
          <w:u w:val="none"/>
        </w:rPr>
      </w:pPr>
      <w:r w:rsidDel="00000000" w:rsidR="00000000" w:rsidRPr="00000000">
        <w:rPr>
          <w:rtl w:val="0"/>
        </w:rPr>
        <w:t xml:space="preserve">TSG will conclude its work in Aprill. When done, the paper should specify a process for governance and oversight after implementation. Perhaps sent to GNSO for discussion.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Multi-use requests:</w:t>
      </w:r>
    </w:p>
    <w:p w:rsidR="00000000" w:rsidDel="00000000" w:rsidP="00000000" w:rsidRDefault="00000000" w:rsidRPr="00000000" w14:paraId="00000057">
      <w:pPr>
        <w:numPr>
          <w:ilvl w:val="0"/>
          <w:numId w:val="16"/>
        </w:numPr>
        <w:ind w:left="720" w:hanging="360"/>
        <w:rPr>
          <w:u w:val="none"/>
        </w:rPr>
      </w:pPr>
      <w:r w:rsidDel="00000000" w:rsidR="00000000" w:rsidRPr="00000000">
        <w:rPr>
          <w:rtl w:val="0"/>
        </w:rPr>
        <w:t xml:space="preserve">Covered by use cases. </w:t>
      </w:r>
    </w:p>
    <w:p w:rsidR="00000000" w:rsidDel="00000000" w:rsidP="00000000" w:rsidRDefault="00000000" w:rsidRPr="00000000" w14:paraId="00000058">
      <w:pPr>
        <w:numPr>
          <w:ilvl w:val="0"/>
          <w:numId w:val="16"/>
        </w:numPr>
        <w:ind w:left="720" w:hanging="360"/>
        <w:rPr>
          <w:u w:val="none"/>
        </w:rPr>
      </w:pPr>
      <w:r w:rsidDel="00000000" w:rsidR="00000000" w:rsidRPr="00000000">
        <w:rPr>
          <w:rtl w:val="0"/>
        </w:rPr>
        <w:t xml:space="preserve">Does a party need different authorization based on different purposes? </w:t>
      </w:r>
    </w:p>
    <w:p w:rsidR="00000000" w:rsidDel="00000000" w:rsidP="00000000" w:rsidRDefault="00000000" w:rsidRPr="00000000" w14:paraId="00000059">
      <w:pPr>
        <w:numPr>
          <w:ilvl w:val="0"/>
          <w:numId w:val="16"/>
        </w:numPr>
        <w:ind w:left="720" w:hanging="360"/>
        <w:rPr>
          <w:u w:val="none"/>
        </w:rPr>
      </w:pPr>
      <w:r w:rsidDel="00000000" w:rsidR="00000000" w:rsidRPr="00000000">
        <w:rPr>
          <w:rtl w:val="0"/>
        </w:rPr>
        <w:t xml:space="preserve">Shouldn’t link synchronous with single-purpose, multiple single domain queries, covered by a single authorization. </w:t>
      </w:r>
    </w:p>
    <w:p w:rsidR="00000000" w:rsidDel="00000000" w:rsidP="00000000" w:rsidRDefault="00000000" w:rsidRPr="00000000" w14:paraId="0000005A">
      <w:pPr>
        <w:numPr>
          <w:ilvl w:val="0"/>
          <w:numId w:val="16"/>
        </w:numPr>
        <w:ind w:left="720" w:hanging="360"/>
        <w:rPr>
          <w:u w:val="none"/>
        </w:rPr>
      </w:pPr>
      <w:r w:rsidDel="00000000" w:rsidR="00000000" w:rsidRPr="00000000">
        <w:rPr>
          <w:rtl w:val="0"/>
        </w:rPr>
        <w:t xml:space="preserve">Action: Will group consider what attributes (claims) to associate/encoded with tokens? Purpose of query, etc. should be done offline.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18"/>
        </w:numPr>
        <w:ind w:left="720" w:hanging="360"/>
        <w:rPr>
          <w:u w:val="none"/>
        </w:rPr>
      </w:pPr>
      <w:r w:rsidDel="00000000" w:rsidR="00000000" w:rsidRPr="00000000">
        <w:rPr>
          <w:rtl w:val="0"/>
        </w:rPr>
        <w:t xml:space="preserve">Use cases: Though use cases may be similar, the spec may require different profiles depending on purpose of queries.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Scott H. walked team through Open ID. </w:t>
      </w:r>
    </w:p>
    <w:p w:rsidR="00000000" w:rsidDel="00000000" w:rsidP="00000000" w:rsidRDefault="00000000" w:rsidRPr="00000000" w14:paraId="0000005F">
      <w:pPr>
        <w:numPr>
          <w:ilvl w:val="1"/>
          <w:numId w:val="6"/>
        </w:numPr>
        <w:ind w:left="1440" w:hanging="360"/>
        <w:rPr>
          <w:u w:val="none"/>
        </w:rPr>
      </w:pPr>
      <w:r w:rsidDel="00000000" w:rsidR="00000000" w:rsidRPr="00000000">
        <w:rPr>
          <w:rtl w:val="0"/>
        </w:rPr>
        <w:t xml:space="preserve">How do you take the identity of who’s asking for the information and pass all the way to ICANN (as operator of this service)?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7"/>
        </w:numPr>
        <w:ind w:left="720" w:hanging="360"/>
        <w:rPr>
          <w:u w:val="none"/>
        </w:rPr>
      </w:pPr>
      <w:r w:rsidDel="00000000" w:rsidR="00000000" w:rsidRPr="00000000">
        <w:rPr>
          <w:rtl w:val="0"/>
        </w:rPr>
        <w:t xml:space="preserve">User journey: </w:t>
      </w:r>
      <w:r w:rsidDel="00000000" w:rsidR="00000000" w:rsidRPr="00000000">
        <w:rPr>
          <w:sz w:val="24"/>
          <w:szCs w:val="24"/>
          <w:highlight w:val="white"/>
          <w:rtl w:val="0"/>
        </w:rPr>
        <w:t xml:space="preserve">User should be able to discover the base URL for the centralized access and authorization system</w:t>
      </w:r>
    </w:p>
    <w:p w:rsidR="00000000" w:rsidDel="00000000" w:rsidP="00000000" w:rsidRDefault="00000000" w:rsidRPr="00000000" w14:paraId="00000062">
      <w:pPr>
        <w:numPr>
          <w:ilvl w:val="1"/>
          <w:numId w:val="7"/>
        </w:numPr>
        <w:ind w:left="1440" w:hanging="360"/>
        <w:rPr>
          <w:sz w:val="24"/>
          <w:szCs w:val="24"/>
          <w:highlight w:val="white"/>
          <w:u w:val="none"/>
        </w:rPr>
      </w:pPr>
      <w:r w:rsidDel="00000000" w:rsidR="00000000" w:rsidRPr="00000000">
        <w:rPr>
          <w:sz w:val="24"/>
          <w:szCs w:val="24"/>
          <w:highlight w:val="white"/>
          <w:rtl w:val="0"/>
        </w:rPr>
        <w:t xml:space="preserve">Options for moving forward: </w:t>
      </w:r>
    </w:p>
    <w:p w:rsidR="00000000" w:rsidDel="00000000" w:rsidP="00000000" w:rsidRDefault="00000000" w:rsidRPr="00000000" w14:paraId="00000063">
      <w:pPr>
        <w:numPr>
          <w:ilvl w:val="2"/>
          <w:numId w:val="7"/>
        </w:numPr>
        <w:ind w:left="2160" w:hanging="360"/>
        <w:rPr>
          <w:sz w:val="24"/>
          <w:szCs w:val="24"/>
          <w:highlight w:val="white"/>
          <w:u w:val="none"/>
        </w:rPr>
      </w:pPr>
      <w:r w:rsidDel="00000000" w:rsidR="00000000" w:rsidRPr="00000000">
        <w:rPr>
          <w:sz w:val="24"/>
          <w:szCs w:val="24"/>
          <w:highlight w:val="white"/>
          <w:rtl w:val="0"/>
        </w:rPr>
        <w:t xml:space="preserve">Requires another IANA registry? May not be best option.</w:t>
      </w:r>
    </w:p>
    <w:p w:rsidR="00000000" w:rsidDel="00000000" w:rsidP="00000000" w:rsidRDefault="00000000" w:rsidRPr="00000000" w14:paraId="00000064">
      <w:pPr>
        <w:numPr>
          <w:ilvl w:val="2"/>
          <w:numId w:val="7"/>
        </w:numPr>
        <w:ind w:left="2160" w:hanging="360"/>
        <w:rPr>
          <w:sz w:val="24"/>
          <w:szCs w:val="24"/>
          <w:highlight w:val="white"/>
        </w:rPr>
      </w:pPr>
      <w:r w:rsidDel="00000000" w:rsidR="00000000" w:rsidRPr="00000000">
        <w:rPr>
          <w:sz w:val="24"/>
          <w:szCs w:val="24"/>
          <w:highlight w:val="white"/>
          <w:rtl w:val="0"/>
        </w:rPr>
        <w:t xml:space="preserve">1. Establish a new link relation type for URL discovery</w:t>
      </w:r>
    </w:p>
    <w:p w:rsidR="00000000" w:rsidDel="00000000" w:rsidP="00000000" w:rsidRDefault="00000000" w:rsidRPr="00000000" w14:paraId="00000065">
      <w:pPr>
        <w:numPr>
          <w:ilvl w:val="3"/>
          <w:numId w:val="7"/>
        </w:numPr>
        <w:ind w:left="2880" w:hanging="360"/>
        <w:rPr>
          <w:sz w:val="24"/>
          <w:szCs w:val="24"/>
          <w:highlight w:val="white"/>
          <w:u w:val="none"/>
        </w:rPr>
      </w:pPr>
      <w:r w:rsidDel="00000000" w:rsidR="00000000" w:rsidRPr="00000000">
        <w:rPr>
          <w:sz w:val="24"/>
          <w:szCs w:val="24"/>
          <w:highlight w:val="white"/>
          <w:rtl w:val="0"/>
        </w:rPr>
        <w:t xml:space="preserve">Name for new link relation type: Private</w:t>
      </w:r>
    </w:p>
    <w:p w:rsidR="00000000" w:rsidDel="00000000" w:rsidP="00000000" w:rsidRDefault="00000000" w:rsidRPr="00000000" w14:paraId="00000066">
      <w:pPr>
        <w:numPr>
          <w:ilvl w:val="3"/>
          <w:numId w:val="7"/>
        </w:numPr>
        <w:ind w:left="2880" w:hanging="360"/>
        <w:rPr>
          <w:sz w:val="24"/>
          <w:szCs w:val="24"/>
          <w:highlight w:val="white"/>
          <w:u w:val="none"/>
        </w:rPr>
      </w:pPr>
      <w:r w:rsidDel="00000000" w:rsidR="00000000" w:rsidRPr="00000000">
        <w:rPr>
          <w:sz w:val="24"/>
          <w:szCs w:val="24"/>
          <w:highlight w:val="white"/>
          <w:rtl w:val="0"/>
        </w:rPr>
        <w:t xml:space="preserve">Will point to URL of the ICANN RDAP service for non-public data.</w:t>
      </w:r>
    </w:p>
    <w:p w:rsidR="00000000" w:rsidDel="00000000" w:rsidP="00000000" w:rsidRDefault="00000000" w:rsidRPr="00000000" w14:paraId="00000067">
      <w:pPr>
        <w:numPr>
          <w:ilvl w:val="3"/>
          <w:numId w:val="7"/>
        </w:numPr>
        <w:ind w:left="2880" w:hanging="360"/>
        <w:rPr>
          <w:sz w:val="24"/>
          <w:szCs w:val="24"/>
          <w:highlight w:val="white"/>
          <w:u w:val="none"/>
        </w:rPr>
      </w:pPr>
      <w:r w:rsidDel="00000000" w:rsidR="00000000" w:rsidRPr="00000000">
        <w:rPr>
          <w:sz w:val="24"/>
          <w:szCs w:val="24"/>
          <w:highlight w:val="white"/>
          <w:rtl w:val="0"/>
        </w:rPr>
        <w:t xml:space="preserve">URL for link should point to specific resource for that domain. </w:t>
      </w:r>
    </w:p>
    <w:p w:rsidR="00000000" w:rsidDel="00000000" w:rsidP="00000000" w:rsidRDefault="00000000" w:rsidRPr="00000000" w14:paraId="00000068">
      <w:pPr>
        <w:numPr>
          <w:ilvl w:val="2"/>
          <w:numId w:val="7"/>
        </w:numPr>
        <w:ind w:left="2160" w:hanging="360"/>
        <w:rPr>
          <w:sz w:val="24"/>
          <w:szCs w:val="24"/>
          <w:highlight w:val="white"/>
        </w:rPr>
      </w:pPr>
      <w:r w:rsidDel="00000000" w:rsidR="00000000" w:rsidRPr="00000000">
        <w:rPr>
          <w:sz w:val="24"/>
          <w:szCs w:val="24"/>
          <w:highlight w:val="white"/>
          <w:rtl w:val="0"/>
        </w:rPr>
        <w:t xml:space="preserve">2. Establish a new remark type for URL discovery/description</w:t>
      </w:r>
    </w:p>
    <w:p w:rsidR="00000000" w:rsidDel="00000000" w:rsidP="00000000" w:rsidRDefault="00000000" w:rsidRPr="00000000" w14:paraId="00000069">
      <w:pPr>
        <w:numPr>
          <w:ilvl w:val="3"/>
          <w:numId w:val="7"/>
        </w:numPr>
        <w:ind w:left="2880" w:hanging="360"/>
        <w:rPr>
          <w:sz w:val="24"/>
          <w:szCs w:val="24"/>
          <w:highlight w:val="white"/>
          <w:u w:val="none"/>
        </w:rPr>
      </w:pPr>
      <w:r w:rsidDel="00000000" w:rsidR="00000000" w:rsidRPr="00000000">
        <w:rPr>
          <w:sz w:val="24"/>
          <w:szCs w:val="24"/>
          <w:highlight w:val="white"/>
          <w:rtl w:val="0"/>
        </w:rPr>
        <w:t xml:space="preserve">Link to the web page describing the process to be accredited and obtain access to non-public. </w:t>
      </w:r>
    </w:p>
    <w:p w:rsidR="00000000" w:rsidDel="00000000" w:rsidP="00000000" w:rsidRDefault="00000000" w:rsidRPr="00000000" w14:paraId="0000006A">
      <w:pPr>
        <w:numPr>
          <w:ilvl w:val="2"/>
          <w:numId w:val="7"/>
        </w:numPr>
        <w:ind w:left="2160" w:hanging="360"/>
        <w:rPr>
          <w:sz w:val="24"/>
          <w:szCs w:val="24"/>
          <w:highlight w:val="white"/>
          <w:u w:val="none"/>
        </w:rPr>
      </w:pPr>
      <w:r w:rsidDel="00000000" w:rsidR="00000000" w:rsidRPr="00000000">
        <w:rPr>
          <w:sz w:val="24"/>
          <w:szCs w:val="24"/>
          <w:highlight w:val="white"/>
          <w:rtl w:val="0"/>
        </w:rPr>
        <w:t xml:space="preserve">Recommendation to do both. </w:t>
      </w:r>
    </w:p>
    <w:p w:rsidR="00000000" w:rsidDel="00000000" w:rsidP="00000000" w:rsidRDefault="00000000" w:rsidRPr="00000000" w14:paraId="0000006B">
      <w:pPr>
        <w:rPr>
          <w:sz w:val="24"/>
          <w:szCs w:val="24"/>
          <w:highlight w:val="white"/>
        </w:rPr>
      </w:pPr>
      <w:r w:rsidDel="00000000" w:rsidR="00000000" w:rsidRPr="00000000">
        <w:rPr>
          <w:rtl w:val="0"/>
        </w:rPr>
      </w:r>
    </w:p>
    <w:p w:rsidR="00000000" w:rsidDel="00000000" w:rsidP="00000000" w:rsidRDefault="00000000" w:rsidRPr="00000000" w14:paraId="0000006C">
      <w:pPr>
        <w:numPr>
          <w:ilvl w:val="0"/>
          <w:numId w:val="14"/>
        </w:numPr>
        <w:ind w:left="720" w:hanging="360"/>
        <w:rPr>
          <w:sz w:val="24"/>
          <w:szCs w:val="24"/>
          <w:highlight w:val="white"/>
          <w:u w:val="none"/>
        </w:rPr>
      </w:pPr>
      <w:r w:rsidDel="00000000" w:rsidR="00000000" w:rsidRPr="00000000">
        <w:rPr>
          <w:sz w:val="24"/>
          <w:szCs w:val="24"/>
          <w:highlight w:val="white"/>
          <w:rtl w:val="0"/>
        </w:rPr>
        <w:t xml:space="preserve">Use cases</w:t>
      </w:r>
    </w:p>
    <w:p w:rsidR="00000000" w:rsidDel="00000000" w:rsidP="00000000" w:rsidRDefault="00000000" w:rsidRPr="00000000" w14:paraId="0000006D">
      <w:pPr>
        <w:numPr>
          <w:ilvl w:val="1"/>
          <w:numId w:val="14"/>
        </w:numPr>
        <w:ind w:left="1440" w:hanging="360"/>
        <w:rPr>
          <w:sz w:val="24"/>
          <w:szCs w:val="24"/>
          <w:highlight w:val="white"/>
          <w:u w:val="none"/>
        </w:rPr>
      </w:pPr>
      <w:r w:rsidDel="00000000" w:rsidR="00000000" w:rsidRPr="00000000">
        <w:rPr>
          <w:sz w:val="24"/>
          <w:szCs w:val="24"/>
          <w:highlight w:val="white"/>
          <w:rtl w:val="0"/>
        </w:rPr>
        <w:t xml:space="preserve">Use case #1: Reverse lookup is a point of ongoing conversation. </w:t>
      </w:r>
    </w:p>
    <w:p w:rsidR="00000000" w:rsidDel="00000000" w:rsidP="00000000" w:rsidRDefault="00000000" w:rsidRPr="00000000" w14:paraId="0000006E">
      <w:pPr>
        <w:numPr>
          <w:ilvl w:val="1"/>
          <w:numId w:val="14"/>
        </w:numPr>
        <w:ind w:left="1440" w:hanging="360"/>
        <w:rPr>
          <w:sz w:val="24"/>
          <w:szCs w:val="24"/>
          <w:highlight w:val="white"/>
          <w:u w:val="none"/>
        </w:rPr>
      </w:pPr>
      <w:r w:rsidDel="00000000" w:rsidR="00000000" w:rsidRPr="00000000">
        <w:rPr>
          <w:sz w:val="24"/>
          <w:szCs w:val="24"/>
          <w:highlight w:val="white"/>
          <w:rtl w:val="0"/>
        </w:rPr>
        <w:t xml:space="preserve">Describe operational models when introducing use cases to community. </w:t>
      </w:r>
    </w:p>
    <w:p w:rsidR="00000000" w:rsidDel="00000000" w:rsidP="00000000" w:rsidRDefault="00000000" w:rsidRPr="00000000" w14:paraId="0000006F">
      <w:pPr>
        <w:rPr>
          <w:sz w:val="24"/>
          <w:szCs w:val="24"/>
          <w:highlight w:val="white"/>
        </w:rPr>
      </w:pPr>
      <w:r w:rsidDel="00000000" w:rsidR="00000000" w:rsidRPr="00000000">
        <w:rPr>
          <w:rtl w:val="0"/>
        </w:rPr>
      </w:r>
    </w:p>
    <w:p w:rsidR="00000000" w:rsidDel="00000000" w:rsidP="00000000" w:rsidRDefault="00000000" w:rsidRPr="00000000" w14:paraId="00000070">
      <w:pPr>
        <w:rPr>
          <w:i w:val="1"/>
          <w:sz w:val="24"/>
          <w:szCs w:val="24"/>
          <w:highlight w:val="white"/>
        </w:rPr>
      </w:pPr>
      <w:r w:rsidDel="00000000" w:rsidR="00000000" w:rsidRPr="00000000">
        <w:rPr>
          <w:i w:val="1"/>
          <w:sz w:val="24"/>
          <w:szCs w:val="24"/>
          <w:highlight w:val="white"/>
          <w:rtl w:val="0"/>
        </w:rPr>
        <w:t xml:space="preserve">Discussion with Goran: </w:t>
      </w:r>
    </w:p>
    <w:p w:rsidR="00000000" w:rsidDel="00000000" w:rsidP="00000000" w:rsidRDefault="00000000" w:rsidRPr="00000000" w14:paraId="00000071">
      <w:pPr>
        <w:numPr>
          <w:ilvl w:val="0"/>
          <w:numId w:val="9"/>
        </w:numPr>
        <w:ind w:left="720" w:hanging="360"/>
        <w:rPr>
          <w:sz w:val="24"/>
          <w:szCs w:val="24"/>
          <w:highlight w:val="white"/>
          <w:u w:val="none"/>
        </w:rPr>
      </w:pPr>
      <w:r w:rsidDel="00000000" w:rsidR="00000000" w:rsidRPr="00000000">
        <w:rPr>
          <w:sz w:val="24"/>
          <w:szCs w:val="24"/>
          <w:highlight w:val="white"/>
          <w:rtl w:val="0"/>
        </w:rPr>
        <w:t xml:space="preserve">Is ICANN going to be the proxy for all non-public data queries?</w:t>
      </w:r>
    </w:p>
    <w:p w:rsidR="00000000" w:rsidDel="00000000" w:rsidP="00000000" w:rsidRDefault="00000000" w:rsidRPr="00000000" w14:paraId="00000072">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WHOIS is in our bylaws and we have a responsibility for providing that service, so we think we have a responsibility to that.  </w:t>
      </w:r>
    </w:p>
    <w:p w:rsidR="00000000" w:rsidDel="00000000" w:rsidP="00000000" w:rsidRDefault="00000000" w:rsidRPr="00000000" w14:paraId="00000073">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Taking on risk doesn’t mean we get the same risk as another party, i.e. Google. </w:t>
      </w:r>
    </w:p>
    <w:p w:rsidR="00000000" w:rsidDel="00000000" w:rsidP="00000000" w:rsidRDefault="00000000" w:rsidRPr="00000000" w14:paraId="00000074">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The theory is that CPs’ liability may be diminished if all queries for non-public data go through ICANN servers. </w:t>
      </w:r>
    </w:p>
    <w:p w:rsidR="00000000" w:rsidDel="00000000" w:rsidP="00000000" w:rsidRDefault="00000000" w:rsidRPr="00000000" w14:paraId="00000075">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Is ICANN willing to publish a transparency report for those logs that would be aggregated in such a model?</w:t>
      </w:r>
    </w:p>
    <w:p w:rsidR="00000000" w:rsidDel="00000000" w:rsidP="00000000" w:rsidRDefault="00000000" w:rsidRPr="00000000" w14:paraId="00000076">
      <w:pPr>
        <w:numPr>
          <w:ilvl w:val="2"/>
          <w:numId w:val="9"/>
        </w:numPr>
        <w:ind w:left="2160" w:hanging="360"/>
        <w:rPr>
          <w:sz w:val="24"/>
          <w:szCs w:val="24"/>
          <w:highlight w:val="white"/>
          <w:u w:val="none"/>
        </w:rPr>
      </w:pPr>
      <w:r w:rsidDel="00000000" w:rsidR="00000000" w:rsidRPr="00000000">
        <w:rPr>
          <w:sz w:val="24"/>
          <w:szCs w:val="24"/>
          <w:highlight w:val="white"/>
          <w:rtl w:val="0"/>
        </w:rPr>
        <w:t xml:space="preserve">Law says you have to log. Don’t see a problem with it as ICANN is transparent. That answer has to be a part of any community-developed policy. </w:t>
      </w:r>
    </w:p>
    <w:p w:rsidR="00000000" w:rsidDel="00000000" w:rsidP="00000000" w:rsidRDefault="00000000" w:rsidRPr="00000000" w14:paraId="00000077">
      <w:pPr>
        <w:numPr>
          <w:ilvl w:val="0"/>
          <w:numId w:val="9"/>
        </w:numPr>
        <w:ind w:left="720" w:hanging="360"/>
        <w:rPr>
          <w:sz w:val="24"/>
          <w:szCs w:val="24"/>
          <w:highlight w:val="white"/>
          <w:u w:val="none"/>
        </w:rPr>
      </w:pPr>
      <w:r w:rsidDel="00000000" w:rsidR="00000000" w:rsidRPr="00000000">
        <w:rPr>
          <w:sz w:val="24"/>
          <w:szCs w:val="24"/>
          <w:highlight w:val="white"/>
          <w:rtl w:val="0"/>
        </w:rPr>
        <w:t xml:space="preserve">Is ICANN the sole party authorizing access to non-public data? </w:t>
      </w:r>
    </w:p>
    <w:p w:rsidR="00000000" w:rsidDel="00000000" w:rsidP="00000000" w:rsidRDefault="00000000" w:rsidRPr="00000000" w14:paraId="00000078">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Someone else is authorizing users, i.e. WIPO for IP lawyers.</w:t>
      </w:r>
    </w:p>
    <w:p w:rsidR="00000000" w:rsidDel="00000000" w:rsidP="00000000" w:rsidRDefault="00000000" w:rsidRPr="00000000" w14:paraId="00000079">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Every request for data has to come with a reason. </w:t>
      </w:r>
    </w:p>
    <w:p w:rsidR="00000000" w:rsidDel="00000000" w:rsidP="00000000" w:rsidRDefault="00000000" w:rsidRPr="00000000" w14:paraId="0000007A">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Open to other solutions to this, including others authorizing requests for data. </w:t>
      </w:r>
    </w:p>
    <w:p w:rsidR="00000000" w:rsidDel="00000000" w:rsidP="00000000" w:rsidRDefault="00000000" w:rsidRPr="00000000" w14:paraId="0000007B">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Ultimately ICANN has to be the only one who transmits the query to the CP. No other party. </w:t>
      </w:r>
    </w:p>
    <w:p w:rsidR="00000000" w:rsidDel="00000000" w:rsidP="00000000" w:rsidRDefault="00000000" w:rsidRPr="00000000" w14:paraId="0000007C">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ICANN has a responsibility for request, as we are sending it. </w:t>
      </w:r>
    </w:p>
    <w:p w:rsidR="00000000" w:rsidDel="00000000" w:rsidP="00000000" w:rsidRDefault="00000000" w:rsidRPr="00000000" w14:paraId="0000007D">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Authorization means that given a requestor and what they want, can we say yes or no to a particular request? </w:t>
      </w:r>
    </w:p>
    <w:p w:rsidR="00000000" w:rsidDel="00000000" w:rsidP="00000000" w:rsidRDefault="00000000" w:rsidRPr="00000000" w14:paraId="0000007E">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Envisaged two systems: \</w:t>
      </w:r>
    </w:p>
    <w:p w:rsidR="00000000" w:rsidDel="00000000" w:rsidP="00000000" w:rsidRDefault="00000000" w:rsidRPr="00000000" w14:paraId="0000007F">
      <w:pPr>
        <w:numPr>
          <w:ilvl w:val="2"/>
          <w:numId w:val="9"/>
        </w:numPr>
        <w:ind w:left="2160" w:hanging="360"/>
        <w:rPr>
          <w:sz w:val="24"/>
          <w:szCs w:val="24"/>
          <w:highlight w:val="white"/>
          <w:u w:val="none"/>
        </w:rPr>
      </w:pPr>
      <w:r w:rsidDel="00000000" w:rsidR="00000000" w:rsidRPr="00000000">
        <w:rPr>
          <w:sz w:val="24"/>
          <w:szCs w:val="24"/>
          <w:highlight w:val="white"/>
          <w:rtl w:val="0"/>
        </w:rPr>
        <w:t xml:space="preserve">1.  like a web browser, provide domain name, justification and get a token for a limited period of time to access the data. </w:t>
      </w:r>
    </w:p>
    <w:p w:rsidR="00000000" w:rsidDel="00000000" w:rsidP="00000000" w:rsidRDefault="00000000" w:rsidRPr="00000000" w14:paraId="00000080">
      <w:pPr>
        <w:numPr>
          <w:ilvl w:val="2"/>
          <w:numId w:val="9"/>
        </w:numPr>
        <w:ind w:left="2160" w:hanging="360"/>
        <w:rPr>
          <w:sz w:val="24"/>
          <w:szCs w:val="24"/>
          <w:highlight w:val="white"/>
          <w:u w:val="none"/>
        </w:rPr>
      </w:pPr>
      <w:r w:rsidDel="00000000" w:rsidR="00000000" w:rsidRPr="00000000">
        <w:rPr>
          <w:sz w:val="24"/>
          <w:szCs w:val="24"/>
          <w:highlight w:val="white"/>
          <w:rtl w:val="0"/>
        </w:rPr>
        <w:t xml:space="preserve">2. Blanket approval for a specific purpose, but without providing a specific domain name. </w:t>
      </w:r>
    </w:p>
    <w:p w:rsidR="00000000" w:rsidDel="00000000" w:rsidP="00000000" w:rsidRDefault="00000000" w:rsidRPr="00000000" w14:paraId="00000081">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If you have alternatives, include them in the proposal.</w:t>
      </w:r>
    </w:p>
    <w:p w:rsidR="00000000" w:rsidDel="00000000" w:rsidP="00000000" w:rsidRDefault="00000000" w:rsidRPr="00000000" w14:paraId="00000082">
      <w:pPr>
        <w:numPr>
          <w:ilvl w:val="0"/>
          <w:numId w:val="9"/>
        </w:numPr>
        <w:ind w:left="720" w:hanging="360"/>
        <w:rPr>
          <w:sz w:val="24"/>
          <w:szCs w:val="24"/>
          <w:highlight w:val="white"/>
          <w:u w:val="none"/>
        </w:rPr>
      </w:pPr>
      <w:r w:rsidDel="00000000" w:rsidR="00000000" w:rsidRPr="00000000">
        <w:rPr>
          <w:sz w:val="24"/>
          <w:szCs w:val="24"/>
          <w:highlight w:val="white"/>
          <w:rtl w:val="0"/>
        </w:rPr>
        <w:t xml:space="preserve">Can CPs have visibility into the request/justification for the data requested? </w:t>
      </w:r>
    </w:p>
    <w:p w:rsidR="00000000" w:rsidDel="00000000" w:rsidP="00000000" w:rsidRDefault="00000000" w:rsidRPr="00000000" w14:paraId="00000083">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That’s the transparency report. </w:t>
      </w:r>
    </w:p>
    <w:p w:rsidR="00000000" w:rsidDel="00000000" w:rsidP="00000000" w:rsidRDefault="00000000" w:rsidRPr="00000000" w14:paraId="00000084">
      <w:pPr>
        <w:numPr>
          <w:ilvl w:val="1"/>
          <w:numId w:val="9"/>
        </w:numPr>
        <w:ind w:left="1440" w:hanging="360"/>
        <w:rPr>
          <w:sz w:val="24"/>
          <w:szCs w:val="24"/>
          <w:highlight w:val="white"/>
          <w:u w:val="none"/>
        </w:rPr>
      </w:pPr>
      <w:r w:rsidDel="00000000" w:rsidR="00000000" w:rsidRPr="00000000">
        <w:rPr>
          <w:sz w:val="24"/>
          <w:szCs w:val="24"/>
          <w:highlight w:val="white"/>
          <w:rtl w:val="0"/>
        </w:rPr>
        <w:t xml:space="preserve">As long as it doesn’t increase the risk to the contracted parties.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sz w:val="24"/>
          <w:szCs w:val="24"/>
          <w:highlight w:val="white"/>
        </w:rPr>
      </w:pPr>
      <w:r w:rsidDel="00000000" w:rsidR="00000000" w:rsidRPr="00000000">
        <w:rPr>
          <w:rtl w:val="0"/>
        </w:rPr>
      </w:r>
    </w:p>
    <w:p w:rsidR="00000000" w:rsidDel="00000000" w:rsidP="00000000" w:rsidRDefault="00000000" w:rsidRPr="00000000" w14:paraId="00000086">
      <w:pPr>
        <w:rPr>
          <w:i w:val="1"/>
        </w:rPr>
      </w:pPr>
      <w:r w:rsidDel="00000000" w:rsidR="00000000" w:rsidRPr="00000000">
        <w:rPr>
          <w:i w:val="1"/>
          <w:rtl w:val="0"/>
        </w:rPr>
        <w:t xml:space="preserve">ACTIONS:</w:t>
      </w:r>
    </w:p>
    <w:p w:rsidR="00000000" w:rsidDel="00000000" w:rsidP="00000000" w:rsidRDefault="00000000" w:rsidRPr="00000000" w14:paraId="00000087">
      <w:pPr>
        <w:numPr>
          <w:ilvl w:val="0"/>
          <w:numId w:val="12"/>
        </w:numPr>
        <w:ind w:left="720" w:hanging="360"/>
      </w:pPr>
      <w:r w:rsidDel="00000000" w:rsidR="00000000" w:rsidRPr="00000000">
        <w:rPr>
          <w:rtl w:val="0"/>
        </w:rPr>
        <w:t xml:space="preserve">Add to charter assumptions: Data holders assume that ICANN will ensure validity of credentials.</w:t>
      </w:r>
    </w:p>
    <w:p w:rsidR="00000000" w:rsidDel="00000000" w:rsidP="00000000" w:rsidRDefault="00000000" w:rsidRPr="00000000" w14:paraId="00000088">
      <w:pPr>
        <w:numPr>
          <w:ilvl w:val="0"/>
          <w:numId w:val="12"/>
        </w:numPr>
        <w:ind w:left="720" w:hanging="360"/>
        <w:rPr>
          <w:u w:val="none"/>
        </w:rPr>
      </w:pPr>
      <w:r w:rsidDel="00000000" w:rsidR="00000000" w:rsidRPr="00000000">
        <w:rPr>
          <w:rtl w:val="0"/>
        </w:rPr>
        <w:t xml:space="preserve">Enumerate list of errors that can happen in data collection (registrants and registrars). The outcomes of what should be done with these errors should be referred to policy decision makers</w:t>
      </w:r>
    </w:p>
    <w:p w:rsidR="00000000" w:rsidDel="00000000" w:rsidP="00000000" w:rsidRDefault="00000000" w:rsidRPr="00000000" w14:paraId="00000089">
      <w:pPr>
        <w:numPr>
          <w:ilvl w:val="0"/>
          <w:numId w:val="12"/>
        </w:numPr>
        <w:ind w:left="720" w:hanging="360"/>
        <w:rPr>
          <w:u w:val="none"/>
        </w:rPr>
      </w:pPr>
      <w:r w:rsidDel="00000000" w:rsidR="00000000" w:rsidRPr="00000000">
        <w:rPr>
          <w:rtl w:val="0"/>
        </w:rPr>
        <w:t xml:space="preserve">Recommend that ICANN have a web portal to report on collection errors. In the RDAP process, provide a response with a link to the process</w:t>
      </w:r>
    </w:p>
    <w:p w:rsidR="00000000" w:rsidDel="00000000" w:rsidP="00000000" w:rsidRDefault="00000000" w:rsidRPr="00000000" w14:paraId="0000008A">
      <w:pPr>
        <w:numPr>
          <w:ilvl w:val="0"/>
          <w:numId w:val="12"/>
        </w:numPr>
        <w:ind w:left="720" w:hanging="360"/>
      </w:pPr>
      <w:r w:rsidDel="00000000" w:rsidR="00000000" w:rsidRPr="00000000">
        <w:rPr>
          <w:rtl w:val="0"/>
        </w:rPr>
        <w:t xml:space="preserve">Group should consider what attributes (claims) to associate/encode in tokens? Who/why/what (data fields)/by when?</w:t>
      </w:r>
    </w:p>
    <w:p w:rsidR="00000000" w:rsidDel="00000000" w:rsidP="00000000" w:rsidRDefault="00000000" w:rsidRPr="00000000" w14:paraId="0000008B">
      <w:pPr>
        <w:numPr>
          <w:ilvl w:val="0"/>
          <w:numId w:val="12"/>
        </w:numPr>
        <w:ind w:left="720" w:hanging="360"/>
        <w:rPr/>
      </w:pPr>
      <w:r w:rsidDel="00000000" w:rsidR="00000000" w:rsidRPr="00000000">
        <w:rPr>
          <w:rtl w:val="0"/>
        </w:rPr>
        <w:t xml:space="preserve">Who has access to logs and who maintains logs. Answer: If there’s a central model, then it could be done on a requestor-by-requestor basis. Counter productive in a decentralized model. (See Data Transport/Storage Question 2)</w:t>
      </w:r>
    </w:p>
    <w:p w:rsidR="00000000" w:rsidDel="00000000" w:rsidP="00000000" w:rsidRDefault="00000000" w:rsidRPr="00000000" w14:paraId="0000008C">
      <w:pPr>
        <w:numPr>
          <w:ilvl w:val="0"/>
          <w:numId w:val="12"/>
        </w:numPr>
        <w:ind w:left="720" w:hanging="360"/>
        <w:rPr>
          <w:u w:val="none"/>
        </w:rPr>
      </w:pPr>
      <w:r w:rsidDel="00000000" w:rsidR="00000000" w:rsidRPr="00000000">
        <w:rPr>
          <w:rtl w:val="0"/>
        </w:rPr>
        <w:t xml:space="preserve">Whether access is centralized or not; in order to provide authorized parties with access to logs, having ICANN be the party that aggregates logs and provides access is the only feasible model. Would require CPs to submit their log data to ICANN on some schedule and in a standardized format. How third parties can access that data is an implementation choice for ICANN. (See Data Transport/Storage Question 3)</w:t>
      </w:r>
    </w:p>
    <w:p w:rsidR="00000000" w:rsidDel="00000000" w:rsidP="00000000" w:rsidRDefault="00000000" w:rsidRPr="00000000" w14:paraId="0000008D">
      <w:pPr>
        <w:numPr>
          <w:ilvl w:val="0"/>
          <w:numId w:val="12"/>
        </w:numPr>
        <w:ind w:left="720" w:hanging="360"/>
        <w:rPr/>
      </w:pPr>
      <w:r w:rsidDel="00000000" w:rsidR="00000000" w:rsidRPr="00000000">
        <w:rPr>
          <w:rtl w:val="0"/>
        </w:rPr>
        <w:t xml:space="preserve">Benedict/John/Tomofumi to send language on current security/resiliency standards, referencing e.g. ISO standards, etc. </w:t>
      </w:r>
    </w:p>
    <w:p w:rsidR="00000000" w:rsidDel="00000000" w:rsidP="00000000" w:rsidRDefault="00000000" w:rsidRPr="00000000" w14:paraId="0000008E">
      <w:pPr>
        <w:numPr>
          <w:ilvl w:val="0"/>
          <w:numId w:val="12"/>
        </w:numPr>
        <w:ind w:left="720" w:hanging="360"/>
        <w:rPr>
          <w:u w:val="none"/>
        </w:rPr>
      </w:pPr>
      <w:r w:rsidDel="00000000" w:rsidR="00000000" w:rsidRPr="00000000">
        <w:rPr>
          <w:rtl w:val="0"/>
        </w:rPr>
        <w:t xml:space="preserve">All to email list with features they believe are required for the system. To be discussed on 22 Jan. 2019 TSG call.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Talking Points</w:t>
      </w:r>
      <w:r w:rsidDel="00000000" w:rsidR="00000000" w:rsidRPr="00000000">
        <w:rPr>
          <w:rtl w:val="0"/>
        </w:rPr>
        <w:t xml:space="preserve">(from Ram):</w:t>
      </w:r>
    </w:p>
    <w:p w:rsidR="00000000" w:rsidDel="00000000" w:rsidP="00000000" w:rsidRDefault="00000000" w:rsidRPr="00000000" w14:paraId="00000093">
      <w:pPr>
        <w:rPr/>
      </w:pPr>
      <w:r w:rsidDel="00000000" w:rsidR="00000000" w:rsidRPr="00000000">
        <w:rPr>
          <w:rtl w:val="0"/>
        </w:rPr>
        <w:t xml:space="preserve">This system is envisaged to provide access to non-public data to a relatively limited set of authenticated users.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We hope this impose a gating factor on the scaling of the system or requests.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Access, ie., who asks the question should remain at ICANN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We envision 2 kinds of operational models:</w:t>
      </w:r>
    </w:p>
    <w:p w:rsidR="00000000" w:rsidDel="00000000" w:rsidP="00000000" w:rsidRDefault="00000000" w:rsidRPr="00000000" w14:paraId="0000009A">
      <w:pPr>
        <w:rPr/>
      </w:pPr>
      <w:r w:rsidDel="00000000" w:rsidR="00000000" w:rsidRPr="00000000">
        <w:rPr>
          <w:rtl w:val="0"/>
        </w:rPr>
        <w:t xml:space="preserve">Synchronous</w:t>
      </w:r>
    </w:p>
    <w:p w:rsidR="00000000" w:rsidDel="00000000" w:rsidP="00000000" w:rsidRDefault="00000000" w:rsidRPr="00000000" w14:paraId="0000009B">
      <w:pPr>
        <w:rPr/>
      </w:pPr>
      <w:r w:rsidDel="00000000" w:rsidR="00000000" w:rsidRPr="00000000">
        <w:rPr>
          <w:rtl w:val="0"/>
        </w:rPr>
        <w:t xml:space="preserve">Asynchronous/offline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Explain sync. vs. async. models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==&gt;Goran:</w:t>
      </w:r>
    </w:p>
    <w:p w:rsidR="00000000" w:rsidDel="00000000" w:rsidP="00000000" w:rsidRDefault="00000000" w:rsidRPr="00000000" w14:paraId="000000A0">
      <w:pPr>
        <w:rPr/>
      </w:pPr>
      <w:r w:rsidDel="00000000" w:rsidR="00000000" w:rsidRPr="00000000">
        <w:rPr>
          <w:rtl w:val="0"/>
        </w:rPr>
        <w:t xml:space="preserve">Reason why we are doing this: Current interpretation of GDPR does not make it possible to have a UAM. Contracted parties have legal risk becuase they have the data and collect the data. The law is not made for ICANN or Whois.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If we want a unified way to access, need to find a way to lower risk for CPH. If we don't do it, CPH has to do this on a case and case basis.</w:t>
      </w:r>
    </w:p>
    <w:p w:rsidR="00000000" w:rsidDel="00000000" w:rsidP="00000000" w:rsidRDefault="00000000" w:rsidRPr="00000000" w14:paraId="000000A3">
      <w:pPr>
        <w:rPr/>
      </w:pPr>
      <w:r w:rsidDel="00000000" w:rsidR="00000000" w:rsidRPr="00000000">
        <w:rPr>
          <w:rtl w:val="0"/>
        </w:rPr>
        <w:t xml:space="preserve">&lt;==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