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TSG-Access-RD Meeting #14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Tuesday, 9 April 2019 @ 1600 UTC/ 0900 PST/ 1200 EST - 60 minute mtg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Apologies:  Diana Middleton, Gustavo Lozano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Attendees:  Andy Newton, Scott Hollenbeck, Tomofumi Okubo, Gavin Brown, Ram Mohan, Jody Kolker, Benedict Addis, Steve Crocker, Murray Kucherawy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ICANN Org:  Eleeza Agopian, Gustavo Lozano, Francisco Arias, John Crain, Yvette Guigneaux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Review of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action item tracker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ACTION: Jody/Tomofumi to review Andy’s edits to Section 5, system requirements.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ACTION: Andy to revise Section 5, 2.c.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ACTION: Eleeza to enlist proofreading help from comms team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ACTION: COB 11 April, Steve to edit assumptions and logging sections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ACTION: Eleeza to clean up section markers and add table of contents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ACTION: Andy to revise section 9.x System components based on Gavin’s comments below it.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ACTION: Proposed solutions section, add Murray as a reviewer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ACTION: Benedict to revise language in 10.5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ACTION: Discuss 10.8 during f2f meeting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8dqIT7D7mFNOIO-WMMAi8_aty8GyK3bj3TAToz-RrAo/edit#g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