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76" w:rsidRDefault="00E63976"/>
    <w:tbl>
      <w:tblPr>
        <w:tblStyle w:val="TableGrid"/>
        <w:tblW w:w="0" w:type="auto"/>
        <w:tblLook w:val="04A0" w:firstRow="1" w:lastRow="0" w:firstColumn="1" w:lastColumn="0" w:noHBand="0" w:noVBand="1"/>
      </w:tblPr>
      <w:tblGrid>
        <w:gridCol w:w="1696"/>
        <w:gridCol w:w="1800"/>
        <w:gridCol w:w="5792"/>
      </w:tblGrid>
      <w:tr w:rsidR="00C76967" w:rsidTr="00C76967">
        <w:tc>
          <w:tcPr>
            <w:tcW w:w="1659" w:type="dxa"/>
            <w:vMerge w:val="restart"/>
            <w:vAlign w:val="center"/>
          </w:tcPr>
          <w:p w:rsidR="00C76967" w:rsidRPr="00C76967" w:rsidRDefault="00C76967" w:rsidP="00C76967">
            <w:pPr>
              <w:jc w:val="center"/>
              <w:rPr>
                <w:b/>
              </w:rPr>
            </w:pPr>
            <w:r w:rsidRPr="00C76967">
              <w:rPr>
                <w:b/>
              </w:rPr>
              <w:t>Description</w:t>
            </w:r>
          </w:p>
        </w:tc>
        <w:tc>
          <w:tcPr>
            <w:tcW w:w="1803" w:type="dxa"/>
          </w:tcPr>
          <w:p w:rsidR="00C76967" w:rsidRDefault="00C76967" w:rsidP="00E63976">
            <w:pPr>
              <w:jc w:val="center"/>
            </w:pPr>
            <w:r>
              <w:t xml:space="preserve">Name of </w:t>
            </w:r>
            <w:proofErr w:type="spellStart"/>
            <w:r>
              <w:t>Mechanism</w:t>
            </w:r>
            <w:proofErr w:type="spellEnd"/>
          </w:p>
        </w:tc>
        <w:tc>
          <w:tcPr>
            <w:tcW w:w="5826" w:type="dxa"/>
          </w:tcPr>
          <w:p w:rsidR="00C76967" w:rsidRDefault="00594235" w:rsidP="00E63976">
            <w:pPr>
              <w:jc w:val="center"/>
            </w:pPr>
            <w:proofErr w:type="spellStart"/>
            <w:r>
              <w:t>Supervisory</w:t>
            </w:r>
            <w:proofErr w:type="spellEnd"/>
            <w:r>
              <w:t xml:space="preserve"> </w:t>
            </w:r>
            <w:proofErr w:type="spellStart"/>
            <w:r>
              <w:t>Board</w:t>
            </w:r>
            <w:proofErr w:type="spellEnd"/>
            <w:r>
              <w:t xml:space="preserve"> (</w:t>
            </w:r>
            <w:proofErr w:type="spellStart"/>
            <w:r>
              <w:t>two</w:t>
            </w:r>
            <w:proofErr w:type="spellEnd"/>
            <w:r>
              <w:t xml:space="preserve"> </w:t>
            </w:r>
            <w:proofErr w:type="spellStart"/>
            <w:r>
              <w:t>tier</w:t>
            </w:r>
            <w:proofErr w:type="spellEnd"/>
            <w:r>
              <w:t xml:space="preserve"> </w:t>
            </w:r>
            <w:proofErr w:type="spellStart"/>
            <w:r>
              <w:t>board</w:t>
            </w:r>
            <w:proofErr w:type="spellEnd"/>
            <w:r>
              <w:t xml:space="preserve"> construction)</w:t>
            </w:r>
          </w:p>
        </w:tc>
      </w:tr>
      <w:tr w:rsidR="00C76967" w:rsidTr="00C76967">
        <w:tc>
          <w:tcPr>
            <w:tcW w:w="1659" w:type="dxa"/>
            <w:vMerge/>
            <w:vAlign w:val="center"/>
          </w:tcPr>
          <w:p w:rsidR="00C76967" w:rsidRPr="00C76967" w:rsidRDefault="00C76967" w:rsidP="00C76967">
            <w:pPr>
              <w:jc w:val="center"/>
              <w:rPr>
                <w:b/>
              </w:rPr>
            </w:pPr>
          </w:p>
        </w:tc>
        <w:tc>
          <w:tcPr>
            <w:tcW w:w="1803" w:type="dxa"/>
          </w:tcPr>
          <w:p w:rsidR="00C76967" w:rsidRDefault="00C76967" w:rsidP="00E63976">
            <w:pPr>
              <w:jc w:val="center"/>
            </w:pPr>
            <w:r>
              <w:t>Description</w:t>
            </w:r>
          </w:p>
        </w:tc>
        <w:tc>
          <w:tcPr>
            <w:tcW w:w="5826" w:type="dxa"/>
          </w:tcPr>
          <w:p w:rsidR="00594235" w:rsidRDefault="00594235" w:rsidP="00594235">
            <w:pPr>
              <w:rPr>
                <w:rFonts w:ascii="Calibri" w:hAnsi="Calibri" w:cs="Times New Roman"/>
                <w:color w:val="262626"/>
                <w:sz w:val="23"/>
                <w:szCs w:val="23"/>
                <w:lang w:val="en-US"/>
              </w:rPr>
            </w:pPr>
            <w:r>
              <w:rPr>
                <w:rFonts w:ascii="Calibri" w:hAnsi="Calibri" w:cs="Times New Roman"/>
                <w:color w:val="262626"/>
                <w:sz w:val="23"/>
                <w:szCs w:val="23"/>
                <w:lang w:val="en-US"/>
              </w:rPr>
              <w:t xml:space="preserve">The essence of this mechanism </w:t>
            </w:r>
            <w:r w:rsidR="00EC4091">
              <w:rPr>
                <w:rFonts w:ascii="Calibri" w:hAnsi="Calibri" w:cs="Times New Roman"/>
                <w:color w:val="262626"/>
                <w:sz w:val="23"/>
                <w:szCs w:val="23"/>
                <w:lang w:val="en-US"/>
              </w:rPr>
              <w:t>is the enhancement of</w:t>
            </w:r>
            <w:r>
              <w:rPr>
                <w:rFonts w:ascii="Calibri" w:hAnsi="Calibri" w:cs="Times New Roman"/>
                <w:color w:val="262626"/>
                <w:sz w:val="23"/>
                <w:szCs w:val="23"/>
                <w:lang w:val="en-US"/>
              </w:rPr>
              <w:t xml:space="preserve"> ICANN’s accountability to its stakeholders </w:t>
            </w:r>
            <w:r w:rsidR="00EC4091">
              <w:rPr>
                <w:rFonts w:ascii="Calibri" w:hAnsi="Calibri" w:cs="Times New Roman"/>
                <w:color w:val="262626"/>
                <w:sz w:val="23"/>
                <w:szCs w:val="23"/>
                <w:lang w:val="en-US"/>
              </w:rPr>
              <w:t>by</w:t>
            </w:r>
            <w:r>
              <w:rPr>
                <w:rFonts w:ascii="Calibri" w:hAnsi="Calibri" w:cs="Times New Roman"/>
                <w:color w:val="262626"/>
                <w:sz w:val="23"/>
                <w:szCs w:val="23"/>
                <w:lang w:val="en-US"/>
              </w:rPr>
              <w:t xml:space="preserve"> the creation of a structure internal to ICANN that takes over some of the ultimate powers of the ICANN Board (among which are powers that in fact the NTIA presently –informally, but effectively- has over the ICANN Board).</w:t>
            </w:r>
          </w:p>
          <w:p w:rsidR="00C76967" w:rsidRDefault="00C76967" w:rsidP="00E63976">
            <w:pPr>
              <w:jc w:val="center"/>
            </w:pP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Pr="00E63976" w:rsidRDefault="00C76967" w:rsidP="00E63976">
            <w:pPr>
              <w:jc w:val="center"/>
              <w:rPr>
                <w:lang w:val="en-US"/>
              </w:rPr>
            </w:pPr>
            <w:r w:rsidRPr="00E63976">
              <w:rPr>
                <w:lang w:val="en-US"/>
              </w:rPr>
              <w:t>Category (check &amp; balance, review, redress)</w:t>
            </w:r>
          </w:p>
        </w:tc>
        <w:tc>
          <w:tcPr>
            <w:tcW w:w="5826" w:type="dxa"/>
          </w:tcPr>
          <w:p w:rsidR="00C76967" w:rsidRPr="00E63976" w:rsidRDefault="00594235" w:rsidP="002B26C9">
            <w:pPr>
              <w:rPr>
                <w:lang w:val="en-US"/>
              </w:rPr>
            </w:pPr>
            <w:r>
              <w:rPr>
                <w:lang w:val="en-US"/>
              </w:rPr>
              <w:t>Review and redress</w:t>
            </w:r>
          </w:p>
        </w:tc>
      </w:tr>
      <w:tr w:rsidR="00E835BA" w:rsidRPr="00E63976" w:rsidTr="00C76967">
        <w:tc>
          <w:tcPr>
            <w:tcW w:w="1659" w:type="dxa"/>
            <w:vMerge/>
            <w:vAlign w:val="center"/>
          </w:tcPr>
          <w:p w:rsidR="00E835BA" w:rsidRPr="00C76967" w:rsidRDefault="00E835BA" w:rsidP="00C76967">
            <w:pPr>
              <w:jc w:val="center"/>
              <w:rPr>
                <w:b/>
              </w:rPr>
            </w:pPr>
          </w:p>
        </w:tc>
        <w:tc>
          <w:tcPr>
            <w:tcW w:w="1803" w:type="dxa"/>
          </w:tcPr>
          <w:p w:rsidR="00E835BA" w:rsidRDefault="00E835BA" w:rsidP="00E63976">
            <w:pPr>
              <w:jc w:val="center"/>
              <w:rPr>
                <w:lang w:val="en-US"/>
              </w:rPr>
            </w:pPr>
            <w:r>
              <w:rPr>
                <w:lang w:val="en-US"/>
              </w:rPr>
              <w:t xml:space="preserve">Is the mechanism triggered or non </w:t>
            </w:r>
            <w:proofErr w:type="gramStart"/>
            <w:r>
              <w:rPr>
                <w:lang w:val="en-US"/>
              </w:rPr>
              <w:t>triggered ?</w:t>
            </w:r>
            <w:proofErr w:type="gramEnd"/>
            <w:r>
              <w:rPr>
                <w:lang w:val="en-US"/>
              </w:rPr>
              <w:t xml:space="preserve"> </w:t>
            </w:r>
          </w:p>
        </w:tc>
        <w:tc>
          <w:tcPr>
            <w:tcW w:w="5826" w:type="dxa"/>
          </w:tcPr>
          <w:p w:rsidR="00E835BA" w:rsidRPr="00E63976" w:rsidRDefault="00594235" w:rsidP="00EC4091">
            <w:pPr>
              <w:rPr>
                <w:lang w:val="en-US"/>
              </w:rPr>
            </w:pPr>
            <w:r>
              <w:rPr>
                <w:lang w:val="en-US"/>
              </w:rPr>
              <w:t xml:space="preserve">The mechanism itself is a permanent structure. Some of the powers it executes are predictable and repetitive (e.g. approving ICANN’s strategic plan and annual budget) and thus non-triggered, while others </w:t>
            </w:r>
            <w:r w:rsidR="00EC4091">
              <w:rPr>
                <w:lang w:val="en-US"/>
              </w:rPr>
              <w:t xml:space="preserve">event driven, thus </w:t>
            </w:r>
            <w:r>
              <w:rPr>
                <w:lang w:val="en-US"/>
              </w:rPr>
              <w:t>triggered (e.g. blocking board or management action that is in conflict with the bylaws, blocking changes to the bylaws, recalling the board)</w:t>
            </w:r>
          </w:p>
        </w:tc>
      </w:tr>
      <w:tr w:rsidR="00C76967" w:rsidRPr="00E63976" w:rsidTr="00C76967">
        <w:tc>
          <w:tcPr>
            <w:tcW w:w="1659" w:type="dxa"/>
            <w:vMerge/>
            <w:vAlign w:val="center"/>
          </w:tcPr>
          <w:p w:rsidR="00C76967" w:rsidRPr="00E835BA" w:rsidRDefault="00C76967" w:rsidP="00C76967">
            <w:pPr>
              <w:jc w:val="center"/>
              <w:rPr>
                <w:b/>
                <w:lang w:val="en-US"/>
              </w:rPr>
            </w:pPr>
          </w:p>
        </w:tc>
        <w:tc>
          <w:tcPr>
            <w:tcW w:w="1803" w:type="dxa"/>
          </w:tcPr>
          <w:p w:rsidR="00C76967" w:rsidRPr="00E63976" w:rsidRDefault="00C76967" w:rsidP="00E63976">
            <w:pPr>
              <w:jc w:val="center"/>
              <w:rPr>
                <w:lang w:val="en-US"/>
              </w:rPr>
            </w:pPr>
            <w:r>
              <w:rPr>
                <w:lang w:val="en-US"/>
              </w:rPr>
              <w:t>Possible outcomes (approval, re-do, amendment of decision, etc.)</w:t>
            </w:r>
          </w:p>
        </w:tc>
        <w:tc>
          <w:tcPr>
            <w:tcW w:w="5826" w:type="dxa"/>
          </w:tcPr>
          <w:p w:rsidR="00C76967" w:rsidRPr="00E63976" w:rsidRDefault="00594235" w:rsidP="002B26C9">
            <w:pPr>
              <w:rPr>
                <w:lang w:val="en-US"/>
              </w:rPr>
            </w:pPr>
            <w:r>
              <w:rPr>
                <w:lang w:val="en-US"/>
              </w:rPr>
              <w:t>Approval, review, redress, redo, recalling the board</w:t>
            </w:r>
          </w:p>
        </w:tc>
      </w:tr>
      <w:tr w:rsidR="00C76967" w:rsidRPr="00E63976" w:rsidTr="00C76967">
        <w:tc>
          <w:tcPr>
            <w:tcW w:w="1659" w:type="dxa"/>
            <w:vMerge w:val="restart"/>
            <w:vAlign w:val="center"/>
          </w:tcPr>
          <w:p w:rsidR="00C76967" w:rsidRPr="00C76967" w:rsidRDefault="00C76967" w:rsidP="00C76967">
            <w:pPr>
              <w:jc w:val="center"/>
              <w:rPr>
                <w:b/>
              </w:rPr>
            </w:pPr>
            <w:r w:rsidRPr="00C76967">
              <w:rPr>
                <w:b/>
              </w:rPr>
              <w:t>Standing</w:t>
            </w:r>
          </w:p>
        </w:tc>
        <w:tc>
          <w:tcPr>
            <w:tcW w:w="1803" w:type="dxa"/>
          </w:tcPr>
          <w:p w:rsidR="00C76967" w:rsidRDefault="00C76967" w:rsidP="00E63976">
            <w:pPr>
              <w:jc w:val="center"/>
              <w:rPr>
                <w:lang w:val="en-US"/>
              </w:rPr>
            </w:pPr>
            <w:r w:rsidRPr="00E63976">
              <w:rPr>
                <w:lang w:val="en-US"/>
              </w:rPr>
              <w:t>Conditions of standing (</w:t>
            </w:r>
            <w:proofErr w:type="spellStart"/>
            <w:r w:rsidRPr="00E63976">
              <w:rPr>
                <w:lang w:val="en-US"/>
              </w:rPr>
              <w:t>ie</w:t>
            </w:r>
            <w:proofErr w:type="spellEnd"/>
            <w:r w:rsidRPr="00E63976">
              <w:rPr>
                <w:lang w:val="en-US"/>
              </w:rPr>
              <w:t xml:space="preserve"> « last resort », type of decision being challenged, </w:t>
            </w:r>
            <w:r>
              <w:rPr>
                <w:lang w:val="en-US"/>
              </w:rPr>
              <w:t>…)</w:t>
            </w:r>
          </w:p>
        </w:tc>
        <w:tc>
          <w:tcPr>
            <w:tcW w:w="5826" w:type="dxa"/>
          </w:tcPr>
          <w:p w:rsidR="00C76967" w:rsidRPr="00E63976" w:rsidRDefault="00594235" w:rsidP="002B26C9">
            <w:pPr>
              <w:rPr>
                <w:lang w:val="en-US"/>
              </w:rPr>
            </w:pPr>
            <w:r>
              <w:rPr>
                <w:lang w:val="en-US"/>
              </w:rPr>
              <w:t>For the supervisory board to overrule ICANN’s (executive) board’s decision on a matter</w:t>
            </w:r>
            <w:r w:rsidR="00EC4091">
              <w:rPr>
                <w:lang w:val="en-US"/>
              </w:rPr>
              <w:t>,</w:t>
            </w:r>
            <w:r>
              <w:rPr>
                <w:lang w:val="en-US"/>
              </w:rPr>
              <w:t xml:space="preserve"> should be seen as a last resort option</w:t>
            </w: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Pr="00E63976" w:rsidRDefault="00C76967" w:rsidP="00E63976">
            <w:pPr>
              <w:jc w:val="center"/>
              <w:rPr>
                <w:lang w:val="en-US"/>
              </w:rPr>
            </w:pPr>
            <w:r>
              <w:rPr>
                <w:lang w:val="en-US"/>
              </w:rPr>
              <w:t>Who has standing (</w:t>
            </w:r>
            <w:r w:rsidRPr="00E63976">
              <w:rPr>
                <w:lang w:val="en-US"/>
              </w:rPr>
              <w:t>directly or indirectly affected party</w:t>
            </w:r>
            <w:r>
              <w:rPr>
                <w:lang w:val="en-US"/>
              </w:rPr>
              <w:t>, thresholds</w:t>
            </w:r>
            <w:r w:rsidRPr="00E63976">
              <w:rPr>
                <w:lang w:val="en-US"/>
              </w:rPr>
              <w:t>…)</w:t>
            </w:r>
          </w:p>
        </w:tc>
        <w:tc>
          <w:tcPr>
            <w:tcW w:w="5826" w:type="dxa"/>
          </w:tcPr>
          <w:p w:rsidR="00C76967" w:rsidRPr="00E63976" w:rsidRDefault="009702A5" w:rsidP="002B26C9">
            <w:pPr>
              <w:rPr>
                <w:lang w:val="en-US"/>
              </w:rPr>
            </w:pPr>
            <w:r>
              <w:rPr>
                <w:lang w:val="en-US"/>
              </w:rPr>
              <w:t>Those community representatives that are member of the supervisory board</w:t>
            </w:r>
            <w:r w:rsidR="00EC4091">
              <w:rPr>
                <w:lang w:val="en-US"/>
              </w:rPr>
              <w:t>. Through them (all) ICANN’s stakeholders</w:t>
            </w:r>
          </w:p>
        </w:tc>
      </w:tr>
      <w:tr w:rsidR="00C76967" w:rsidRPr="00E63976" w:rsidTr="00C76967">
        <w:tc>
          <w:tcPr>
            <w:tcW w:w="1659" w:type="dxa"/>
            <w:vMerge w:val="restart"/>
            <w:vAlign w:val="center"/>
          </w:tcPr>
          <w:p w:rsidR="00C76967" w:rsidRPr="00C76967" w:rsidRDefault="00C76967" w:rsidP="00C76967">
            <w:pPr>
              <w:jc w:val="center"/>
              <w:rPr>
                <w:b/>
              </w:rPr>
            </w:pPr>
            <w:r w:rsidRPr="00C76967">
              <w:rPr>
                <w:b/>
              </w:rPr>
              <w:t xml:space="preserve">Standard of </w:t>
            </w:r>
            <w:proofErr w:type="spellStart"/>
            <w:r w:rsidRPr="00C76967">
              <w:rPr>
                <w:b/>
              </w:rPr>
              <w:t>review</w:t>
            </w:r>
            <w:proofErr w:type="spellEnd"/>
          </w:p>
        </w:tc>
        <w:tc>
          <w:tcPr>
            <w:tcW w:w="1803" w:type="dxa"/>
          </w:tcPr>
          <w:p w:rsidR="00C76967" w:rsidRDefault="00C76967" w:rsidP="00E63976">
            <w:pPr>
              <w:jc w:val="center"/>
              <w:rPr>
                <w:lang w:val="en-US"/>
              </w:rPr>
            </w:pPr>
            <w:r>
              <w:rPr>
                <w:lang w:val="en-US"/>
              </w:rPr>
              <w:t>Which standards is the decision examined against (process, principles, other standards…)</w:t>
            </w:r>
          </w:p>
        </w:tc>
        <w:tc>
          <w:tcPr>
            <w:tcW w:w="5826" w:type="dxa"/>
          </w:tcPr>
          <w:p w:rsidR="00C76967" w:rsidRPr="00E63976" w:rsidRDefault="009702A5" w:rsidP="002B26C9">
            <w:pPr>
              <w:rPr>
                <w:lang w:val="en-US"/>
              </w:rPr>
            </w:pPr>
            <w:r>
              <w:rPr>
                <w:lang w:val="en-US"/>
              </w:rPr>
              <w:t>Existing ICANN bylaws, public interests, stakeholders’ interests, applicable (Californian) corporate law, Affirmation of Commitments, adopted PDP’s</w:t>
            </w:r>
            <w:r w:rsidR="00EC4091">
              <w:rPr>
                <w:lang w:val="en-US"/>
              </w:rPr>
              <w:t>, …</w:t>
            </w: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Default="00C76967" w:rsidP="00E63976">
            <w:pPr>
              <w:jc w:val="center"/>
              <w:rPr>
                <w:lang w:val="en-US"/>
              </w:rPr>
            </w:pPr>
            <w:r>
              <w:rPr>
                <w:lang w:val="en-US"/>
              </w:rPr>
              <w:t xml:space="preserve">Which purpose(s) of accountability does the mechanism contribute </w:t>
            </w:r>
            <w:proofErr w:type="gramStart"/>
            <w:r>
              <w:rPr>
                <w:lang w:val="en-US"/>
              </w:rPr>
              <w:t>to ?</w:t>
            </w:r>
            <w:proofErr w:type="gramEnd"/>
            <w:r>
              <w:rPr>
                <w:lang w:val="en-US"/>
              </w:rPr>
              <w:t xml:space="preserve"> </w:t>
            </w:r>
          </w:p>
        </w:tc>
        <w:tc>
          <w:tcPr>
            <w:tcW w:w="5826" w:type="dxa"/>
          </w:tcPr>
          <w:p w:rsidR="00C76967" w:rsidRDefault="00C61C7D" w:rsidP="002B26C9">
            <w:pPr>
              <w:rPr>
                <w:lang w:val="en-US"/>
              </w:rPr>
            </w:pPr>
            <w:r>
              <w:rPr>
                <w:lang w:val="en-US"/>
              </w:rPr>
              <w:t xml:space="preserve">All four: </w:t>
            </w:r>
          </w:p>
          <w:p w:rsidR="00C61C7D"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US"/>
              </w:rPr>
            </w:pPr>
            <w:r w:rsidRPr="00C61C7D">
              <w:rPr>
                <w:rFonts w:cs="Arial"/>
                <w:color w:val="0C181B"/>
                <w:lang w:val="en-US"/>
              </w:rPr>
              <w:t>Comply with its own rules and processes (“due</w:t>
            </w:r>
            <w:r w:rsidRPr="00C61C7D">
              <w:rPr>
                <w:rFonts w:ascii="Arial" w:hAnsi="Arial" w:cs="Arial"/>
                <w:color w:val="0C181B"/>
                <w:sz w:val="54"/>
                <w:szCs w:val="54"/>
                <w:lang w:val="en-US"/>
              </w:rPr>
              <w:t xml:space="preserve"> </w:t>
            </w:r>
            <w:r w:rsidRPr="00C61C7D">
              <w:rPr>
                <w:rFonts w:cs="Arial"/>
                <w:color w:val="0C181B"/>
                <w:lang w:val="en-US"/>
              </w:rPr>
              <w:t xml:space="preserve">process”) </w:t>
            </w:r>
          </w:p>
          <w:p w:rsidR="00C61C7D"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US"/>
              </w:rPr>
            </w:pPr>
            <w:r w:rsidRPr="00C61C7D">
              <w:rPr>
                <w:rFonts w:cs="Arial"/>
                <w:color w:val="0C181B"/>
                <w:lang w:val="en-US"/>
              </w:rPr>
              <w:t xml:space="preserve">Comply with applicable legislation, in jurisdictions where it operates  </w:t>
            </w:r>
          </w:p>
          <w:p w:rsidR="00C61C7D"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US"/>
              </w:rPr>
            </w:pPr>
            <w:r w:rsidRPr="00C61C7D">
              <w:rPr>
                <w:rFonts w:cs="Arial"/>
                <w:color w:val="0C181B"/>
                <w:lang w:val="en-US"/>
              </w:rPr>
              <w:t xml:space="preserve">Achieve certain levels of performance as well as security </w:t>
            </w:r>
          </w:p>
          <w:p w:rsidR="00C61C7D" w:rsidRPr="00C61C7D"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US"/>
              </w:rPr>
            </w:pPr>
            <w:r w:rsidRPr="00C61C7D">
              <w:rPr>
                <w:rFonts w:cs="Arial"/>
                <w:color w:val="0C181B"/>
                <w:lang w:val="en-US"/>
              </w:rPr>
              <w:t xml:space="preserve">Ensure </w:t>
            </w:r>
            <w:r>
              <w:rPr>
                <w:rFonts w:cs="Arial"/>
                <w:color w:val="0C181B"/>
                <w:lang w:val="en-US"/>
              </w:rPr>
              <w:t>decisions</w:t>
            </w:r>
            <w:r w:rsidRPr="00C61C7D">
              <w:rPr>
                <w:rFonts w:cs="Arial"/>
                <w:color w:val="0C181B"/>
                <w:lang w:val="en-US"/>
              </w:rPr>
              <w:t xml:space="preserve"> are for benefit of the public, not just </w:t>
            </w:r>
            <w:r w:rsidRPr="00C61C7D">
              <w:rPr>
                <w:rFonts w:cs="Arial"/>
                <w:color w:val="0C181B"/>
                <w:lang w:val="en-US"/>
              </w:rPr>
              <w:lastRenderedPageBreak/>
              <w:t xml:space="preserve">for a particular set of stakeholders </w:t>
            </w:r>
          </w:p>
        </w:tc>
      </w:tr>
      <w:tr w:rsidR="00C76967" w:rsidRPr="00E63976" w:rsidTr="00C76967">
        <w:tc>
          <w:tcPr>
            <w:tcW w:w="1659" w:type="dxa"/>
            <w:vMerge w:val="restart"/>
            <w:vAlign w:val="center"/>
          </w:tcPr>
          <w:p w:rsidR="00C76967" w:rsidRPr="00C76967" w:rsidRDefault="00C76967" w:rsidP="00C76967">
            <w:pPr>
              <w:jc w:val="center"/>
              <w:rPr>
                <w:b/>
              </w:rPr>
            </w:pPr>
            <w:r w:rsidRPr="00C76967">
              <w:rPr>
                <w:b/>
              </w:rPr>
              <w:lastRenderedPageBreak/>
              <w:t>Composition</w:t>
            </w:r>
          </w:p>
        </w:tc>
        <w:tc>
          <w:tcPr>
            <w:tcW w:w="1803" w:type="dxa"/>
          </w:tcPr>
          <w:p w:rsidR="00C76967" w:rsidRDefault="00C76967" w:rsidP="00E63976">
            <w:pPr>
              <w:jc w:val="center"/>
              <w:rPr>
                <w:lang w:val="en-US"/>
              </w:rPr>
            </w:pPr>
            <w:r>
              <w:rPr>
                <w:lang w:val="en-US"/>
              </w:rPr>
              <w:t>Required skillset</w:t>
            </w:r>
          </w:p>
        </w:tc>
        <w:tc>
          <w:tcPr>
            <w:tcW w:w="5826" w:type="dxa"/>
          </w:tcPr>
          <w:p w:rsidR="00C76967" w:rsidRDefault="00C61C7D" w:rsidP="002B26C9">
            <w:pPr>
              <w:pStyle w:val="ListParagraph"/>
              <w:numPr>
                <w:ilvl w:val="0"/>
                <w:numId w:val="4"/>
              </w:numPr>
              <w:rPr>
                <w:lang w:val="en-US"/>
              </w:rPr>
            </w:pPr>
            <w:r>
              <w:rPr>
                <w:lang w:val="en-US"/>
              </w:rPr>
              <w:t>Vision, strategy, leadership</w:t>
            </w:r>
          </w:p>
          <w:p w:rsidR="00C61C7D" w:rsidRDefault="00C61C7D" w:rsidP="002B26C9">
            <w:pPr>
              <w:pStyle w:val="ListParagraph"/>
              <w:numPr>
                <w:ilvl w:val="0"/>
                <w:numId w:val="4"/>
              </w:numPr>
              <w:rPr>
                <w:lang w:val="en-US"/>
              </w:rPr>
            </w:pPr>
            <w:r>
              <w:rPr>
                <w:lang w:val="en-US"/>
              </w:rPr>
              <w:t>Analytical, social skills, networking</w:t>
            </w:r>
          </w:p>
          <w:p w:rsidR="00C61C7D" w:rsidRDefault="00C61C7D" w:rsidP="002B26C9">
            <w:pPr>
              <w:pStyle w:val="ListParagraph"/>
              <w:numPr>
                <w:ilvl w:val="0"/>
                <w:numId w:val="4"/>
              </w:numPr>
              <w:rPr>
                <w:lang w:val="en-US"/>
              </w:rPr>
            </w:pPr>
            <w:r>
              <w:rPr>
                <w:lang w:val="en-US"/>
              </w:rPr>
              <w:t>C-level integral management in an international, multi-stakeholder, multi-cultural environment</w:t>
            </w:r>
          </w:p>
          <w:p w:rsidR="00C61C7D" w:rsidRPr="00C61C7D" w:rsidRDefault="00C61C7D" w:rsidP="002B26C9">
            <w:pPr>
              <w:pStyle w:val="ListParagraph"/>
              <w:numPr>
                <w:ilvl w:val="0"/>
                <w:numId w:val="4"/>
              </w:numPr>
              <w:rPr>
                <w:lang w:val="en-US"/>
              </w:rPr>
            </w:pPr>
            <w:r>
              <w:rPr>
                <w:lang w:val="en-US"/>
              </w:rPr>
              <w:t>Representation</w:t>
            </w:r>
            <w:r w:rsidR="00BC5DB5">
              <w:rPr>
                <w:lang w:val="en-US"/>
              </w:rPr>
              <w:t>, sensitivity</w:t>
            </w: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Default="00C76967" w:rsidP="00E63976">
            <w:pPr>
              <w:jc w:val="center"/>
              <w:rPr>
                <w:lang w:val="en-US"/>
              </w:rPr>
            </w:pPr>
            <w:r>
              <w:rPr>
                <w:lang w:val="en-US"/>
              </w:rPr>
              <w:t>Diversity requirements (geography, stakeholder interests, gender, other…)</w:t>
            </w:r>
          </w:p>
        </w:tc>
        <w:tc>
          <w:tcPr>
            <w:tcW w:w="5826" w:type="dxa"/>
          </w:tcPr>
          <w:p w:rsidR="00C76967" w:rsidRPr="00E63976" w:rsidRDefault="00BC5DB5" w:rsidP="002B26C9">
            <w:pPr>
              <w:rPr>
                <w:lang w:val="en-US"/>
              </w:rPr>
            </w:pPr>
            <w:r>
              <w:rPr>
                <w:lang w:val="en-US"/>
              </w:rPr>
              <w:t>All stakeholders (direct and indirect) should be represented: SO’s, AC’s, IETF, NRO, ISOC, IAB. This will probably already ensure gender and geographical diversity</w:t>
            </w: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Default="00C76967" w:rsidP="00E63976">
            <w:pPr>
              <w:jc w:val="center"/>
              <w:rPr>
                <w:lang w:val="en-US"/>
              </w:rPr>
            </w:pPr>
            <w:r>
              <w:rPr>
                <w:lang w:val="en-US"/>
              </w:rPr>
              <w:t>Number of persons (approximate or interval)</w:t>
            </w:r>
          </w:p>
        </w:tc>
        <w:tc>
          <w:tcPr>
            <w:tcW w:w="5826" w:type="dxa"/>
          </w:tcPr>
          <w:p w:rsidR="00C76967" w:rsidRPr="00E63976" w:rsidRDefault="00BC5DB5" w:rsidP="002B26C9">
            <w:pPr>
              <w:rPr>
                <w:lang w:val="en-US"/>
              </w:rPr>
            </w:pPr>
            <w:r>
              <w:rPr>
                <w:lang w:val="en-US"/>
              </w:rPr>
              <w:t>See above</w:t>
            </w: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Default="00C76967" w:rsidP="00E63976">
            <w:pPr>
              <w:jc w:val="center"/>
              <w:rPr>
                <w:lang w:val="en-US"/>
              </w:rPr>
            </w:pPr>
            <w:r>
              <w:rPr>
                <w:lang w:val="en-US"/>
              </w:rPr>
              <w:t>Independence requirements</w:t>
            </w:r>
          </w:p>
        </w:tc>
        <w:tc>
          <w:tcPr>
            <w:tcW w:w="5826" w:type="dxa"/>
          </w:tcPr>
          <w:p w:rsidR="00C76967" w:rsidRPr="00AE5741" w:rsidRDefault="00BC5DB5" w:rsidP="00AE5741">
            <w:pPr>
              <w:widowControl w:val="0"/>
              <w:autoSpaceDE w:val="0"/>
              <w:autoSpaceDN w:val="0"/>
              <w:adjustRightInd w:val="0"/>
              <w:spacing w:after="240"/>
              <w:rPr>
                <w:rFonts w:ascii="Times" w:hAnsi="Times" w:cs="Times"/>
                <w:lang w:val="en-US"/>
              </w:rPr>
            </w:pPr>
            <w:r w:rsidRPr="00BC5DB5">
              <w:rPr>
                <w:rFonts w:ascii="Calibri" w:hAnsi="Calibri" w:cs="Calibri"/>
                <w:lang w:val="en-US"/>
              </w:rPr>
              <w:t xml:space="preserve">The persons involved in making or validating </w:t>
            </w:r>
            <w:proofErr w:type="gramStart"/>
            <w:r w:rsidR="00EC4091">
              <w:rPr>
                <w:rFonts w:ascii="Calibri" w:hAnsi="Calibri" w:cs="Calibri"/>
                <w:lang w:val="en-US"/>
              </w:rPr>
              <w:t xml:space="preserve">a </w:t>
            </w:r>
            <w:r w:rsidRPr="00BC5DB5">
              <w:rPr>
                <w:rFonts w:ascii="Calibri" w:hAnsi="Calibri" w:cs="Calibri"/>
                <w:lang w:val="en-US"/>
              </w:rPr>
              <w:t xml:space="preserve"> decision</w:t>
            </w:r>
            <w:proofErr w:type="gramEnd"/>
            <w:r w:rsidR="00EC4091">
              <w:rPr>
                <w:rFonts w:ascii="Calibri" w:hAnsi="Calibri" w:cs="Calibri"/>
                <w:lang w:val="en-US"/>
              </w:rPr>
              <w:t xml:space="preserve"> of the supervisory board</w:t>
            </w:r>
            <w:r w:rsidRPr="00BC5DB5">
              <w:rPr>
                <w:rFonts w:ascii="Calibri" w:hAnsi="Calibri" w:cs="Calibri"/>
                <w:lang w:val="en-US"/>
              </w:rPr>
              <w:t xml:space="preserve">, apart from </w:t>
            </w:r>
            <w:r w:rsidR="00AE5741">
              <w:rPr>
                <w:rFonts w:ascii="Calibri" w:hAnsi="Calibri" w:cs="Calibri"/>
                <w:lang w:val="en-US"/>
              </w:rPr>
              <w:t>the obvious interests as a member of the stakeholder group they represent</w:t>
            </w:r>
            <w:r w:rsidRPr="00BC5DB5">
              <w:rPr>
                <w:rFonts w:ascii="Calibri" w:hAnsi="Calibri" w:cs="Calibri"/>
                <w:lang w:val="en-US"/>
              </w:rPr>
              <w:t xml:space="preserve">, do not have any other material relationship, transaction or professional aspiration with ICANN </w:t>
            </w:r>
            <w:r w:rsidR="00EC4091">
              <w:rPr>
                <w:rFonts w:ascii="Calibri" w:hAnsi="Calibri" w:cs="Calibri"/>
                <w:lang w:val="en-US"/>
              </w:rPr>
              <w:t xml:space="preserve">itself </w:t>
            </w:r>
            <w:r w:rsidRPr="00BC5DB5">
              <w:rPr>
                <w:rFonts w:ascii="Calibri" w:hAnsi="Calibri" w:cs="Calibri"/>
                <w:lang w:val="en-US"/>
              </w:rPr>
              <w:t>which may affect their judgment.</w:t>
            </w: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Default="00C76967" w:rsidP="00E63976">
            <w:pPr>
              <w:jc w:val="center"/>
              <w:rPr>
                <w:lang w:val="en-US"/>
              </w:rPr>
            </w:pPr>
            <w:r>
              <w:rPr>
                <w:lang w:val="en-US"/>
              </w:rPr>
              <w:t xml:space="preserve">Election / appointment by </w:t>
            </w:r>
            <w:proofErr w:type="gramStart"/>
            <w:r>
              <w:rPr>
                <w:lang w:val="en-US"/>
              </w:rPr>
              <w:t>whom ?</w:t>
            </w:r>
            <w:proofErr w:type="gramEnd"/>
          </w:p>
        </w:tc>
        <w:tc>
          <w:tcPr>
            <w:tcW w:w="5826" w:type="dxa"/>
          </w:tcPr>
          <w:p w:rsidR="00C76967" w:rsidRPr="00E63976" w:rsidRDefault="00BC5DB5" w:rsidP="00AE5741">
            <w:pPr>
              <w:rPr>
                <w:lang w:val="en-US"/>
              </w:rPr>
            </w:pPr>
            <w:r>
              <w:rPr>
                <w:lang w:val="en-US"/>
              </w:rPr>
              <w:t>Each member of the supervisory board is appointed (</w:t>
            </w:r>
            <w:r w:rsidR="00AE5741">
              <w:rPr>
                <w:lang w:val="en-US"/>
              </w:rPr>
              <w:t>by election)</w:t>
            </w:r>
            <w:r>
              <w:rPr>
                <w:lang w:val="en-US"/>
              </w:rPr>
              <w:t xml:space="preserve"> by his/her stakeholder group</w:t>
            </w:r>
            <w:r w:rsidR="001A7717">
              <w:rPr>
                <w:lang w:val="en-US"/>
              </w:rPr>
              <w:t>/constituency. Easiest would be to appoint the (already elected) chairs of those groups/cons</w:t>
            </w:r>
            <w:r w:rsidR="00AE5741">
              <w:rPr>
                <w:lang w:val="en-US"/>
              </w:rPr>
              <w:t>t</w:t>
            </w:r>
            <w:r w:rsidR="001A7717">
              <w:rPr>
                <w:lang w:val="en-US"/>
              </w:rPr>
              <w:t>ituencies</w:t>
            </w: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Default="00C76967" w:rsidP="00E63976">
            <w:pPr>
              <w:jc w:val="center"/>
              <w:rPr>
                <w:lang w:val="en-US"/>
              </w:rPr>
            </w:pPr>
            <w:r>
              <w:rPr>
                <w:lang w:val="en-US"/>
              </w:rPr>
              <w:t>Recall or other accountability mechanism</w:t>
            </w:r>
          </w:p>
        </w:tc>
        <w:tc>
          <w:tcPr>
            <w:tcW w:w="5826" w:type="dxa"/>
          </w:tcPr>
          <w:p w:rsidR="00C76967" w:rsidRPr="00E63976" w:rsidRDefault="001A7717" w:rsidP="00AE5741">
            <w:pPr>
              <w:rPr>
                <w:lang w:val="en-US"/>
              </w:rPr>
            </w:pPr>
            <w:r>
              <w:rPr>
                <w:lang w:val="en-US"/>
              </w:rPr>
              <w:t xml:space="preserve">Each member of the supervisory board can </w:t>
            </w:r>
            <w:r w:rsidR="00AE5741">
              <w:rPr>
                <w:lang w:val="en-US"/>
              </w:rPr>
              <w:t xml:space="preserve">–during his/her term- </w:t>
            </w:r>
            <w:r>
              <w:rPr>
                <w:lang w:val="en-US"/>
              </w:rPr>
              <w:t xml:space="preserve">be recalled (by majority vote) or </w:t>
            </w:r>
            <w:r w:rsidR="00AE5741">
              <w:rPr>
                <w:lang w:val="en-US"/>
              </w:rPr>
              <w:t>at the end of</w:t>
            </w:r>
            <w:r>
              <w:rPr>
                <w:lang w:val="en-US"/>
              </w:rPr>
              <w:t xml:space="preserve"> his/her term </w:t>
            </w:r>
            <w:r w:rsidR="00AE5741">
              <w:rPr>
                <w:lang w:val="en-US"/>
              </w:rPr>
              <w:t xml:space="preserve">could </w:t>
            </w:r>
            <w:r>
              <w:rPr>
                <w:lang w:val="en-US"/>
              </w:rPr>
              <w:t xml:space="preserve">not </w:t>
            </w:r>
            <w:r w:rsidR="00AE5741">
              <w:rPr>
                <w:lang w:val="en-US"/>
              </w:rPr>
              <w:t xml:space="preserve">be </w:t>
            </w:r>
            <w:r>
              <w:rPr>
                <w:lang w:val="en-US"/>
              </w:rPr>
              <w:t xml:space="preserve">reelected by his/her stakeholder group/constituency. </w:t>
            </w:r>
            <w:proofErr w:type="gramStart"/>
            <w:r>
              <w:rPr>
                <w:lang w:val="en-US"/>
              </w:rPr>
              <w:t>A member of the supervisory board cannot be recalled by the other members</w:t>
            </w:r>
            <w:proofErr w:type="gramEnd"/>
            <w:r>
              <w:rPr>
                <w:lang w:val="en-US"/>
              </w:rPr>
              <w:t xml:space="preserve"> of the supervisory board</w:t>
            </w:r>
            <w:r w:rsidR="00AE5741">
              <w:rPr>
                <w:lang w:val="en-US"/>
              </w:rPr>
              <w:t>.</w:t>
            </w:r>
          </w:p>
        </w:tc>
      </w:tr>
      <w:tr w:rsidR="00C76967" w:rsidRPr="00E63976" w:rsidTr="00C76967">
        <w:tc>
          <w:tcPr>
            <w:tcW w:w="1659" w:type="dxa"/>
            <w:vMerge w:val="restart"/>
            <w:vAlign w:val="center"/>
          </w:tcPr>
          <w:p w:rsidR="00C76967" w:rsidRPr="00C76967" w:rsidRDefault="00C76967" w:rsidP="00C76967">
            <w:pPr>
              <w:jc w:val="center"/>
              <w:rPr>
                <w:b/>
              </w:rPr>
            </w:pPr>
            <w:proofErr w:type="spellStart"/>
            <w:r w:rsidRPr="00C76967">
              <w:rPr>
                <w:b/>
              </w:rPr>
              <w:t>Decision</w:t>
            </w:r>
            <w:proofErr w:type="spellEnd"/>
            <w:r w:rsidRPr="00C76967">
              <w:rPr>
                <w:b/>
              </w:rPr>
              <w:t xml:space="preserve"> </w:t>
            </w:r>
            <w:proofErr w:type="spellStart"/>
            <w:r w:rsidRPr="00C76967">
              <w:rPr>
                <w:b/>
              </w:rPr>
              <w:t>making</w:t>
            </w:r>
            <w:proofErr w:type="spellEnd"/>
          </w:p>
        </w:tc>
        <w:tc>
          <w:tcPr>
            <w:tcW w:w="1803" w:type="dxa"/>
          </w:tcPr>
          <w:p w:rsidR="00C76967" w:rsidRDefault="00C76967" w:rsidP="00C76967">
            <w:pPr>
              <w:jc w:val="center"/>
              <w:rPr>
                <w:lang w:val="en-US"/>
              </w:rPr>
            </w:pPr>
            <w:r>
              <w:rPr>
                <w:lang w:val="en-US"/>
              </w:rPr>
              <w:t>Is the decision mandated or based on personal assessment</w:t>
            </w:r>
          </w:p>
        </w:tc>
        <w:tc>
          <w:tcPr>
            <w:tcW w:w="5826" w:type="dxa"/>
          </w:tcPr>
          <w:p w:rsidR="00C76967" w:rsidRDefault="001A7717" w:rsidP="002B26C9">
            <w:pPr>
              <w:rPr>
                <w:lang w:val="en-US"/>
              </w:rPr>
            </w:pPr>
            <w:r>
              <w:rPr>
                <w:lang w:val="en-US"/>
              </w:rPr>
              <w:t>There are two options:</w:t>
            </w:r>
          </w:p>
          <w:p w:rsidR="001A7717" w:rsidRDefault="001A7717" w:rsidP="002B26C9">
            <w:pPr>
              <w:pStyle w:val="ListParagraph"/>
              <w:numPr>
                <w:ilvl w:val="0"/>
                <w:numId w:val="5"/>
              </w:numPr>
              <w:rPr>
                <w:lang w:val="en-US"/>
              </w:rPr>
            </w:pPr>
            <w:r>
              <w:rPr>
                <w:lang w:val="en-US"/>
              </w:rPr>
              <w:t xml:space="preserve">The community representatives have to get back to their constituencies and get their (consensus or rough consensus) approval to </w:t>
            </w:r>
            <w:r w:rsidR="00AE5741">
              <w:rPr>
                <w:lang w:val="en-US"/>
              </w:rPr>
              <w:t>use the specific power;</w:t>
            </w:r>
            <w:r>
              <w:rPr>
                <w:lang w:val="en-US"/>
              </w:rPr>
              <w:t xml:space="preserve"> </w:t>
            </w:r>
          </w:p>
          <w:p w:rsidR="001A7717" w:rsidRDefault="001A7717" w:rsidP="002B26C9">
            <w:pPr>
              <w:pStyle w:val="ListParagraph"/>
              <w:numPr>
                <w:ilvl w:val="0"/>
                <w:numId w:val="5"/>
              </w:numPr>
              <w:rPr>
                <w:lang w:val="en-US"/>
              </w:rPr>
            </w:pPr>
            <w:r w:rsidRPr="001A7717">
              <w:rPr>
                <w:lang w:val="en-US"/>
              </w:rPr>
              <w:t>The community representatives have the mandate from their respective constituencies to take a position based on their personal assessment of the bylaw amendment on the public interests/stakeholders’</w:t>
            </w:r>
            <w:r w:rsidR="00AE5741">
              <w:rPr>
                <w:lang w:val="en-US"/>
              </w:rPr>
              <w:t xml:space="preserve"> </w:t>
            </w:r>
            <w:r w:rsidRPr="001A7717">
              <w:rPr>
                <w:lang w:val="en-US"/>
              </w:rPr>
              <w:t>interests (NOT their personal interests)</w:t>
            </w:r>
          </w:p>
          <w:p w:rsidR="001A7717" w:rsidRDefault="001A7717" w:rsidP="002B26C9">
            <w:pPr>
              <w:rPr>
                <w:lang w:val="en-US"/>
              </w:rPr>
            </w:pPr>
          </w:p>
          <w:p w:rsidR="001A7717" w:rsidRDefault="001A7717" w:rsidP="002B26C9">
            <w:pPr>
              <w:rPr>
                <w:lang w:val="en-US"/>
              </w:rPr>
            </w:pPr>
            <w:r w:rsidRPr="001A7717">
              <w:rPr>
                <w:lang w:val="en-US"/>
              </w:rPr>
              <w:t>In most situations,</w:t>
            </w:r>
            <w:r>
              <w:rPr>
                <w:lang w:val="en-US"/>
              </w:rPr>
              <w:t xml:space="preserve"> for most powers that the supervisory board has,</w:t>
            </w:r>
            <w:r w:rsidRPr="001A7717">
              <w:rPr>
                <w:lang w:val="en-US"/>
              </w:rPr>
              <w:t xml:space="preserve"> </w:t>
            </w:r>
            <w:r>
              <w:rPr>
                <w:lang w:val="en-US"/>
              </w:rPr>
              <w:t xml:space="preserve">option 1 will </w:t>
            </w:r>
            <w:r w:rsidRPr="001A7717">
              <w:rPr>
                <w:lang w:val="en-US"/>
              </w:rPr>
              <w:t xml:space="preserve">not </w:t>
            </w:r>
            <w:r>
              <w:rPr>
                <w:lang w:val="en-US"/>
              </w:rPr>
              <w:t xml:space="preserve">be </w:t>
            </w:r>
            <w:r w:rsidRPr="001A7717">
              <w:rPr>
                <w:lang w:val="en-US"/>
              </w:rPr>
              <w:t xml:space="preserve">workable: </w:t>
            </w:r>
            <w:r>
              <w:rPr>
                <w:lang w:val="en-US"/>
              </w:rPr>
              <w:t xml:space="preserve">it </w:t>
            </w:r>
            <w:r w:rsidRPr="001A7717">
              <w:rPr>
                <w:lang w:val="en-US"/>
              </w:rPr>
              <w:t>will take too long with</w:t>
            </w:r>
            <w:r>
              <w:rPr>
                <w:lang w:val="en-US"/>
              </w:rPr>
              <w:t xml:space="preserve"> the risk of failing altogether.</w:t>
            </w:r>
          </w:p>
          <w:p w:rsidR="001A7717" w:rsidRPr="001A7717" w:rsidRDefault="001A7717" w:rsidP="002B26C9">
            <w:pPr>
              <w:rPr>
                <w:lang w:val="en-US"/>
              </w:rPr>
            </w:pPr>
            <w:r>
              <w:rPr>
                <w:lang w:val="en-US"/>
              </w:rPr>
              <w:t>However, for the decision to recall the (whole) board, option 1 should be considered. For the “nuclear option” (if we are having one), transitioning the IANA function away from ICANN, option 1 is an obligation.</w:t>
            </w:r>
          </w:p>
          <w:p w:rsidR="001A7717" w:rsidRPr="001A7717" w:rsidRDefault="001A7717" w:rsidP="002B26C9">
            <w:pPr>
              <w:rPr>
                <w:lang w:val="en-US"/>
              </w:rPr>
            </w:pP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Default="00C76967" w:rsidP="00C76967">
            <w:pPr>
              <w:jc w:val="center"/>
              <w:rPr>
                <w:lang w:val="en-US"/>
              </w:rPr>
            </w:pPr>
            <w:r>
              <w:rPr>
                <w:lang w:val="en-US"/>
              </w:rPr>
              <w:t xml:space="preserve">Decision made by consensus or </w:t>
            </w:r>
            <w:proofErr w:type="gramStart"/>
            <w:r>
              <w:rPr>
                <w:lang w:val="en-US"/>
              </w:rPr>
              <w:t>vote ?</w:t>
            </w:r>
            <w:proofErr w:type="gramEnd"/>
          </w:p>
        </w:tc>
        <w:tc>
          <w:tcPr>
            <w:tcW w:w="5826" w:type="dxa"/>
          </w:tcPr>
          <w:p w:rsidR="00C76967" w:rsidRPr="00E63976" w:rsidRDefault="001A7717" w:rsidP="002B26C9">
            <w:pPr>
              <w:rPr>
                <w:lang w:val="en-US"/>
              </w:rPr>
            </w:pPr>
            <w:r>
              <w:rPr>
                <w:lang w:val="en-US"/>
              </w:rPr>
              <w:t xml:space="preserve">Vote. Consensus introduces (or reinforces) the risk of capture: if a particular stakeholder group has convinced the ICANN board to </w:t>
            </w:r>
            <w:r w:rsidR="002B26C9">
              <w:rPr>
                <w:lang w:val="en-US"/>
              </w:rPr>
              <w:t xml:space="preserve">e.g. </w:t>
            </w:r>
            <w:r>
              <w:rPr>
                <w:lang w:val="en-US"/>
              </w:rPr>
              <w:t>make an amendment to the bylaws, this same stakeholder group</w:t>
            </w:r>
            <w:r w:rsidR="002B26C9">
              <w:rPr>
                <w:lang w:val="en-US"/>
              </w:rPr>
              <w:t>’s representative in the supervisory board</w:t>
            </w:r>
            <w:r>
              <w:rPr>
                <w:lang w:val="en-US"/>
              </w:rPr>
              <w:t xml:space="preserve"> can then prevent the community from blocking that amendment</w:t>
            </w: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Default="00C76967" w:rsidP="00C76967">
            <w:pPr>
              <w:jc w:val="center"/>
              <w:rPr>
                <w:lang w:val="en-US"/>
              </w:rPr>
            </w:pPr>
            <w:r>
              <w:rPr>
                <w:lang w:val="en-US"/>
              </w:rPr>
              <w:t>Majority threshold (if applicable)</w:t>
            </w:r>
          </w:p>
        </w:tc>
        <w:tc>
          <w:tcPr>
            <w:tcW w:w="5826" w:type="dxa"/>
          </w:tcPr>
          <w:p w:rsidR="002B26C9" w:rsidRDefault="002B26C9" w:rsidP="002B26C9">
            <w:pPr>
              <w:rPr>
                <w:lang w:val="en-US"/>
              </w:rPr>
            </w:pPr>
            <w:r>
              <w:rPr>
                <w:lang w:val="en-US"/>
              </w:rPr>
              <w:t>De</w:t>
            </w:r>
            <w:r w:rsidR="00AE5741">
              <w:rPr>
                <w:lang w:val="en-US"/>
              </w:rPr>
              <w:t>pending on the decision to take/</w:t>
            </w:r>
            <w:r>
              <w:rPr>
                <w:lang w:val="en-US"/>
              </w:rPr>
              <w:t xml:space="preserve">power to execute: simple majority or supermajority. </w:t>
            </w:r>
          </w:p>
          <w:p w:rsidR="00C76967" w:rsidRPr="00E63976" w:rsidRDefault="002B26C9" w:rsidP="002B26C9">
            <w:pPr>
              <w:rPr>
                <w:lang w:val="en-US"/>
              </w:rPr>
            </w:pPr>
            <w:r>
              <w:rPr>
                <w:lang w:val="en-US"/>
              </w:rPr>
              <w:t>(Option: a condition could be that if there is no super majority, an independent review has to precede adoption of a simple majority decision)</w:t>
            </w:r>
          </w:p>
        </w:tc>
      </w:tr>
      <w:tr w:rsidR="00C76967" w:rsidRPr="00E63976" w:rsidTr="00C76967">
        <w:tc>
          <w:tcPr>
            <w:tcW w:w="1659" w:type="dxa"/>
            <w:vMerge w:val="restart"/>
            <w:vAlign w:val="center"/>
          </w:tcPr>
          <w:p w:rsidR="00C76967" w:rsidRPr="00C76967" w:rsidRDefault="00C76967" w:rsidP="00C76967">
            <w:pPr>
              <w:jc w:val="center"/>
              <w:rPr>
                <w:b/>
              </w:rPr>
            </w:pPr>
            <w:proofErr w:type="spellStart"/>
            <w:r w:rsidRPr="00C76967">
              <w:rPr>
                <w:b/>
              </w:rPr>
              <w:t>Accessibility</w:t>
            </w:r>
            <w:proofErr w:type="spellEnd"/>
          </w:p>
        </w:tc>
        <w:tc>
          <w:tcPr>
            <w:tcW w:w="1803" w:type="dxa"/>
          </w:tcPr>
          <w:p w:rsidR="00C76967" w:rsidRDefault="00C76967" w:rsidP="00C76967">
            <w:pPr>
              <w:jc w:val="center"/>
              <w:rPr>
                <w:lang w:val="en-US"/>
              </w:rPr>
            </w:pPr>
            <w:r>
              <w:rPr>
                <w:lang w:val="en-US"/>
              </w:rPr>
              <w:t>Cost requirements</w:t>
            </w:r>
          </w:p>
        </w:tc>
        <w:tc>
          <w:tcPr>
            <w:tcW w:w="5826" w:type="dxa"/>
          </w:tcPr>
          <w:p w:rsidR="00C76967" w:rsidRPr="00E63976" w:rsidRDefault="002B26C9" w:rsidP="002B26C9">
            <w:pPr>
              <w:rPr>
                <w:lang w:val="en-US"/>
              </w:rPr>
            </w:pPr>
            <w:r>
              <w:rPr>
                <w:lang w:val="en-US"/>
              </w:rPr>
              <w:t>The members of the supervisory board are volunteers from their respective constituencies. They receive no remuneration, but travel and lodging costs for meeting purposes are covered by ICANN</w:t>
            </w: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Default="00C76967" w:rsidP="00C76967">
            <w:pPr>
              <w:jc w:val="center"/>
              <w:rPr>
                <w:lang w:val="en-US"/>
              </w:rPr>
            </w:pPr>
            <w:r>
              <w:rPr>
                <w:lang w:val="en-US"/>
              </w:rPr>
              <w:t>Timeframe requirements</w:t>
            </w:r>
          </w:p>
        </w:tc>
        <w:tc>
          <w:tcPr>
            <w:tcW w:w="5826" w:type="dxa"/>
          </w:tcPr>
          <w:p w:rsidR="00C76967" w:rsidRPr="00E63976" w:rsidRDefault="00EC4091" w:rsidP="002B26C9">
            <w:pPr>
              <w:rPr>
                <w:lang w:val="en-US"/>
              </w:rPr>
            </w:pPr>
            <w:r>
              <w:rPr>
                <w:lang w:val="en-US"/>
              </w:rPr>
              <w:t>To be implemented before IANA stewardship transition</w:t>
            </w:r>
          </w:p>
        </w:tc>
      </w:tr>
      <w:tr w:rsidR="00C76967" w:rsidRPr="00E63976" w:rsidTr="00C76967">
        <w:tc>
          <w:tcPr>
            <w:tcW w:w="1659" w:type="dxa"/>
            <w:vMerge/>
            <w:vAlign w:val="center"/>
          </w:tcPr>
          <w:p w:rsidR="00C76967" w:rsidRPr="00C76967" w:rsidRDefault="00C76967" w:rsidP="00C76967">
            <w:pPr>
              <w:jc w:val="center"/>
              <w:rPr>
                <w:b/>
              </w:rPr>
            </w:pPr>
          </w:p>
        </w:tc>
        <w:tc>
          <w:tcPr>
            <w:tcW w:w="1803" w:type="dxa"/>
          </w:tcPr>
          <w:p w:rsidR="00C76967" w:rsidRDefault="00C76967" w:rsidP="00C76967">
            <w:pPr>
              <w:jc w:val="center"/>
              <w:rPr>
                <w:lang w:val="en-US"/>
              </w:rPr>
            </w:pPr>
            <w:r>
              <w:rPr>
                <w:lang w:val="en-US"/>
              </w:rPr>
              <w:t>Language requirements</w:t>
            </w:r>
          </w:p>
        </w:tc>
        <w:tc>
          <w:tcPr>
            <w:tcW w:w="5826" w:type="dxa"/>
          </w:tcPr>
          <w:p w:rsidR="00C76967" w:rsidRPr="00E63976" w:rsidRDefault="00EC4091" w:rsidP="002B26C9">
            <w:pPr>
              <w:rPr>
                <w:lang w:val="en-US"/>
              </w:rPr>
            </w:pPr>
            <w:r>
              <w:rPr>
                <w:lang w:val="en-US"/>
              </w:rPr>
              <w:t>As general</w:t>
            </w:r>
          </w:p>
        </w:tc>
      </w:tr>
      <w:tr w:rsidR="00C76967" w:rsidRPr="00E63976" w:rsidTr="00C76967">
        <w:tc>
          <w:tcPr>
            <w:tcW w:w="1659" w:type="dxa"/>
            <w:vAlign w:val="center"/>
          </w:tcPr>
          <w:p w:rsidR="00C76967" w:rsidRPr="00C76967" w:rsidRDefault="00C76967" w:rsidP="00C76967">
            <w:pPr>
              <w:jc w:val="center"/>
              <w:rPr>
                <w:b/>
              </w:rPr>
            </w:pPr>
            <w:proofErr w:type="spellStart"/>
            <w:r w:rsidRPr="00C76967">
              <w:rPr>
                <w:b/>
              </w:rPr>
              <w:t>Implementation</w:t>
            </w:r>
            <w:proofErr w:type="spellEnd"/>
          </w:p>
        </w:tc>
        <w:tc>
          <w:tcPr>
            <w:tcW w:w="1803" w:type="dxa"/>
          </w:tcPr>
          <w:p w:rsidR="00C76967" w:rsidRDefault="00C76967" w:rsidP="00C76967">
            <w:pPr>
              <w:jc w:val="center"/>
              <w:rPr>
                <w:lang w:val="en-US"/>
              </w:rPr>
            </w:pPr>
            <w:r>
              <w:rPr>
                <w:lang w:val="en-US"/>
              </w:rPr>
              <w:t>Potential means to implement</w:t>
            </w:r>
          </w:p>
        </w:tc>
        <w:tc>
          <w:tcPr>
            <w:tcW w:w="5826" w:type="dxa"/>
          </w:tcPr>
          <w:p w:rsidR="00385CA1" w:rsidRDefault="00385CA1" w:rsidP="00385CA1">
            <w:pPr>
              <w:pStyle w:val="ListParagraph"/>
              <w:numPr>
                <w:ilvl w:val="0"/>
                <w:numId w:val="6"/>
              </w:numPr>
              <w:rPr>
                <w:lang w:val="en-US"/>
              </w:rPr>
            </w:pPr>
            <w:r>
              <w:rPr>
                <w:lang w:val="en-US"/>
              </w:rPr>
              <w:t xml:space="preserve">Amendments to ICANN’s bylaws that </w:t>
            </w:r>
            <w:r w:rsidR="00EC4091">
              <w:rPr>
                <w:lang w:val="en-US"/>
              </w:rPr>
              <w:t>incorporate</w:t>
            </w:r>
            <w:r>
              <w:rPr>
                <w:lang w:val="en-US"/>
              </w:rPr>
              <w:t xml:space="preserve"> an supervisory board in ICANN’s corporate governance structure and </w:t>
            </w:r>
            <w:r w:rsidR="00EC4091">
              <w:rPr>
                <w:lang w:val="en-US"/>
              </w:rPr>
              <w:t>provides</w:t>
            </w:r>
            <w:r>
              <w:rPr>
                <w:lang w:val="en-US"/>
              </w:rPr>
              <w:t xml:space="preserve"> it </w:t>
            </w:r>
            <w:r w:rsidR="00EC4091">
              <w:rPr>
                <w:lang w:val="en-US"/>
              </w:rPr>
              <w:t xml:space="preserve">with </w:t>
            </w:r>
            <w:r>
              <w:rPr>
                <w:lang w:val="en-US"/>
              </w:rPr>
              <w:t>the required powers;</w:t>
            </w:r>
          </w:p>
          <w:p w:rsidR="00C76967" w:rsidRPr="00385CA1" w:rsidRDefault="00EC4091" w:rsidP="00EC4091">
            <w:pPr>
              <w:pStyle w:val="ListParagraph"/>
              <w:numPr>
                <w:ilvl w:val="0"/>
                <w:numId w:val="6"/>
              </w:numPr>
              <w:rPr>
                <w:lang w:val="en-US"/>
              </w:rPr>
            </w:pPr>
            <w:r>
              <w:rPr>
                <w:lang w:val="en-US"/>
              </w:rPr>
              <w:t xml:space="preserve">Elected representatives from stakeholder groups to serve on supervisory board </w:t>
            </w:r>
          </w:p>
        </w:tc>
      </w:tr>
    </w:tbl>
    <w:p w:rsidR="00E63976" w:rsidRPr="00E63976" w:rsidRDefault="00E63976" w:rsidP="00E63976">
      <w:pPr>
        <w:jc w:val="center"/>
        <w:rPr>
          <w:lang w:val="en-US"/>
        </w:rPr>
      </w:pPr>
    </w:p>
    <w:p w:rsidR="00E63976" w:rsidRPr="00E63976" w:rsidRDefault="00E63976">
      <w:pPr>
        <w:rPr>
          <w:lang w:val="en-US"/>
        </w:rPr>
      </w:pPr>
    </w:p>
    <w:p w:rsidR="00CC3EE8" w:rsidRDefault="00AE5741">
      <w:pPr>
        <w:rPr>
          <w:lang w:val="en-US"/>
        </w:rPr>
      </w:pPr>
      <w:r>
        <w:rPr>
          <w:lang w:val="en-US"/>
        </w:rPr>
        <w:t>Notes from the author:</w:t>
      </w:r>
    </w:p>
    <w:p w:rsidR="00AE5741" w:rsidRDefault="00AE5741" w:rsidP="00AE5741">
      <w:pPr>
        <w:pStyle w:val="FootnoteText"/>
        <w:numPr>
          <w:ilvl w:val="0"/>
          <w:numId w:val="7"/>
        </w:numPr>
        <w:rPr>
          <w:rFonts w:asciiTheme="majorHAnsi" w:hAnsiTheme="majorHAnsi"/>
          <w:sz w:val="16"/>
          <w:szCs w:val="16"/>
          <w:lang w:val="en-US"/>
        </w:rPr>
      </w:pPr>
      <w:r>
        <w:rPr>
          <w:rFonts w:asciiTheme="majorHAnsi" w:hAnsiTheme="majorHAnsi"/>
          <w:sz w:val="16"/>
          <w:szCs w:val="16"/>
          <w:lang w:val="en-US"/>
        </w:rPr>
        <w:t xml:space="preserve">This template is completed for a two-tier board </w:t>
      </w:r>
      <w:proofErr w:type="spellStart"/>
      <w:r>
        <w:rPr>
          <w:rFonts w:asciiTheme="majorHAnsi" w:hAnsiTheme="majorHAnsi"/>
          <w:sz w:val="16"/>
          <w:szCs w:val="16"/>
          <w:lang w:val="en-US"/>
        </w:rPr>
        <w:t>construction</w:t>
      </w:r>
      <w:proofErr w:type="gramStart"/>
      <w:r>
        <w:rPr>
          <w:rFonts w:asciiTheme="majorHAnsi" w:hAnsiTheme="majorHAnsi"/>
          <w:sz w:val="16"/>
          <w:szCs w:val="16"/>
          <w:lang w:val="en-US"/>
        </w:rPr>
        <w:t>,l</w:t>
      </w:r>
      <w:proofErr w:type="spellEnd"/>
      <w:proofErr w:type="gramEnd"/>
      <w:r>
        <w:rPr>
          <w:rFonts w:asciiTheme="majorHAnsi" w:hAnsiTheme="majorHAnsi"/>
          <w:sz w:val="16"/>
          <w:szCs w:val="16"/>
          <w:lang w:val="en-US"/>
        </w:rPr>
        <w:t xml:space="preserve"> introducing a supervisory board. Large parts of the text inserted in the template will also be relevant for a membership structure, a delegates structure, a permanent CCWG or any other stakeholders’ representing structure that can overrule the ICANN board on certain matters.</w:t>
      </w:r>
    </w:p>
    <w:p w:rsidR="00AE5741" w:rsidRPr="005325F1" w:rsidRDefault="00AE5741" w:rsidP="00AE5741">
      <w:pPr>
        <w:pStyle w:val="FootnoteText"/>
        <w:numPr>
          <w:ilvl w:val="0"/>
          <w:numId w:val="7"/>
        </w:numPr>
        <w:rPr>
          <w:rFonts w:asciiTheme="majorHAnsi" w:hAnsiTheme="majorHAnsi"/>
          <w:sz w:val="16"/>
          <w:szCs w:val="16"/>
          <w:lang w:val="en-US"/>
        </w:rPr>
      </w:pPr>
      <w:r>
        <w:rPr>
          <w:rFonts w:asciiTheme="majorHAnsi" w:hAnsiTheme="majorHAnsi"/>
          <w:sz w:val="16"/>
          <w:szCs w:val="16"/>
          <w:lang w:val="en-US"/>
        </w:rPr>
        <w:t>Recalling the board or part thereof: r</w:t>
      </w:r>
      <w:r w:rsidRPr="005325F1">
        <w:rPr>
          <w:rFonts w:asciiTheme="majorHAnsi" w:hAnsiTheme="majorHAnsi"/>
          <w:sz w:val="16"/>
          <w:szCs w:val="16"/>
          <w:lang w:val="en-US"/>
        </w:rPr>
        <w:t xml:space="preserve">ecalling individual board members or a group is probably not a good idea. Individual members might feel themselves a target and be afraid to take a position that differs from the majority, one </w:t>
      </w:r>
      <w:proofErr w:type="gramStart"/>
      <w:r w:rsidRPr="005325F1">
        <w:rPr>
          <w:rFonts w:asciiTheme="majorHAnsi" w:hAnsiTheme="majorHAnsi"/>
          <w:sz w:val="16"/>
          <w:szCs w:val="16"/>
          <w:lang w:val="en-US"/>
        </w:rPr>
        <w:t>risks</w:t>
      </w:r>
      <w:proofErr w:type="gramEnd"/>
      <w:r w:rsidRPr="005325F1">
        <w:rPr>
          <w:rFonts w:asciiTheme="majorHAnsi" w:hAnsiTheme="majorHAnsi"/>
          <w:sz w:val="16"/>
          <w:szCs w:val="16"/>
          <w:lang w:val="en-US"/>
        </w:rPr>
        <w:t xml:space="preserve"> stimulating the board members to be risk averse. Recalling the whole board and reappointing members that are not to blame for the recall, is probably better</w:t>
      </w:r>
    </w:p>
    <w:p w:rsidR="00AE5741" w:rsidRPr="00483003" w:rsidRDefault="00AE5741" w:rsidP="00AE5741">
      <w:pPr>
        <w:pStyle w:val="FootnoteText"/>
        <w:numPr>
          <w:ilvl w:val="0"/>
          <w:numId w:val="7"/>
        </w:numPr>
        <w:rPr>
          <w:rFonts w:asciiTheme="majorHAnsi" w:hAnsiTheme="majorHAnsi"/>
          <w:sz w:val="16"/>
          <w:szCs w:val="16"/>
          <w:lang w:val="en-US"/>
        </w:rPr>
      </w:pPr>
      <w:r>
        <w:rPr>
          <w:rFonts w:asciiTheme="majorHAnsi" w:hAnsiTheme="majorHAnsi"/>
          <w:sz w:val="16"/>
          <w:szCs w:val="16"/>
          <w:lang w:val="en-US"/>
        </w:rPr>
        <w:t>The “nuclear option”: m</w:t>
      </w:r>
      <w:r w:rsidRPr="00483003">
        <w:rPr>
          <w:rFonts w:asciiTheme="majorHAnsi" w:hAnsiTheme="majorHAnsi"/>
          <w:sz w:val="16"/>
          <w:szCs w:val="16"/>
          <w:lang w:val="en-US"/>
        </w:rPr>
        <w:t xml:space="preserve">ore and more I </w:t>
      </w:r>
      <w:r>
        <w:rPr>
          <w:rFonts w:asciiTheme="majorHAnsi" w:hAnsiTheme="majorHAnsi"/>
          <w:sz w:val="16"/>
          <w:szCs w:val="16"/>
          <w:lang w:val="en-US"/>
        </w:rPr>
        <w:t>doubt</w:t>
      </w:r>
      <w:r w:rsidRPr="00483003">
        <w:rPr>
          <w:rFonts w:asciiTheme="majorHAnsi" w:hAnsiTheme="majorHAnsi"/>
          <w:sz w:val="16"/>
          <w:szCs w:val="16"/>
          <w:lang w:val="en-US"/>
        </w:rPr>
        <w:t xml:space="preserve"> if this is necessary and if it is workable. If the board can be recalled and is, the impact of that is comparable with transferring IANA: it is now possible to change everything that is not working. Transferring only IANA functions might have (very) limited impact if the policy role remains with ICANN and the output of that policy role is still inputted in the IANA function. Moreover, if ever ICANN performs so badly that even replacing the board doesn’t help, it is extremely likely that it is not the IANA that is not working well, but the policy function</w:t>
      </w:r>
      <w:r>
        <w:rPr>
          <w:rFonts w:asciiTheme="majorHAnsi" w:hAnsiTheme="majorHAnsi"/>
          <w:sz w:val="16"/>
          <w:szCs w:val="16"/>
          <w:lang w:val="en-US"/>
        </w:rPr>
        <w:t xml:space="preserve">. So, the “nuclear option” might very well be exactly that and leave no winners, but only losers. When considering this, we should bear in mind that presently, the NTIA can transfer the IANA functions. It cannot recall the board. If it could choose between the two, I suspect it would choose for the power to recall the </w:t>
      </w:r>
      <w:proofErr w:type="gramStart"/>
      <w:r>
        <w:rPr>
          <w:rFonts w:asciiTheme="majorHAnsi" w:hAnsiTheme="majorHAnsi"/>
          <w:sz w:val="16"/>
          <w:szCs w:val="16"/>
          <w:lang w:val="en-US"/>
        </w:rPr>
        <w:t>board</w:t>
      </w:r>
      <w:proofErr w:type="gramEnd"/>
      <w:r>
        <w:rPr>
          <w:rFonts w:asciiTheme="majorHAnsi" w:hAnsiTheme="majorHAnsi"/>
          <w:sz w:val="16"/>
          <w:szCs w:val="16"/>
          <w:lang w:val="en-US"/>
        </w:rPr>
        <w:t xml:space="preserve"> as it is both executable and effective. Transferring the IANA functions is neither. It took 16 years to build ICANN into what it presently is, how long would it take us to build a trusted, better, more accountable, more transparent alternative?  </w:t>
      </w:r>
    </w:p>
    <w:p w:rsidR="00AE5741" w:rsidRDefault="00AE5741">
      <w:pPr>
        <w:rPr>
          <w:lang w:val="en-US"/>
        </w:rPr>
      </w:pPr>
    </w:p>
    <w:p w:rsidR="008A43B3" w:rsidRDefault="008A43B3">
      <w:pPr>
        <w:rPr>
          <w:lang w:val="en-US"/>
        </w:rPr>
      </w:pPr>
    </w:p>
    <w:p w:rsidR="008A43B3" w:rsidRDefault="008A43B3">
      <w:pPr>
        <w:rPr>
          <w:lang w:val="en-US"/>
        </w:rPr>
      </w:pPr>
      <w:r>
        <w:rPr>
          <w:lang w:val="en-US"/>
        </w:rPr>
        <w:t>Roelof Meijer</w:t>
      </w:r>
      <w:bookmarkStart w:id="0" w:name="_GoBack"/>
      <w:bookmarkEnd w:id="0"/>
    </w:p>
    <w:p w:rsidR="00AE5741" w:rsidRPr="00E63976" w:rsidRDefault="00AE5741">
      <w:pPr>
        <w:rPr>
          <w:lang w:val="en-US"/>
        </w:rPr>
      </w:pPr>
    </w:p>
    <w:sectPr w:rsidR="00AE5741" w:rsidRPr="00E639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41" w:rsidRDefault="00AE5741" w:rsidP="00E63976">
      <w:pPr>
        <w:spacing w:after="0" w:line="240" w:lineRule="auto"/>
      </w:pPr>
      <w:r>
        <w:separator/>
      </w:r>
    </w:p>
  </w:endnote>
  <w:endnote w:type="continuationSeparator" w:id="0">
    <w:p w:rsidR="00AE5741" w:rsidRDefault="00AE5741" w:rsidP="00E6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41" w:rsidRDefault="00AE5741" w:rsidP="00E63976">
      <w:pPr>
        <w:spacing w:after="0" w:line="240" w:lineRule="auto"/>
      </w:pPr>
      <w:r>
        <w:separator/>
      </w:r>
    </w:p>
  </w:footnote>
  <w:footnote w:type="continuationSeparator" w:id="0">
    <w:p w:rsidR="00AE5741" w:rsidRDefault="00AE5741" w:rsidP="00E639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41" w:rsidRDefault="00AE5741">
    <w:pPr>
      <w:pStyle w:val="Header"/>
    </w:pPr>
    <w:r>
      <w:t xml:space="preserve">CCWG </w:t>
    </w:r>
    <w:proofErr w:type="spellStart"/>
    <w:r>
      <w:t>Accountability</w:t>
    </w:r>
    <w:proofErr w:type="spellEnd"/>
    <w:r>
      <w:ptab w:relativeTo="margin" w:alignment="center" w:leader="none"/>
    </w:r>
    <w:r w:rsidRPr="00E63976">
      <w:rPr>
        <w:noProof/>
        <w:lang w:val="en-US"/>
      </w:rPr>
      <w:drawing>
        <wp:inline distT="0" distB="0" distL="0" distR="0" wp14:anchorId="6A89661B" wp14:editId="341F11D8">
          <wp:extent cx="1983584" cy="511202"/>
          <wp:effectExtent l="0" t="0" r="0" b="3175"/>
          <wp:docPr id="6" name="Picture 7" descr="CCWG_Mechanism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CCWG_Mechanisms_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3997" cy="511308"/>
                  </a:xfrm>
                  <a:prstGeom prst="rect">
                    <a:avLst/>
                  </a:prstGeom>
                </pic:spPr>
              </pic:pic>
            </a:graphicData>
          </a:graphic>
        </wp:inline>
      </w:drawing>
    </w:r>
    <w:r>
      <w:tab/>
      <w:t>Template</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77B"/>
    <w:multiLevelType w:val="hybridMultilevel"/>
    <w:tmpl w:val="6E2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0052F"/>
    <w:multiLevelType w:val="hybridMultilevel"/>
    <w:tmpl w:val="795A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53B21"/>
    <w:multiLevelType w:val="hybridMultilevel"/>
    <w:tmpl w:val="DDC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E791E"/>
    <w:multiLevelType w:val="hybridMultilevel"/>
    <w:tmpl w:val="9C5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60E5E"/>
    <w:multiLevelType w:val="hybridMultilevel"/>
    <w:tmpl w:val="AE82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F5FAF"/>
    <w:multiLevelType w:val="hybridMultilevel"/>
    <w:tmpl w:val="006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76"/>
    <w:rsid w:val="001A7717"/>
    <w:rsid w:val="001F349B"/>
    <w:rsid w:val="002B26C9"/>
    <w:rsid w:val="00385CA1"/>
    <w:rsid w:val="004C5CF7"/>
    <w:rsid w:val="00594235"/>
    <w:rsid w:val="008A43B3"/>
    <w:rsid w:val="008D7ECB"/>
    <w:rsid w:val="009702A5"/>
    <w:rsid w:val="00AE5741"/>
    <w:rsid w:val="00BC5DB5"/>
    <w:rsid w:val="00C61C7D"/>
    <w:rsid w:val="00C76967"/>
    <w:rsid w:val="00CC3EE8"/>
    <w:rsid w:val="00E26A50"/>
    <w:rsid w:val="00E63976"/>
    <w:rsid w:val="00E835BA"/>
    <w:rsid w:val="00E91F48"/>
    <w:rsid w:val="00EC4091"/>
    <w:rsid w:val="00F224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299">
      <w:bodyDiv w:val="1"/>
      <w:marLeft w:val="0"/>
      <w:marRight w:val="0"/>
      <w:marTop w:val="0"/>
      <w:marBottom w:val="0"/>
      <w:divBdr>
        <w:top w:val="none" w:sz="0" w:space="0" w:color="auto"/>
        <w:left w:val="none" w:sz="0" w:space="0" w:color="auto"/>
        <w:bottom w:val="none" w:sz="0" w:space="0" w:color="auto"/>
        <w:right w:val="none" w:sz="0" w:space="0" w:color="auto"/>
      </w:divBdr>
      <w:divsChild>
        <w:div w:id="698973666">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6372</Characters>
  <Application>Microsoft Macintosh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Roelof Meijer</cp:lastModifiedBy>
  <cp:revision>2</cp:revision>
  <dcterms:created xsi:type="dcterms:W3CDTF">2015-02-23T16:46:00Z</dcterms:created>
  <dcterms:modified xsi:type="dcterms:W3CDTF">2015-02-23T16:46:00Z</dcterms:modified>
</cp:coreProperties>
</file>