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3881B7" w14:textId="77777777" w:rsidR="00E63976" w:rsidRPr="00865351" w:rsidRDefault="00460DE3">
      <w:pPr>
        <w:rPr>
          <w:lang w:val="en-GB"/>
        </w:rPr>
      </w:pPr>
      <w:r>
        <w:rPr>
          <w:lang w:val="en-GB"/>
        </w:rPr>
        <w:t>Draft 1: Jordan Carter</w:t>
      </w:r>
      <w:r w:rsidR="005A283A">
        <w:rPr>
          <w:lang w:val="en-GB"/>
        </w:rPr>
        <w:t>. Circulated 1 March 2015 at 024</w:t>
      </w:r>
      <w:r>
        <w:rPr>
          <w:lang w:val="en-GB"/>
        </w:rPr>
        <w:t>0 UTC.</w:t>
      </w:r>
    </w:p>
    <w:tbl>
      <w:tblPr>
        <w:tblStyle w:val="Tabel-Gitter"/>
        <w:tblW w:w="0" w:type="auto"/>
        <w:tblLook w:val="04A0" w:firstRow="1" w:lastRow="0" w:firstColumn="1" w:lastColumn="0" w:noHBand="0" w:noVBand="1"/>
      </w:tblPr>
      <w:tblGrid>
        <w:gridCol w:w="1696"/>
        <w:gridCol w:w="1800"/>
        <w:gridCol w:w="5792"/>
      </w:tblGrid>
      <w:tr w:rsidR="00C76967" w:rsidRPr="00865351" w14:paraId="4776AA76" w14:textId="77777777" w:rsidTr="00C76967">
        <w:tc>
          <w:tcPr>
            <w:tcW w:w="1659" w:type="dxa"/>
            <w:vMerge w:val="restart"/>
            <w:vAlign w:val="center"/>
          </w:tcPr>
          <w:p w14:paraId="71D530CE" w14:textId="77777777" w:rsidR="00C76967" w:rsidRPr="00865351" w:rsidRDefault="00C76967" w:rsidP="00C76967">
            <w:pPr>
              <w:jc w:val="center"/>
              <w:rPr>
                <w:b/>
                <w:lang w:val="en-GB"/>
              </w:rPr>
            </w:pPr>
            <w:r w:rsidRPr="00865351">
              <w:rPr>
                <w:b/>
                <w:lang w:val="en-GB"/>
              </w:rPr>
              <w:t>Description</w:t>
            </w:r>
          </w:p>
        </w:tc>
        <w:tc>
          <w:tcPr>
            <w:tcW w:w="1803" w:type="dxa"/>
          </w:tcPr>
          <w:p w14:paraId="1ABE3B43" w14:textId="77777777" w:rsidR="00C76967" w:rsidRPr="00865351" w:rsidRDefault="00C76967" w:rsidP="00E63976">
            <w:pPr>
              <w:jc w:val="center"/>
              <w:rPr>
                <w:lang w:val="en-GB"/>
              </w:rPr>
            </w:pPr>
            <w:r w:rsidRPr="00865351">
              <w:rPr>
                <w:lang w:val="en-GB"/>
              </w:rPr>
              <w:t>Name of Mechanism</w:t>
            </w:r>
          </w:p>
        </w:tc>
        <w:tc>
          <w:tcPr>
            <w:tcW w:w="5826" w:type="dxa"/>
          </w:tcPr>
          <w:p w14:paraId="0EF42686" w14:textId="77777777" w:rsidR="00C76967" w:rsidRPr="00865351" w:rsidRDefault="00125D61" w:rsidP="00566F9E">
            <w:pPr>
              <w:jc w:val="center"/>
              <w:rPr>
                <w:lang w:val="en-GB"/>
              </w:rPr>
            </w:pPr>
            <w:r>
              <w:rPr>
                <w:lang w:val="en-GB"/>
              </w:rPr>
              <w:t xml:space="preserve">Specification of </w:t>
            </w:r>
            <w:r w:rsidR="00566F9E">
              <w:rPr>
                <w:lang w:val="en-GB"/>
              </w:rPr>
              <w:t>consensus threshold for ICANN</w:t>
            </w:r>
            <w:r w:rsidR="00460DE3">
              <w:rPr>
                <w:lang w:val="en-GB"/>
              </w:rPr>
              <w:t>’s</w:t>
            </w:r>
            <w:r w:rsidR="00566F9E">
              <w:rPr>
                <w:lang w:val="en-GB"/>
              </w:rPr>
              <w:t xml:space="preserve"> “due” consideration of </w:t>
            </w:r>
            <w:r>
              <w:rPr>
                <w:lang w:val="en-GB"/>
              </w:rPr>
              <w:t xml:space="preserve">GAC </w:t>
            </w:r>
            <w:r w:rsidR="00566F9E">
              <w:rPr>
                <w:lang w:val="en-GB"/>
              </w:rPr>
              <w:t>Advice</w:t>
            </w:r>
            <w:r>
              <w:rPr>
                <w:lang w:val="en-GB"/>
              </w:rPr>
              <w:t xml:space="preserve"> </w:t>
            </w:r>
          </w:p>
        </w:tc>
      </w:tr>
      <w:tr w:rsidR="00C76967" w:rsidRPr="00865351" w14:paraId="3E67875B" w14:textId="77777777" w:rsidTr="00C76967">
        <w:tc>
          <w:tcPr>
            <w:tcW w:w="1659" w:type="dxa"/>
            <w:vMerge/>
            <w:vAlign w:val="center"/>
          </w:tcPr>
          <w:p w14:paraId="2E764B28" w14:textId="77777777" w:rsidR="00C76967" w:rsidRPr="00865351" w:rsidRDefault="00C76967" w:rsidP="00C76967">
            <w:pPr>
              <w:jc w:val="center"/>
              <w:rPr>
                <w:b/>
                <w:lang w:val="en-GB"/>
              </w:rPr>
            </w:pPr>
          </w:p>
        </w:tc>
        <w:tc>
          <w:tcPr>
            <w:tcW w:w="1803" w:type="dxa"/>
          </w:tcPr>
          <w:p w14:paraId="0B2E12A7" w14:textId="77777777" w:rsidR="00C76967" w:rsidRPr="00865351" w:rsidRDefault="00C76967" w:rsidP="00E63976">
            <w:pPr>
              <w:jc w:val="center"/>
              <w:rPr>
                <w:lang w:val="en-GB"/>
              </w:rPr>
            </w:pPr>
            <w:r w:rsidRPr="00865351">
              <w:rPr>
                <w:lang w:val="en-GB"/>
              </w:rPr>
              <w:t>Description</w:t>
            </w:r>
          </w:p>
        </w:tc>
        <w:tc>
          <w:tcPr>
            <w:tcW w:w="5826" w:type="dxa"/>
          </w:tcPr>
          <w:p w14:paraId="018E5156" w14:textId="77777777" w:rsidR="00566F9E" w:rsidRDefault="00125D61" w:rsidP="00594235">
            <w:pPr>
              <w:rPr>
                <w:rFonts w:ascii="Calibri" w:hAnsi="Calibri" w:cs="Times New Roman"/>
                <w:color w:val="262626"/>
                <w:sz w:val="23"/>
                <w:szCs w:val="23"/>
                <w:lang w:val="en-GB"/>
              </w:rPr>
            </w:pPr>
            <w:r>
              <w:rPr>
                <w:rFonts w:ascii="Calibri" w:hAnsi="Calibri" w:cs="Times New Roman"/>
                <w:color w:val="262626"/>
                <w:sz w:val="23"/>
                <w:szCs w:val="23"/>
                <w:lang w:val="en-GB"/>
              </w:rPr>
              <w:t xml:space="preserve">ICANN bylaws require ICANN to </w:t>
            </w:r>
            <w:r w:rsidR="00566F9E">
              <w:rPr>
                <w:rFonts w:ascii="Calibri" w:hAnsi="Calibri" w:cs="Times New Roman"/>
                <w:color w:val="262626"/>
                <w:sz w:val="23"/>
                <w:szCs w:val="23"/>
                <w:lang w:val="en-GB"/>
              </w:rPr>
              <w:t xml:space="preserve">“duly” </w:t>
            </w:r>
            <w:r>
              <w:rPr>
                <w:rFonts w:ascii="Calibri" w:hAnsi="Calibri" w:cs="Times New Roman"/>
                <w:color w:val="262626"/>
                <w:sz w:val="23"/>
                <w:szCs w:val="23"/>
                <w:lang w:val="en-GB"/>
              </w:rPr>
              <w:t xml:space="preserve">take GAC advice into account. </w:t>
            </w:r>
            <w:r w:rsidR="00566F9E">
              <w:rPr>
                <w:rFonts w:ascii="Calibri" w:hAnsi="Calibri" w:cs="Times New Roman"/>
                <w:color w:val="262626"/>
                <w:sz w:val="23"/>
                <w:szCs w:val="23"/>
                <w:lang w:val="en-GB"/>
              </w:rPr>
              <w:t>If the Board does not follow GAC advice there is a process required to try and come to agreement.</w:t>
            </w:r>
          </w:p>
          <w:p w14:paraId="4BD2FA5A" w14:textId="77777777" w:rsidR="00566F9E" w:rsidRDefault="00566F9E" w:rsidP="00594235">
            <w:pPr>
              <w:rPr>
                <w:rFonts w:ascii="Calibri" w:hAnsi="Calibri" w:cs="Times New Roman"/>
                <w:color w:val="262626"/>
                <w:sz w:val="23"/>
                <w:szCs w:val="23"/>
                <w:lang w:val="en-GB"/>
              </w:rPr>
            </w:pPr>
          </w:p>
          <w:p w14:paraId="77DB2BAE" w14:textId="77777777" w:rsidR="00125D61" w:rsidRDefault="00125D61" w:rsidP="00594235">
            <w:pPr>
              <w:rPr>
                <w:rFonts w:ascii="Calibri" w:hAnsi="Calibri" w:cs="Times New Roman"/>
                <w:color w:val="262626"/>
                <w:sz w:val="23"/>
                <w:szCs w:val="23"/>
                <w:lang w:val="en-GB"/>
              </w:rPr>
            </w:pPr>
            <w:r>
              <w:rPr>
                <w:rFonts w:ascii="Calibri" w:hAnsi="Calibri" w:cs="Times New Roman"/>
                <w:color w:val="262626"/>
                <w:sz w:val="23"/>
                <w:szCs w:val="23"/>
                <w:lang w:val="en-GB"/>
              </w:rPr>
              <w:t xml:space="preserve">Today such </w:t>
            </w:r>
            <w:r w:rsidR="00566F9E">
              <w:rPr>
                <w:rFonts w:ascii="Calibri" w:hAnsi="Calibri" w:cs="Times New Roman"/>
                <w:color w:val="262626"/>
                <w:sz w:val="23"/>
                <w:szCs w:val="23"/>
                <w:lang w:val="en-GB"/>
              </w:rPr>
              <w:t xml:space="preserve">GAC </w:t>
            </w:r>
            <w:r>
              <w:rPr>
                <w:rFonts w:ascii="Calibri" w:hAnsi="Calibri" w:cs="Times New Roman"/>
                <w:color w:val="262626"/>
                <w:sz w:val="23"/>
                <w:szCs w:val="23"/>
                <w:lang w:val="en-GB"/>
              </w:rPr>
              <w:t>advice is decided by consensus</w:t>
            </w:r>
            <w:r w:rsidR="00460DE3">
              <w:rPr>
                <w:rFonts w:ascii="Calibri" w:hAnsi="Calibri" w:cs="Times New Roman"/>
                <w:color w:val="262626"/>
                <w:sz w:val="23"/>
                <w:szCs w:val="23"/>
                <w:lang w:val="en-GB"/>
              </w:rPr>
              <w:t>, as regulated by GAC’s Operating P</w:t>
            </w:r>
            <w:r w:rsidR="00566F9E">
              <w:rPr>
                <w:rFonts w:ascii="Calibri" w:hAnsi="Calibri" w:cs="Times New Roman"/>
                <w:color w:val="262626"/>
                <w:sz w:val="23"/>
                <w:szCs w:val="23"/>
                <w:lang w:val="en-GB"/>
              </w:rPr>
              <w:t>rinciples</w:t>
            </w:r>
            <w:r>
              <w:rPr>
                <w:rFonts w:ascii="Calibri" w:hAnsi="Calibri" w:cs="Times New Roman"/>
                <w:color w:val="262626"/>
                <w:sz w:val="23"/>
                <w:szCs w:val="23"/>
                <w:lang w:val="en-GB"/>
              </w:rPr>
              <w:t xml:space="preserve">. </w:t>
            </w:r>
          </w:p>
          <w:p w14:paraId="2E27A77A" w14:textId="77777777" w:rsidR="00125D61" w:rsidRDefault="00125D61" w:rsidP="00594235">
            <w:pPr>
              <w:rPr>
                <w:rFonts w:ascii="Calibri" w:hAnsi="Calibri" w:cs="Times New Roman"/>
                <w:color w:val="262626"/>
                <w:sz w:val="23"/>
                <w:szCs w:val="23"/>
                <w:lang w:val="en-GB"/>
              </w:rPr>
            </w:pPr>
          </w:p>
          <w:p w14:paraId="4250B123" w14:textId="77777777" w:rsidR="00125D61" w:rsidRDefault="00566F9E" w:rsidP="00594235">
            <w:pPr>
              <w:rPr>
                <w:rFonts w:ascii="Calibri" w:hAnsi="Calibri" w:cs="Times New Roman"/>
                <w:color w:val="262626"/>
                <w:sz w:val="23"/>
                <w:szCs w:val="23"/>
                <w:lang w:val="en-GB"/>
              </w:rPr>
            </w:pPr>
            <w:r>
              <w:rPr>
                <w:rFonts w:ascii="Calibri" w:hAnsi="Calibri" w:cs="Times New Roman"/>
                <w:color w:val="262626"/>
                <w:sz w:val="23"/>
                <w:szCs w:val="23"/>
                <w:lang w:val="en-GB"/>
              </w:rPr>
              <w:t xml:space="preserve">The </w:t>
            </w:r>
            <w:r w:rsidR="00125D61">
              <w:rPr>
                <w:rFonts w:ascii="Calibri" w:hAnsi="Calibri" w:cs="Times New Roman"/>
                <w:color w:val="262626"/>
                <w:sz w:val="23"/>
                <w:szCs w:val="23"/>
                <w:lang w:val="en-GB"/>
              </w:rPr>
              <w:t xml:space="preserve">GAC </w:t>
            </w:r>
            <w:r>
              <w:rPr>
                <w:rFonts w:ascii="Calibri" w:hAnsi="Calibri" w:cs="Times New Roman"/>
                <w:color w:val="262626"/>
                <w:sz w:val="23"/>
                <w:szCs w:val="23"/>
                <w:lang w:val="en-GB"/>
              </w:rPr>
              <w:t>could at any time decide to change</w:t>
            </w:r>
            <w:r w:rsidR="00125D61">
              <w:rPr>
                <w:rFonts w:ascii="Calibri" w:hAnsi="Calibri" w:cs="Times New Roman"/>
                <w:color w:val="262626"/>
                <w:sz w:val="23"/>
                <w:szCs w:val="23"/>
                <w:lang w:val="en-GB"/>
              </w:rPr>
              <w:t xml:space="preserve"> its </w:t>
            </w:r>
            <w:r w:rsidR="00460DE3">
              <w:rPr>
                <w:rFonts w:ascii="Calibri" w:hAnsi="Calibri" w:cs="Times New Roman"/>
                <w:color w:val="262626"/>
                <w:sz w:val="23"/>
                <w:szCs w:val="23"/>
                <w:lang w:val="en-GB"/>
              </w:rPr>
              <w:t>O</w:t>
            </w:r>
            <w:r w:rsidR="00125D61">
              <w:rPr>
                <w:rFonts w:ascii="Calibri" w:hAnsi="Calibri" w:cs="Times New Roman"/>
                <w:color w:val="262626"/>
                <w:sz w:val="23"/>
                <w:szCs w:val="23"/>
                <w:lang w:val="en-GB"/>
              </w:rPr>
              <w:t>perating</w:t>
            </w:r>
            <w:r w:rsidR="00460DE3">
              <w:rPr>
                <w:rFonts w:ascii="Calibri" w:hAnsi="Calibri" w:cs="Times New Roman"/>
                <w:color w:val="262626"/>
                <w:sz w:val="23"/>
                <w:szCs w:val="23"/>
                <w:lang w:val="en-GB"/>
              </w:rPr>
              <w:t xml:space="preserve"> P</w:t>
            </w:r>
            <w:r>
              <w:rPr>
                <w:rFonts w:ascii="Calibri" w:hAnsi="Calibri" w:cs="Times New Roman"/>
                <w:color w:val="262626"/>
                <w:sz w:val="23"/>
                <w:szCs w:val="23"/>
                <w:lang w:val="en-GB"/>
              </w:rPr>
              <w:t xml:space="preserve">rinciples to change the way advice is agreed. </w:t>
            </w:r>
            <w:r w:rsidR="00125D61">
              <w:rPr>
                <w:rFonts w:ascii="Calibri" w:hAnsi="Calibri" w:cs="Times New Roman"/>
                <w:color w:val="262626"/>
                <w:sz w:val="23"/>
                <w:szCs w:val="23"/>
                <w:lang w:val="en-GB"/>
              </w:rPr>
              <w:t xml:space="preserve"> Such a change </w:t>
            </w:r>
            <w:r>
              <w:rPr>
                <w:rFonts w:ascii="Calibri" w:hAnsi="Calibri" w:cs="Times New Roman"/>
                <w:color w:val="262626"/>
                <w:sz w:val="23"/>
                <w:szCs w:val="23"/>
                <w:lang w:val="en-GB"/>
              </w:rPr>
              <w:t>would</w:t>
            </w:r>
            <w:r w:rsidR="00125D61">
              <w:rPr>
                <w:rFonts w:ascii="Calibri" w:hAnsi="Calibri" w:cs="Times New Roman"/>
                <w:color w:val="262626"/>
                <w:sz w:val="23"/>
                <w:szCs w:val="23"/>
                <w:lang w:val="en-GB"/>
              </w:rPr>
              <w:t xml:space="preserve"> change (increase or decrease) governmental influence in ICANN</w:t>
            </w:r>
            <w:r>
              <w:rPr>
                <w:rFonts w:ascii="Calibri" w:hAnsi="Calibri" w:cs="Times New Roman"/>
                <w:color w:val="262626"/>
                <w:sz w:val="23"/>
                <w:szCs w:val="23"/>
                <w:lang w:val="en-GB"/>
              </w:rPr>
              <w:t>, because it would change the likelihood of GAC providing advice</w:t>
            </w:r>
            <w:r w:rsidR="00125D61">
              <w:rPr>
                <w:rFonts w:ascii="Calibri" w:hAnsi="Calibri" w:cs="Times New Roman"/>
                <w:color w:val="262626"/>
                <w:sz w:val="23"/>
                <w:szCs w:val="23"/>
                <w:lang w:val="en-GB"/>
              </w:rPr>
              <w:t xml:space="preserve">. </w:t>
            </w:r>
          </w:p>
          <w:p w14:paraId="2CA85FF0" w14:textId="77777777" w:rsidR="00125D61" w:rsidRDefault="00125D61" w:rsidP="00594235">
            <w:pPr>
              <w:rPr>
                <w:rFonts w:ascii="Calibri" w:hAnsi="Calibri" w:cs="Times New Roman"/>
                <w:color w:val="262626"/>
                <w:sz w:val="23"/>
                <w:szCs w:val="23"/>
                <w:lang w:val="en-GB"/>
              </w:rPr>
            </w:pPr>
          </w:p>
          <w:p w14:paraId="527533F5" w14:textId="77777777" w:rsidR="00566F9E" w:rsidRDefault="00566F9E" w:rsidP="00594235">
            <w:pPr>
              <w:rPr>
                <w:rFonts w:ascii="Calibri" w:hAnsi="Calibri" w:cs="Times New Roman"/>
                <w:color w:val="262626"/>
                <w:sz w:val="23"/>
                <w:szCs w:val="23"/>
                <w:lang w:val="en-GB"/>
              </w:rPr>
            </w:pPr>
            <w:r>
              <w:rPr>
                <w:rFonts w:ascii="Calibri" w:hAnsi="Calibri" w:cs="Times New Roman"/>
                <w:color w:val="262626"/>
                <w:sz w:val="23"/>
                <w:szCs w:val="23"/>
                <w:lang w:val="en-GB"/>
              </w:rPr>
              <w:t>This mechanism would involve changing the ICANN bylaws to specify that the current “consensus”</w:t>
            </w:r>
            <w:r w:rsidR="00125D61">
              <w:rPr>
                <w:rFonts w:ascii="Calibri" w:hAnsi="Calibri" w:cs="Times New Roman"/>
                <w:color w:val="262626"/>
                <w:sz w:val="23"/>
                <w:szCs w:val="23"/>
                <w:lang w:val="en-GB"/>
              </w:rPr>
              <w:t xml:space="preserve"> threshold</w:t>
            </w:r>
            <w:r>
              <w:rPr>
                <w:rFonts w:ascii="Calibri" w:hAnsi="Calibri" w:cs="Times New Roman"/>
                <w:color w:val="262626"/>
                <w:sz w:val="23"/>
                <w:szCs w:val="23"/>
                <w:lang w:val="en-GB"/>
              </w:rPr>
              <w:t xml:space="preserve"> would be the threshold</w:t>
            </w:r>
            <w:r w:rsidR="00125D61">
              <w:rPr>
                <w:rFonts w:ascii="Calibri" w:hAnsi="Calibri" w:cs="Times New Roman"/>
                <w:color w:val="262626"/>
                <w:sz w:val="23"/>
                <w:szCs w:val="23"/>
                <w:lang w:val="en-GB"/>
              </w:rPr>
              <w:t xml:space="preserve"> at which ICANN must “duly” take GAC advice into account. </w:t>
            </w:r>
          </w:p>
          <w:p w14:paraId="75571990" w14:textId="77777777" w:rsidR="00125D61" w:rsidRDefault="00125D61" w:rsidP="00594235">
            <w:pPr>
              <w:rPr>
                <w:rFonts w:ascii="Calibri" w:hAnsi="Calibri" w:cs="Times New Roman"/>
                <w:color w:val="262626"/>
                <w:sz w:val="23"/>
                <w:szCs w:val="23"/>
                <w:lang w:val="en-GB"/>
              </w:rPr>
            </w:pPr>
          </w:p>
          <w:p w14:paraId="297CA82B" w14:textId="77777777" w:rsidR="00594235" w:rsidRPr="00865351" w:rsidRDefault="00125D61" w:rsidP="00594235">
            <w:pPr>
              <w:rPr>
                <w:rFonts w:ascii="Calibri" w:hAnsi="Calibri" w:cs="Times New Roman"/>
                <w:color w:val="262626"/>
                <w:sz w:val="23"/>
                <w:szCs w:val="23"/>
                <w:lang w:val="en-GB"/>
              </w:rPr>
            </w:pPr>
            <w:r>
              <w:rPr>
                <w:rFonts w:ascii="Calibri" w:hAnsi="Calibri" w:cs="Times New Roman"/>
                <w:color w:val="262626"/>
                <w:sz w:val="23"/>
                <w:szCs w:val="23"/>
                <w:lang w:val="en-GB"/>
              </w:rPr>
              <w:t xml:space="preserve">There would be no impact or constraint on </w:t>
            </w:r>
            <w:r w:rsidR="005A283A">
              <w:rPr>
                <w:rFonts w:ascii="Calibri" w:hAnsi="Calibri" w:cs="Times New Roman"/>
                <w:color w:val="262626"/>
                <w:sz w:val="23"/>
                <w:szCs w:val="23"/>
                <w:lang w:val="en-GB"/>
              </w:rPr>
              <w:t>the GAC in determining its Operating P</w:t>
            </w:r>
            <w:r>
              <w:rPr>
                <w:rFonts w:ascii="Calibri" w:hAnsi="Calibri" w:cs="Times New Roman"/>
                <w:color w:val="262626"/>
                <w:sz w:val="23"/>
                <w:szCs w:val="23"/>
                <w:lang w:val="en-GB"/>
              </w:rPr>
              <w:t xml:space="preserve">rinciples or working methods. </w:t>
            </w:r>
          </w:p>
          <w:p w14:paraId="2E4C4107" w14:textId="77777777" w:rsidR="00C76967" w:rsidRPr="00865351" w:rsidRDefault="00C76967" w:rsidP="00E63976">
            <w:pPr>
              <w:jc w:val="center"/>
              <w:rPr>
                <w:lang w:val="en-GB"/>
              </w:rPr>
            </w:pPr>
          </w:p>
        </w:tc>
      </w:tr>
      <w:tr w:rsidR="00C76967" w:rsidRPr="00865351" w14:paraId="653F9643" w14:textId="77777777" w:rsidTr="00C76967">
        <w:tc>
          <w:tcPr>
            <w:tcW w:w="1659" w:type="dxa"/>
            <w:vMerge/>
            <w:vAlign w:val="center"/>
          </w:tcPr>
          <w:p w14:paraId="24C0716C" w14:textId="77777777" w:rsidR="00C76967" w:rsidRPr="00865351" w:rsidRDefault="00C76967" w:rsidP="00C76967">
            <w:pPr>
              <w:jc w:val="center"/>
              <w:rPr>
                <w:b/>
                <w:lang w:val="en-GB"/>
              </w:rPr>
            </w:pPr>
          </w:p>
        </w:tc>
        <w:tc>
          <w:tcPr>
            <w:tcW w:w="1803" w:type="dxa"/>
          </w:tcPr>
          <w:p w14:paraId="05CBFB07" w14:textId="77777777" w:rsidR="00C76967" w:rsidRPr="00865351" w:rsidRDefault="00C76967" w:rsidP="00E63976">
            <w:pPr>
              <w:jc w:val="center"/>
              <w:rPr>
                <w:lang w:val="en-GB"/>
              </w:rPr>
            </w:pPr>
            <w:r w:rsidRPr="00865351">
              <w:rPr>
                <w:lang w:val="en-GB"/>
              </w:rPr>
              <w:t>Category (check &amp; balance, review, redress)</w:t>
            </w:r>
          </w:p>
        </w:tc>
        <w:tc>
          <w:tcPr>
            <w:tcW w:w="5826" w:type="dxa"/>
          </w:tcPr>
          <w:p w14:paraId="7D69F742" w14:textId="77777777" w:rsidR="00C76967" w:rsidRPr="00865351" w:rsidRDefault="00566F9E" w:rsidP="002B26C9">
            <w:pPr>
              <w:rPr>
                <w:lang w:val="en-GB"/>
              </w:rPr>
            </w:pPr>
            <w:r>
              <w:rPr>
                <w:lang w:val="en-GB"/>
              </w:rPr>
              <w:t>Check and balance (?)</w:t>
            </w:r>
          </w:p>
        </w:tc>
      </w:tr>
      <w:tr w:rsidR="00E835BA" w:rsidRPr="00865351" w14:paraId="1A4CA858" w14:textId="77777777" w:rsidTr="00C76967">
        <w:tc>
          <w:tcPr>
            <w:tcW w:w="1659" w:type="dxa"/>
            <w:vMerge/>
            <w:vAlign w:val="center"/>
          </w:tcPr>
          <w:p w14:paraId="537468C6" w14:textId="77777777" w:rsidR="00E835BA" w:rsidRPr="00865351" w:rsidRDefault="00E835BA" w:rsidP="00C76967">
            <w:pPr>
              <w:jc w:val="center"/>
              <w:rPr>
                <w:b/>
                <w:lang w:val="en-GB"/>
              </w:rPr>
            </w:pPr>
          </w:p>
        </w:tc>
        <w:tc>
          <w:tcPr>
            <w:tcW w:w="1803" w:type="dxa"/>
          </w:tcPr>
          <w:p w14:paraId="33E44501" w14:textId="77777777" w:rsidR="00E835BA" w:rsidRPr="00865351" w:rsidRDefault="00E835BA" w:rsidP="00E63976">
            <w:pPr>
              <w:jc w:val="center"/>
              <w:rPr>
                <w:lang w:val="en-GB"/>
              </w:rPr>
            </w:pPr>
            <w:r w:rsidRPr="00865351">
              <w:rPr>
                <w:lang w:val="en-GB"/>
              </w:rPr>
              <w:t xml:space="preserve">Is the mechanism triggered or non </w:t>
            </w:r>
            <w:proofErr w:type="gramStart"/>
            <w:r w:rsidRPr="00865351">
              <w:rPr>
                <w:lang w:val="en-GB"/>
              </w:rPr>
              <w:t>triggered ?</w:t>
            </w:r>
            <w:proofErr w:type="gramEnd"/>
            <w:r w:rsidRPr="00865351">
              <w:rPr>
                <w:lang w:val="en-GB"/>
              </w:rPr>
              <w:t xml:space="preserve"> </w:t>
            </w:r>
          </w:p>
        </w:tc>
        <w:tc>
          <w:tcPr>
            <w:tcW w:w="5826" w:type="dxa"/>
          </w:tcPr>
          <w:p w14:paraId="5737FF5E" w14:textId="77777777" w:rsidR="00E835BA" w:rsidRPr="00865351" w:rsidRDefault="00566F9E" w:rsidP="00EC4091">
            <w:pPr>
              <w:rPr>
                <w:lang w:val="en-GB"/>
              </w:rPr>
            </w:pPr>
            <w:r>
              <w:rPr>
                <w:lang w:val="en-GB"/>
              </w:rPr>
              <w:t>Non-triggered – it would simply form part of the enduring framework for ICANN.</w:t>
            </w:r>
          </w:p>
        </w:tc>
      </w:tr>
      <w:tr w:rsidR="00C76967" w:rsidRPr="00865351" w14:paraId="5F2BDE69" w14:textId="77777777" w:rsidTr="00C76967">
        <w:tc>
          <w:tcPr>
            <w:tcW w:w="1659" w:type="dxa"/>
            <w:vMerge/>
            <w:vAlign w:val="center"/>
          </w:tcPr>
          <w:p w14:paraId="09E300BA" w14:textId="77777777" w:rsidR="00C76967" w:rsidRPr="00865351" w:rsidRDefault="00C76967" w:rsidP="00C76967">
            <w:pPr>
              <w:jc w:val="center"/>
              <w:rPr>
                <w:b/>
                <w:lang w:val="en-GB"/>
              </w:rPr>
            </w:pPr>
          </w:p>
        </w:tc>
        <w:tc>
          <w:tcPr>
            <w:tcW w:w="1803" w:type="dxa"/>
          </w:tcPr>
          <w:p w14:paraId="649FA15B" w14:textId="77777777" w:rsidR="00C76967" w:rsidRPr="00865351" w:rsidRDefault="00C76967" w:rsidP="00E63976">
            <w:pPr>
              <w:jc w:val="center"/>
              <w:rPr>
                <w:lang w:val="en-GB"/>
              </w:rPr>
            </w:pPr>
            <w:r w:rsidRPr="00865351">
              <w:rPr>
                <w:lang w:val="en-GB"/>
              </w:rPr>
              <w:t>Possible outcomes (approval, re-do, amendment of decision, etc.)</w:t>
            </w:r>
          </w:p>
        </w:tc>
        <w:tc>
          <w:tcPr>
            <w:tcW w:w="5826" w:type="dxa"/>
          </w:tcPr>
          <w:p w14:paraId="5AFE0C54" w14:textId="77777777" w:rsidR="00C76967" w:rsidRPr="00865351" w:rsidRDefault="00566F9E" w:rsidP="002B26C9">
            <w:pPr>
              <w:rPr>
                <w:lang w:val="en-GB"/>
              </w:rPr>
            </w:pPr>
            <w:r>
              <w:rPr>
                <w:lang w:val="en-GB"/>
              </w:rPr>
              <w:t>Specifies threshold at which ICANN deals with GAC advice under bylaw Article XI Section 2 clause 1j.</w:t>
            </w:r>
          </w:p>
        </w:tc>
      </w:tr>
      <w:tr w:rsidR="00C76967" w:rsidRPr="00865351" w14:paraId="709981FE" w14:textId="77777777" w:rsidTr="00C76967">
        <w:tc>
          <w:tcPr>
            <w:tcW w:w="1659" w:type="dxa"/>
            <w:vMerge w:val="restart"/>
            <w:vAlign w:val="center"/>
          </w:tcPr>
          <w:p w14:paraId="31005190" w14:textId="77777777" w:rsidR="00C76967" w:rsidRPr="00865351" w:rsidRDefault="00C76967" w:rsidP="00C76967">
            <w:pPr>
              <w:jc w:val="center"/>
              <w:rPr>
                <w:b/>
                <w:lang w:val="en-GB"/>
              </w:rPr>
            </w:pPr>
            <w:r w:rsidRPr="00865351">
              <w:rPr>
                <w:b/>
                <w:lang w:val="en-GB"/>
              </w:rPr>
              <w:t>Standing</w:t>
            </w:r>
          </w:p>
        </w:tc>
        <w:tc>
          <w:tcPr>
            <w:tcW w:w="1803" w:type="dxa"/>
          </w:tcPr>
          <w:p w14:paraId="7445DEF8" w14:textId="77777777" w:rsidR="00C76967" w:rsidRPr="00865351" w:rsidRDefault="00C76967" w:rsidP="00E63976">
            <w:pPr>
              <w:jc w:val="center"/>
              <w:rPr>
                <w:lang w:val="en-GB"/>
              </w:rPr>
            </w:pPr>
            <w:r w:rsidRPr="00865351">
              <w:rPr>
                <w:lang w:val="en-GB"/>
              </w:rPr>
              <w:t>Conditions of standing (</w:t>
            </w:r>
            <w:proofErr w:type="spellStart"/>
            <w:r w:rsidRPr="00865351">
              <w:rPr>
                <w:lang w:val="en-GB"/>
              </w:rPr>
              <w:t>ie</w:t>
            </w:r>
            <w:proofErr w:type="spellEnd"/>
            <w:r w:rsidRPr="00865351">
              <w:rPr>
                <w:lang w:val="en-GB"/>
              </w:rPr>
              <w:t xml:space="preserve"> « last resort », type of decision being challenged, …)</w:t>
            </w:r>
          </w:p>
        </w:tc>
        <w:tc>
          <w:tcPr>
            <w:tcW w:w="5826" w:type="dxa"/>
          </w:tcPr>
          <w:p w14:paraId="3787D23F" w14:textId="77777777" w:rsidR="00C76967" w:rsidRPr="00865351" w:rsidRDefault="00566F9E" w:rsidP="002B26C9">
            <w:pPr>
              <w:rPr>
                <w:lang w:val="en-GB"/>
              </w:rPr>
            </w:pPr>
            <w:r>
              <w:rPr>
                <w:lang w:val="en-GB"/>
              </w:rPr>
              <w:t>Not applicable.</w:t>
            </w:r>
          </w:p>
        </w:tc>
      </w:tr>
      <w:tr w:rsidR="00C76967" w:rsidRPr="00865351" w14:paraId="4F4E373B" w14:textId="77777777" w:rsidTr="00C76967">
        <w:tc>
          <w:tcPr>
            <w:tcW w:w="1659" w:type="dxa"/>
            <w:vMerge/>
            <w:vAlign w:val="center"/>
          </w:tcPr>
          <w:p w14:paraId="4C1CD593" w14:textId="77777777" w:rsidR="00C76967" w:rsidRPr="00865351" w:rsidRDefault="00C76967" w:rsidP="00C76967">
            <w:pPr>
              <w:jc w:val="center"/>
              <w:rPr>
                <w:b/>
                <w:lang w:val="en-GB"/>
              </w:rPr>
            </w:pPr>
          </w:p>
        </w:tc>
        <w:tc>
          <w:tcPr>
            <w:tcW w:w="1803" w:type="dxa"/>
          </w:tcPr>
          <w:p w14:paraId="093A3C40" w14:textId="77777777" w:rsidR="00C76967" w:rsidRPr="00865351" w:rsidRDefault="00C76967" w:rsidP="00E63976">
            <w:pPr>
              <w:jc w:val="center"/>
              <w:rPr>
                <w:lang w:val="en-GB"/>
              </w:rPr>
            </w:pPr>
            <w:r w:rsidRPr="00865351">
              <w:rPr>
                <w:lang w:val="en-GB"/>
              </w:rPr>
              <w:t>Who has standing (directly or indirectly affected party, thresholds…)</w:t>
            </w:r>
          </w:p>
        </w:tc>
        <w:tc>
          <w:tcPr>
            <w:tcW w:w="5826" w:type="dxa"/>
          </w:tcPr>
          <w:p w14:paraId="1A26208B" w14:textId="77777777" w:rsidR="00C76967" w:rsidRDefault="00566F9E" w:rsidP="002B26C9">
            <w:pPr>
              <w:rPr>
                <w:lang w:val="en-GB"/>
              </w:rPr>
            </w:pPr>
            <w:r>
              <w:rPr>
                <w:lang w:val="en-GB"/>
              </w:rPr>
              <w:t>Not applicable.</w:t>
            </w:r>
          </w:p>
          <w:p w14:paraId="43BB3E4D" w14:textId="77777777" w:rsidR="00566F9E" w:rsidRDefault="00566F9E" w:rsidP="002B26C9">
            <w:pPr>
              <w:rPr>
                <w:lang w:val="en-GB"/>
              </w:rPr>
            </w:pPr>
          </w:p>
          <w:p w14:paraId="0151E698" w14:textId="77777777" w:rsidR="00566F9E" w:rsidRDefault="00566F9E" w:rsidP="002B26C9">
            <w:pPr>
              <w:rPr>
                <w:lang w:val="en-GB"/>
              </w:rPr>
            </w:pPr>
          </w:p>
          <w:p w14:paraId="3E0807CC" w14:textId="77777777" w:rsidR="00566F9E" w:rsidRDefault="00566F9E" w:rsidP="002B26C9">
            <w:pPr>
              <w:rPr>
                <w:lang w:val="en-GB"/>
              </w:rPr>
            </w:pPr>
          </w:p>
          <w:p w14:paraId="551FE7E3" w14:textId="77777777" w:rsidR="00566F9E" w:rsidRDefault="00566F9E" w:rsidP="002B26C9">
            <w:pPr>
              <w:rPr>
                <w:lang w:val="en-GB"/>
              </w:rPr>
            </w:pPr>
          </w:p>
          <w:p w14:paraId="440FDF68" w14:textId="77777777" w:rsidR="00566F9E" w:rsidRDefault="00566F9E" w:rsidP="002B26C9">
            <w:pPr>
              <w:rPr>
                <w:lang w:val="en-GB"/>
              </w:rPr>
            </w:pPr>
          </w:p>
          <w:p w14:paraId="2FFA80DC" w14:textId="77777777" w:rsidR="005A283A" w:rsidRDefault="005A283A" w:rsidP="002B26C9">
            <w:pPr>
              <w:rPr>
                <w:lang w:val="en-GB"/>
              </w:rPr>
            </w:pPr>
          </w:p>
          <w:p w14:paraId="382E36DD" w14:textId="77777777" w:rsidR="005A283A" w:rsidRDefault="005A283A" w:rsidP="002B26C9">
            <w:pPr>
              <w:rPr>
                <w:lang w:val="en-GB"/>
              </w:rPr>
            </w:pPr>
          </w:p>
          <w:p w14:paraId="5FFB85F0" w14:textId="77777777" w:rsidR="00566F9E" w:rsidRPr="00865351" w:rsidRDefault="00566F9E" w:rsidP="002B26C9">
            <w:pPr>
              <w:rPr>
                <w:lang w:val="en-GB"/>
              </w:rPr>
            </w:pPr>
          </w:p>
        </w:tc>
      </w:tr>
      <w:tr w:rsidR="00C76967" w:rsidRPr="00865351" w14:paraId="0EFCFCD7" w14:textId="77777777" w:rsidTr="00C76967">
        <w:tc>
          <w:tcPr>
            <w:tcW w:w="1659" w:type="dxa"/>
            <w:vMerge w:val="restart"/>
            <w:vAlign w:val="center"/>
          </w:tcPr>
          <w:p w14:paraId="06A9B39F" w14:textId="77777777" w:rsidR="00C76967" w:rsidRPr="00865351" w:rsidRDefault="00C76967" w:rsidP="00C76967">
            <w:pPr>
              <w:jc w:val="center"/>
              <w:rPr>
                <w:b/>
                <w:lang w:val="en-GB"/>
              </w:rPr>
            </w:pPr>
            <w:r w:rsidRPr="00865351">
              <w:rPr>
                <w:b/>
                <w:lang w:val="en-GB"/>
              </w:rPr>
              <w:lastRenderedPageBreak/>
              <w:t>Standard of review</w:t>
            </w:r>
          </w:p>
        </w:tc>
        <w:tc>
          <w:tcPr>
            <w:tcW w:w="1803" w:type="dxa"/>
          </w:tcPr>
          <w:p w14:paraId="375C7E6E" w14:textId="77777777" w:rsidR="00C76967" w:rsidRPr="00865351" w:rsidRDefault="00C76967" w:rsidP="00E63976">
            <w:pPr>
              <w:jc w:val="center"/>
              <w:rPr>
                <w:lang w:val="en-GB"/>
              </w:rPr>
            </w:pPr>
            <w:r w:rsidRPr="00865351">
              <w:rPr>
                <w:lang w:val="en-GB"/>
              </w:rPr>
              <w:t>Which standards is the decision examined against (process, principles, other standards…)</w:t>
            </w:r>
          </w:p>
        </w:tc>
        <w:tc>
          <w:tcPr>
            <w:tcW w:w="5826" w:type="dxa"/>
          </w:tcPr>
          <w:p w14:paraId="726B071E" w14:textId="77777777" w:rsidR="00C76967" w:rsidRPr="00865351" w:rsidRDefault="00566F9E" w:rsidP="002B26C9">
            <w:pPr>
              <w:rPr>
                <w:lang w:val="en-GB"/>
              </w:rPr>
            </w:pPr>
            <w:r>
              <w:rPr>
                <w:lang w:val="en-GB"/>
              </w:rPr>
              <w:t>Not applicable.</w:t>
            </w:r>
          </w:p>
        </w:tc>
      </w:tr>
      <w:tr w:rsidR="00C76967" w:rsidRPr="00865351" w14:paraId="29B3CF43" w14:textId="77777777" w:rsidTr="00C76967">
        <w:tc>
          <w:tcPr>
            <w:tcW w:w="1659" w:type="dxa"/>
            <w:vMerge/>
            <w:vAlign w:val="center"/>
          </w:tcPr>
          <w:p w14:paraId="1A7C9029" w14:textId="77777777" w:rsidR="00C76967" w:rsidRPr="00865351" w:rsidRDefault="00C76967" w:rsidP="00C76967">
            <w:pPr>
              <w:jc w:val="center"/>
              <w:rPr>
                <w:b/>
                <w:lang w:val="en-GB"/>
              </w:rPr>
            </w:pPr>
          </w:p>
        </w:tc>
        <w:tc>
          <w:tcPr>
            <w:tcW w:w="1803" w:type="dxa"/>
          </w:tcPr>
          <w:p w14:paraId="37B33662" w14:textId="77777777" w:rsidR="00C76967" w:rsidRPr="00865351" w:rsidRDefault="00C76967" w:rsidP="00E63976">
            <w:pPr>
              <w:jc w:val="center"/>
              <w:rPr>
                <w:lang w:val="en-GB"/>
              </w:rPr>
            </w:pPr>
            <w:r w:rsidRPr="00865351">
              <w:rPr>
                <w:lang w:val="en-GB"/>
              </w:rPr>
              <w:t xml:space="preserve">Which purpose(s) of accountability does the mechanism contribute </w:t>
            </w:r>
            <w:proofErr w:type="gramStart"/>
            <w:r w:rsidRPr="00865351">
              <w:rPr>
                <w:lang w:val="en-GB"/>
              </w:rPr>
              <w:t>to ?</w:t>
            </w:r>
            <w:proofErr w:type="gramEnd"/>
            <w:r w:rsidRPr="00865351">
              <w:rPr>
                <w:lang w:val="en-GB"/>
              </w:rPr>
              <w:t xml:space="preserve"> </w:t>
            </w:r>
          </w:p>
        </w:tc>
        <w:tc>
          <w:tcPr>
            <w:tcW w:w="5826" w:type="dxa"/>
          </w:tcPr>
          <w:p w14:paraId="713A1DFF" w14:textId="77777777" w:rsidR="00C76967" w:rsidRPr="00865351" w:rsidRDefault="00566F9E" w:rsidP="002B26C9">
            <w:pPr>
              <w:rPr>
                <w:lang w:val="en-GB"/>
              </w:rPr>
            </w:pPr>
            <w:r>
              <w:rPr>
                <w:lang w:val="en-GB"/>
              </w:rPr>
              <w:t>Primarily this purpose</w:t>
            </w:r>
            <w:r w:rsidR="00C61C7D" w:rsidRPr="00865351">
              <w:rPr>
                <w:lang w:val="en-GB"/>
              </w:rPr>
              <w:t xml:space="preserve">: </w:t>
            </w:r>
          </w:p>
          <w:p w14:paraId="15D913F5" w14:textId="77777777" w:rsidR="00300D20" w:rsidRDefault="00C61C7D" w:rsidP="00300D20">
            <w:pPr>
              <w:pStyle w:val="Listeafsnit"/>
              <w:widowControl w:val="0"/>
              <w:numPr>
                <w:ilvl w:val="0"/>
                <w:numId w:val="2"/>
              </w:numPr>
              <w:tabs>
                <w:tab w:val="left" w:pos="220"/>
                <w:tab w:val="left" w:pos="720"/>
              </w:tabs>
              <w:autoSpaceDE w:val="0"/>
              <w:autoSpaceDN w:val="0"/>
              <w:adjustRightInd w:val="0"/>
              <w:spacing w:after="240"/>
              <w:rPr>
                <w:rFonts w:cs="Arial"/>
                <w:color w:val="0C181B"/>
                <w:lang w:val="en-GB"/>
              </w:rPr>
            </w:pPr>
            <w:commentRangeStart w:id="0"/>
            <w:r w:rsidRPr="00865351">
              <w:rPr>
                <w:rFonts w:cs="Arial"/>
                <w:color w:val="0C181B"/>
                <w:lang w:val="en-GB"/>
              </w:rPr>
              <w:t xml:space="preserve">Ensure decisions are for benefit of the public, not just for a particular set of stakeholders </w:t>
            </w:r>
            <w:commentRangeEnd w:id="0"/>
            <w:r w:rsidR="00300D20">
              <w:rPr>
                <w:rStyle w:val="Kommentarhenvisning"/>
              </w:rPr>
              <w:commentReference w:id="0"/>
            </w:r>
          </w:p>
          <w:p w14:paraId="073B6BF5" w14:textId="530A563B" w:rsidR="00300D20" w:rsidRPr="00300D20" w:rsidRDefault="00300D20" w:rsidP="00300D20">
            <w:pPr>
              <w:pStyle w:val="Listeafsnit"/>
              <w:widowControl w:val="0"/>
              <w:numPr>
                <w:ilvl w:val="0"/>
                <w:numId w:val="2"/>
              </w:numPr>
              <w:tabs>
                <w:tab w:val="left" w:pos="220"/>
                <w:tab w:val="left" w:pos="720"/>
              </w:tabs>
              <w:autoSpaceDE w:val="0"/>
              <w:autoSpaceDN w:val="0"/>
              <w:adjustRightInd w:val="0"/>
              <w:spacing w:after="240"/>
              <w:rPr>
                <w:rFonts w:cs="Arial"/>
                <w:color w:val="FF0000"/>
                <w:lang w:val="en-GB"/>
              </w:rPr>
            </w:pPr>
            <w:r w:rsidRPr="00300D20">
              <w:rPr>
                <w:color w:val="FF0000"/>
                <w:lang w:val="en-US"/>
              </w:rPr>
              <w:t xml:space="preserve">Avoid capture of </w:t>
            </w:r>
            <w:r w:rsidR="00EC0B02">
              <w:rPr>
                <w:color w:val="FF0000"/>
                <w:lang w:val="en-US"/>
              </w:rPr>
              <w:t>a particular set of interests</w:t>
            </w:r>
          </w:p>
          <w:p w14:paraId="1CF0897B" w14:textId="77777777" w:rsidR="00300D20" w:rsidRDefault="00300D20" w:rsidP="00300D20">
            <w:pPr>
              <w:pStyle w:val="Listeafsnit"/>
              <w:widowControl w:val="0"/>
              <w:tabs>
                <w:tab w:val="left" w:pos="220"/>
                <w:tab w:val="left" w:pos="720"/>
              </w:tabs>
              <w:autoSpaceDE w:val="0"/>
              <w:autoSpaceDN w:val="0"/>
              <w:adjustRightInd w:val="0"/>
              <w:spacing w:after="240"/>
              <w:rPr>
                <w:rFonts w:cs="Arial"/>
                <w:color w:val="0C181B"/>
                <w:lang w:val="en-GB"/>
              </w:rPr>
            </w:pPr>
            <w:bookmarkStart w:id="1" w:name="_GoBack"/>
            <w:bookmarkEnd w:id="1"/>
          </w:p>
          <w:p w14:paraId="0742D360" w14:textId="77777777" w:rsidR="00566F9E" w:rsidRPr="00566F9E" w:rsidRDefault="00566F9E" w:rsidP="00566F9E">
            <w:pPr>
              <w:widowControl w:val="0"/>
              <w:tabs>
                <w:tab w:val="left" w:pos="220"/>
                <w:tab w:val="left" w:pos="720"/>
              </w:tabs>
              <w:autoSpaceDE w:val="0"/>
              <w:autoSpaceDN w:val="0"/>
              <w:adjustRightInd w:val="0"/>
              <w:spacing w:after="240"/>
              <w:rPr>
                <w:rFonts w:cs="Arial"/>
                <w:color w:val="0C181B"/>
                <w:lang w:val="en-GB"/>
              </w:rPr>
            </w:pPr>
            <w:r>
              <w:rPr>
                <w:rFonts w:cs="Arial"/>
                <w:color w:val="0C181B"/>
                <w:lang w:val="en-GB"/>
              </w:rPr>
              <w:t>It contributes to this purpose by ensuring the status quo level of influence for GAC advice is maintained and can only be changed by agreement of the whole community through future changes to the bylaws (rather than simply GAC decisions on its operating principles).</w:t>
            </w:r>
          </w:p>
        </w:tc>
      </w:tr>
      <w:tr w:rsidR="00C76967" w:rsidRPr="00865351" w14:paraId="75AA2C5D" w14:textId="77777777" w:rsidTr="00C76967">
        <w:tc>
          <w:tcPr>
            <w:tcW w:w="1659" w:type="dxa"/>
            <w:vMerge w:val="restart"/>
            <w:vAlign w:val="center"/>
          </w:tcPr>
          <w:p w14:paraId="7222F875" w14:textId="77777777" w:rsidR="00C76967" w:rsidRPr="00865351" w:rsidRDefault="00C76967" w:rsidP="00C76967">
            <w:pPr>
              <w:jc w:val="center"/>
              <w:rPr>
                <w:b/>
                <w:lang w:val="en-GB"/>
              </w:rPr>
            </w:pPr>
            <w:r w:rsidRPr="00865351">
              <w:rPr>
                <w:b/>
                <w:lang w:val="en-GB"/>
              </w:rPr>
              <w:t>Composition</w:t>
            </w:r>
          </w:p>
        </w:tc>
        <w:tc>
          <w:tcPr>
            <w:tcW w:w="1803" w:type="dxa"/>
          </w:tcPr>
          <w:p w14:paraId="42A28668" w14:textId="77777777" w:rsidR="00C76967" w:rsidRPr="00865351" w:rsidRDefault="00C76967" w:rsidP="00E63976">
            <w:pPr>
              <w:jc w:val="center"/>
              <w:rPr>
                <w:lang w:val="en-GB"/>
              </w:rPr>
            </w:pPr>
            <w:r w:rsidRPr="00865351">
              <w:rPr>
                <w:lang w:val="en-GB"/>
              </w:rPr>
              <w:t>Required skillset</w:t>
            </w:r>
          </w:p>
        </w:tc>
        <w:tc>
          <w:tcPr>
            <w:tcW w:w="5826" w:type="dxa"/>
          </w:tcPr>
          <w:p w14:paraId="700B1ED1" w14:textId="77777777" w:rsidR="00C61C7D" w:rsidRPr="00460DE3" w:rsidRDefault="00460DE3" w:rsidP="00460DE3">
            <w:pPr>
              <w:rPr>
                <w:lang w:val="en-GB"/>
              </w:rPr>
            </w:pPr>
            <w:r>
              <w:rPr>
                <w:lang w:val="en-GB"/>
              </w:rPr>
              <w:t>Not applicable.</w:t>
            </w:r>
          </w:p>
        </w:tc>
      </w:tr>
      <w:tr w:rsidR="00C76967" w:rsidRPr="00865351" w14:paraId="3DBC5E01" w14:textId="77777777" w:rsidTr="00C76967">
        <w:tc>
          <w:tcPr>
            <w:tcW w:w="1659" w:type="dxa"/>
            <w:vMerge/>
            <w:vAlign w:val="center"/>
          </w:tcPr>
          <w:p w14:paraId="1C74D01E" w14:textId="77777777" w:rsidR="00C76967" w:rsidRPr="00865351" w:rsidRDefault="00C76967" w:rsidP="00C76967">
            <w:pPr>
              <w:jc w:val="center"/>
              <w:rPr>
                <w:b/>
                <w:lang w:val="en-GB"/>
              </w:rPr>
            </w:pPr>
          </w:p>
        </w:tc>
        <w:tc>
          <w:tcPr>
            <w:tcW w:w="1803" w:type="dxa"/>
          </w:tcPr>
          <w:p w14:paraId="4860CAC4" w14:textId="77777777" w:rsidR="00C76967" w:rsidRPr="00865351" w:rsidRDefault="00C76967" w:rsidP="00E63976">
            <w:pPr>
              <w:jc w:val="center"/>
              <w:rPr>
                <w:lang w:val="en-GB"/>
              </w:rPr>
            </w:pPr>
            <w:r w:rsidRPr="00865351">
              <w:rPr>
                <w:lang w:val="en-GB"/>
              </w:rPr>
              <w:t>Diversity requirements (geography, stakeholder interests, gender, other…)</w:t>
            </w:r>
          </w:p>
        </w:tc>
        <w:tc>
          <w:tcPr>
            <w:tcW w:w="5826" w:type="dxa"/>
          </w:tcPr>
          <w:p w14:paraId="444FA010" w14:textId="77777777" w:rsidR="00C76967" w:rsidRPr="00865351" w:rsidRDefault="00460DE3" w:rsidP="002B26C9">
            <w:pPr>
              <w:rPr>
                <w:lang w:val="en-GB"/>
              </w:rPr>
            </w:pPr>
            <w:r>
              <w:rPr>
                <w:lang w:val="en-GB"/>
              </w:rPr>
              <w:t>Not applicable.</w:t>
            </w:r>
          </w:p>
        </w:tc>
      </w:tr>
      <w:tr w:rsidR="00C76967" w:rsidRPr="00865351" w14:paraId="302AF4CB" w14:textId="77777777" w:rsidTr="00C76967">
        <w:tc>
          <w:tcPr>
            <w:tcW w:w="1659" w:type="dxa"/>
            <w:vMerge/>
            <w:vAlign w:val="center"/>
          </w:tcPr>
          <w:p w14:paraId="7E6F1E2E" w14:textId="77777777" w:rsidR="00C76967" w:rsidRPr="00865351" w:rsidRDefault="00C76967" w:rsidP="00C76967">
            <w:pPr>
              <w:jc w:val="center"/>
              <w:rPr>
                <w:b/>
                <w:lang w:val="en-GB"/>
              </w:rPr>
            </w:pPr>
          </w:p>
        </w:tc>
        <w:tc>
          <w:tcPr>
            <w:tcW w:w="1803" w:type="dxa"/>
          </w:tcPr>
          <w:p w14:paraId="07E5D867" w14:textId="77777777" w:rsidR="00C76967" w:rsidRPr="00865351" w:rsidRDefault="00C76967" w:rsidP="00E63976">
            <w:pPr>
              <w:jc w:val="center"/>
              <w:rPr>
                <w:lang w:val="en-GB"/>
              </w:rPr>
            </w:pPr>
            <w:r w:rsidRPr="00865351">
              <w:rPr>
                <w:lang w:val="en-GB"/>
              </w:rPr>
              <w:t>Number of persons (approximate or interval)</w:t>
            </w:r>
          </w:p>
        </w:tc>
        <w:tc>
          <w:tcPr>
            <w:tcW w:w="5826" w:type="dxa"/>
          </w:tcPr>
          <w:p w14:paraId="17ABAD7B" w14:textId="77777777" w:rsidR="00C76967" w:rsidRPr="00865351" w:rsidRDefault="00460DE3" w:rsidP="002B26C9">
            <w:pPr>
              <w:rPr>
                <w:lang w:val="en-GB"/>
              </w:rPr>
            </w:pPr>
            <w:r>
              <w:rPr>
                <w:lang w:val="en-GB"/>
              </w:rPr>
              <w:t>Not applicable.</w:t>
            </w:r>
          </w:p>
        </w:tc>
      </w:tr>
      <w:tr w:rsidR="00C76967" w:rsidRPr="00865351" w14:paraId="5CB157E1" w14:textId="77777777" w:rsidTr="00C76967">
        <w:tc>
          <w:tcPr>
            <w:tcW w:w="1659" w:type="dxa"/>
            <w:vMerge/>
            <w:vAlign w:val="center"/>
          </w:tcPr>
          <w:p w14:paraId="7AFDD08E" w14:textId="77777777" w:rsidR="00C76967" w:rsidRPr="00865351" w:rsidRDefault="00C76967" w:rsidP="00C76967">
            <w:pPr>
              <w:jc w:val="center"/>
              <w:rPr>
                <w:b/>
                <w:lang w:val="en-GB"/>
              </w:rPr>
            </w:pPr>
          </w:p>
        </w:tc>
        <w:tc>
          <w:tcPr>
            <w:tcW w:w="1803" w:type="dxa"/>
          </w:tcPr>
          <w:p w14:paraId="7636DC5B" w14:textId="77777777" w:rsidR="00C76967" w:rsidRPr="00865351" w:rsidRDefault="00C76967" w:rsidP="00E63976">
            <w:pPr>
              <w:jc w:val="center"/>
              <w:rPr>
                <w:lang w:val="en-GB"/>
              </w:rPr>
            </w:pPr>
            <w:r w:rsidRPr="00865351">
              <w:rPr>
                <w:lang w:val="en-GB"/>
              </w:rPr>
              <w:t>Independence requirements</w:t>
            </w:r>
          </w:p>
        </w:tc>
        <w:tc>
          <w:tcPr>
            <w:tcW w:w="5826" w:type="dxa"/>
          </w:tcPr>
          <w:p w14:paraId="31B08A2B" w14:textId="77777777" w:rsidR="00C76967" w:rsidRPr="00865351" w:rsidRDefault="00460DE3" w:rsidP="00AE5741">
            <w:pPr>
              <w:widowControl w:val="0"/>
              <w:autoSpaceDE w:val="0"/>
              <w:autoSpaceDN w:val="0"/>
              <w:adjustRightInd w:val="0"/>
              <w:spacing w:after="240"/>
              <w:rPr>
                <w:rFonts w:ascii="Times" w:hAnsi="Times" w:cs="Times"/>
                <w:lang w:val="en-GB"/>
              </w:rPr>
            </w:pPr>
            <w:r>
              <w:rPr>
                <w:lang w:val="en-GB"/>
              </w:rPr>
              <w:t>Not applicable.</w:t>
            </w:r>
          </w:p>
        </w:tc>
      </w:tr>
      <w:tr w:rsidR="00C76967" w:rsidRPr="00865351" w14:paraId="3506DBC4" w14:textId="77777777" w:rsidTr="00C76967">
        <w:tc>
          <w:tcPr>
            <w:tcW w:w="1659" w:type="dxa"/>
            <w:vMerge/>
            <w:vAlign w:val="center"/>
          </w:tcPr>
          <w:p w14:paraId="1A853ECA" w14:textId="77777777" w:rsidR="00C76967" w:rsidRPr="00865351" w:rsidRDefault="00C76967" w:rsidP="00C76967">
            <w:pPr>
              <w:jc w:val="center"/>
              <w:rPr>
                <w:b/>
                <w:lang w:val="en-GB"/>
              </w:rPr>
            </w:pPr>
          </w:p>
        </w:tc>
        <w:tc>
          <w:tcPr>
            <w:tcW w:w="1803" w:type="dxa"/>
          </w:tcPr>
          <w:p w14:paraId="04C67C04" w14:textId="77777777" w:rsidR="00C76967" w:rsidRPr="00865351" w:rsidRDefault="00C76967" w:rsidP="00E63976">
            <w:pPr>
              <w:jc w:val="center"/>
              <w:rPr>
                <w:lang w:val="en-GB"/>
              </w:rPr>
            </w:pPr>
            <w:r w:rsidRPr="00865351">
              <w:rPr>
                <w:lang w:val="en-GB"/>
              </w:rPr>
              <w:t xml:space="preserve">Election / appointment by </w:t>
            </w:r>
            <w:proofErr w:type="gramStart"/>
            <w:r w:rsidRPr="00865351">
              <w:rPr>
                <w:lang w:val="en-GB"/>
              </w:rPr>
              <w:t>whom ?</w:t>
            </w:r>
            <w:proofErr w:type="gramEnd"/>
          </w:p>
        </w:tc>
        <w:tc>
          <w:tcPr>
            <w:tcW w:w="5826" w:type="dxa"/>
          </w:tcPr>
          <w:p w14:paraId="4D905482" w14:textId="77777777" w:rsidR="00C76967" w:rsidRPr="00865351" w:rsidRDefault="00460DE3" w:rsidP="00AE5741">
            <w:pPr>
              <w:rPr>
                <w:lang w:val="en-GB"/>
              </w:rPr>
            </w:pPr>
            <w:r>
              <w:rPr>
                <w:lang w:val="en-GB"/>
              </w:rPr>
              <w:t>Not applicable.</w:t>
            </w:r>
          </w:p>
        </w:tc>
      </w:tr>
      <w:tr w:rsidR="00C76967" w:rsidRPr="00865351" w14:paraId="5D7FA5DC" w14:textId="77777777" w:rsidTr="00C76967">
        <w:tc>
          <w:tcPr>
            <w:tcW w:w="1659" w:type="dxa"/>
            <w:vMerge/>
            <w:vAlign w:val="center"/>
          </w:tcPr>
          <w:p w14:paraId="6329AE31" w14:textId="77777777" w:rsidR="00C76967" w:rsidRPr="00865351" w:rsidRDefault="00C76967" w:rsidP="00C76967">
            <w:pPr>
              <w:jc w:val="center"/>
              <w:rPr>
                <w:b/>
                <w:lang w:val="en-GB"/>
              </w:rPr>
            </w:pPr>
          </w:p>
        </w:tc>
        <w:tc>
          <w:tcPr>
            <w:tcW w:w="1803" w:type="dxa"/>
          </w:tcPr>
          <w:p w14:paraId="510C6C49" w14:textId="77777777" w:rsidR="00C76967" w:rsidRPr="00865351" w:rsidRDefault="00C76967" w:rsidP="00E63976">
            <w:pPr>
              <w:jc w:val="center"/>
              <w:rPr>
                <w:lang w:val="en-GB"/>
              </w:rPr>
            </w:pPr>
            <w:r w:rsidRPr="00865351">
              <w:rPr>
                <w:lang w:val="en-GB"/>
              </w:rPr>
              <w:t>Recall or other accountability mechanism</w:t>
            </w:r>
          </w:p>
        </w:tc>
        <w:tc>
          <w:tcPr>
            <w:tcW w:w="5826" w:type="dxa"/>
          </w:tcPr>
          <w:p w14:paraId="64A3083B" w14:textId="77777777" w:rsidR="00C76967" w:rsidRPr="00865351" w:rsidRDefault="00460DE3" w:rsidP="00AE5741">
            <w:pPr>
              <w:rPr>
                <w:lang w:val="en-GB"/>
              </w:rPr>
            </w:pPr>
            <w:r>
              <w:rPr>
                <w:lang w:val="en-GB"/>
              </w:rPr>
              <w:t>Not applicable.</w:t>
            </w:r>
          </w:p>
        </w:tc>
      </w:tr>
      <w:tr w:rsidR="00C76967" w:rsidRPr="00865351" w14:paraId="17BC2B18" w14:textId="77777777" w:rsidTr="00C76967">
        <w:tc>
          <w:tcPr>
            <w:tcW w:w="1659" w:type="dxa"/>
            <w:vMerge w:val="restart"/>
            <w:vAlign w:val="center"/>
          </w:tcPr>
          <w:p w14:paraId="050ACE61" w14:textId="77777777" w:rsidR="00C76967" w:rsidRPr="00865351" w:rsidRDefault="00C76967" w:rsidP="00C76967">
            <w:pPr>
              <w:jc w:val="center"/>
              <w:rPr>
                <w:b/>
                <w:lang w:val="en-GB"/>
              </w:rPr>
            </w:pPr>
            <w:r w:rsidRPr="00865351">
              <w:rPr>
                <w:b/>
                <w:lang w:val="en-GB"/>
              </w:rPr>
              <w:t>Decision making</w:t>
            </w:r>
          </w:p>
        </w:tc>
        <w:tc>
          <w:tcPr>
            <w:tcW w:w="1803" w:type="dxa"/>
          </w:tcPr>
          <w:p w14:paraId="0A9C1078" w14:textId="77777777" w:rsidR="00C76967" w:rsidRPr="00865351" w:rsidRDefault="00C76967" w:rsidP="00C76967">
            <w:pPr>
              <w:jc w:val="center"/>
              <w:rPr>
                <w:lang w:val="en-GB"/>
              </w:rPr>
            </w:pPr>
            <w:r w:rsidRPr="00865351">
              <w:rPr>
                <w:lang w:val="en-GB"/>
              </w:rPr>
              <w:t>Is the decision mandated or based on personal assessment</w:t>
            </w:r>
          </w:p>
        </w:tc>
        <w:tc>
          <w:tcPr>
            <w:tcW w:w="5826" w:type="dxa"/>
          </w:tcPr>
          <w:p w14:paraId="20308C09" w14:textId="77777777" w:rsidR="001A7717" w:rsidRPr="00865351" w:rsidRDefault="00460DE3" w:rsidP="002B26C9">
            <w:pPr>
              <w:rPr>
                <w:lang w:val="en-GB"/>
              </w:rPr>
            </w:pPr>
            <w:r>
              <w:rPr>
                <w:lang w:val="en-GB"/>
              </w:rPr>
              <w:t>Not applicable.</w:t>
            </w:r>
          </w:p>
          <w:p w14:paraId="0178F0D7" w14:textId="77777777" w:rsidR="001A7717" w:rsidRPr="00865351" w:rsidRDefault="001A7717" w:rsidP="002B26C9">
            <w:pPr>
              <w:rPr>
                <w:lang w:val="en-GB"/>
              </w:rPr>
            </w:pPr>
          </w:p>
        </w:tc>
      </w:tr>
      <w:tr w:rsidR="00C76967" w:rsidRPr="00865351" w14:paraId="606669F1" w14:textId="77777777" w:rsidTr="00C76967">
        <w:tc>
          <w:tcPr>
            <w:tcW w:w="1659" w:type="dxa"/>
            <w:vMerge/>
            <w:vAlign w:val="center"/>
          </w:tcPr>
          <w:p w14:paraId="28CDFA09" w14:textId="77777777" w:rsidR="00C76967" w:rsidRPr="00865351" w:rsidRDefault="00C76967" w:rsidP="00C76967">
            <w:pPr>
              <w:jc w:val="center"/>
              <w:rPr>
                <w:b/>
                <w:lang w:val="en-GB"/>
              </w:rPr>
            </w:pPr>
          </w:p>
        </w:tc>
        <w:tc>
          <w:tcPr>
            <w:tcW w:w="1803" w:type="dxa"/>
          </w:tcPr>
          <w:p w14:paraId="00FDE0BC" w14:textId="77777777" w:rsidR="00C76967" w:rsidRPr="00865351" w:rsidRDefault="00C76967" w:rsidP="00C76967">
            <w:pPr>
              <w:jc w:val="center"/>
              <w:rPr>
                <w:lang w:val="en-GB"/>
              </w:rPr>
            </w:pPr>
            <w:r w:rsidRPr="00865351">
              <w:rPr>
                <w:lang w:val="en-GB"/>
              </w:rPr>
              <w:t xml:space="preserve">Decision made by consensus or </w:t>
            </w:r>
            <w:proofErr w:type="gramStart"/>
            <w:r w:rsidRPr="00865351">
              <w:rPr>
                <w:lang w:val="en-GB"/>
              </w:rPr>
              <w:t>vote ?</w:t>
            </w:r>
            <w:proofErr w:type="gramEnd"/>
          </w:p>
        </w:tc>
        <w:tc>
          <w:tcPr>
            <w:tcW w:w="5826" w:type="dxa"/>
          </w:tcPr>
          <w:p w14:paraId="26A343A2" w14:textId="77777777" w:rsidR="00460DE3" w:rsidRPr="00865351" w:rsidRDefault="00460DE3" w:rsidP="00460DE3">
            <w:pPr>
              <w:rPr>
                <w:lang w:val="en-GB"/>
              </w:rPr>
            </w:pPr>
            <w:r>
              <w:rPr>
                <w:lang w:val="en-GB"/>
              </w:rPr>
              <w:t xml:space="preserve">GAC decision-making is defined by GAC in its Operating Principles. </w:t>
            </w:r>
          </w:p>
        </w:tc>
      </w:tr>
      <w:tr w:rsidR="00C76967" w:rsidRPr="00865351" w14:paraId="520221FC" w14:textId="77777777" w:rsidTr="00C76967">
        <w:tc>
          <w:tcPr>
            <w:tcW w:w="1659" w:type="dxa"/>
            <w:vMerge/>
            <w:vAlign w:val="center"/>
          </w:tcPr>
          <w:p w14:paraId="53FB2634" w14:textId="77777777" w:rsidR="00C76967" w:rsidRPr="00865351" w:rsidRDefault="00C76967" w:rsidP="00C76967">
            <w:pPr>
              <w:jc w:val="center"/>
              <w:rPr>
                <w:b/>
                <w:lang w:val="en-GB"/>
              </w:rPr>
            </w:pPr>
          </w:p>
        </w:tc>
        <w:tc>
          <w:tcPr>
            <w:tcW w:w="1803" w:type="dxa"/>
          </w:tcPr>
          <w:p w14:paraId="64F5890E" w14:textId="77777777" w:rsidR="00C76967" w:rsidRPr="00865351" w:rsidRDefault="00C76967" w:rsidP="00C76967">
            <w:pPr>
              <w:jc w:val="center"/>
              <w:rPr>
                <w:lang w:val="en-GB"/>
              </w:rPr>
            </w:pPr>
            <w:r w:rsidRPr="00865351">
              <w:rPr>
                <w:lang w:val="en-GB"/>
              </w:rPr>
              <w:t>Majority threshold (if applicable)</w:t>
            </w:r>
          </w:p>
        </w:tc>
        <w:tc>
          <w:tcPr>
            <w:tcW w:w="5826" w:type="dxa"/>
          </w:tcPr>
          <w:p w14:paraId="3A97DB11" w14:textId="77777777" w:rsidR="00460DE3" w:rsidRDefault="00460DE3" w:rsidP="00460DE3">
            <w:pPr>
              <w:rPr>
                <w:lang w:val="en-GB"/>
              </w:rPr>
            </w:pPr>
            <w:r>
              <w:rPr>
                <w:lang w:val="en-GB"/>
              </w:rPr>
              <w:t>GAC decision-making is defined by GAC in its Operating Principles. This proposal deals with how ICANN is obliged to respond to GAC advice by specifying that the treatment set out in the bylaws should occur only when current consensus thresholds are met.</w:t>
            </w:r>
          </w:p>
          <w:p w14:paraId="6EBBF41D" w14:textId="77777777" w:rsidR="00460DE3" w:rsidRDefault="00460DE3" w:rsidP="00460DE3">
            <w:pPr>
              <w:rPr>
                <w:lang w:val="en-GB"/>
              </w:rPr>
            </w:pPr>
          </w:p>
          <w:p w14:paraId="3B90EDAD" w14:textId="77777777" w:rsidR="00460DE3" w:rsidRDefault="00460DE3" w:rsidP="00460DE3">
            <w:pPr>
              <w:rPr>
                <w:lang w:val="en-GB"/>
              </w:rPr>
            </w:pPr>
          </w:p>
          <w:p w14:paraId="41FAEA7A" w14:textId="77777777" w:rsidR="00C76967" w:rsidRPr="00865351" w:rsidRDefault="00460DE3" w:rsidP="00460DE3">
            <w:pPr>
              <w:rPr>
                <w:lang w:val="en-GB"/>
              </w:rPr>
            </w:pPr>
            <w:r>
              <w:rPr>
                <w:lang w:val="en-GB"/>
              </w:rPr>
              <w:t xml:space="preserve"> </w:t>
            </w:r>
          </w:p>
        </w:tc>
      </w:tr>
      <w:tr w:rsidR="00C76967" w:rsidRPr="00865351" w14:paraId="2207ED79" w14:textId="77777777" w:rsidTr="00C76967">
        <w:tc>
          <w:tcPr>
            <w:tcW w:w="1659" w:type="dxa"/>
            <w:vMerge w:val="restart"/>
            <w:vAlign w:val="center"/>
          </w:tcPr>
          <w:p w14:paraId="36DEAE51" w14:textId="77777777" w:rsidR="00C76967" w:rsidRPr="00865351" w:rsidRDefault="00C76967" w:rsidP="00C76967">
            <w:pPr>
              <w:jc w:val="center"/>
              <w:rPr>
                <w:b/>
                <w:lang w:val="en-GB"/>
              </w:rPr>
            </w:pPr>
            <w:r w:rsidRPr="00865351">
              <w:rPr>
                <w:b/>
                <w:lang w:val="en-GB"/>
              </w:rPr>
              <w:lastRenderedPageBreak/>
              <w:t>Accessibility</w:t>
            </w:r>
          </w:p>
        </w:tc>
        <w:tc>
          <w:tcPr>
            <w:tcW w:w="1803" w:type="dxa"/>
          </w:tcPr>
          <w:p w14:paraId="17D2373D" w14:textId="77777777" w:rsidR="00C76967" w:rsidRPr="00865351" w:rsidRDefault="00C76967" w:rsidP="00C76967">
            <w:pPr>
              <w:jc w:val="center"/>
              <w:rPr>
                <w:lang w:val="en-GB"/>
              </w:rPr>
            </w:pPr>
            <w:r w:rsidRPr="00865351">
              <w:rPr>
                <w:lang w:val="en-GB"/>
              </w:rPr>
              <w:t>Cost requirements</w:t>
            </w:r>
          </w:p>
        </w:tc>
        <w:tc>
          <w:tcPr>
            <w:tcW w:w="5826" w:type="dxa"/>
          </w:tcPr>
          <w:p w14:paraId="769DE285" w14:textId="77777777" w:rsidR="00C76967" w:rsidRPr="00865351" w:rsidRDefault="00460DE3" w:rsidP="002B26C9">
            <w:pPr>
              <w:rPr>
                <w:lang w:val="en-GB"/>
              </w:rPr>
            </w:pPr>
            <w:r>
              <w:rPr>
                <w:lang w:val="en-GB"/>
              </w:rPr>
              <w:t xml:space="preserve">Not applicable. </w:t>
            </w:r>
          </w:p>
        </w:tc>
      </w:tr>
      <w:tr w:rsidR="00C76967" w:rsidRPr="00865351" w14:paraId="1D39B28E" w14:textId="77777777" w:rsidTr="00C76967">
        <w:tc>
          <w:tcPr>
            <w:tcW w:w="1659" w:type="dxa"/>
            <w:vMerge/>
            <w:vAlign w:val="center"/>
          </w:tcPr>
          <w:p w14:paraId="252DF6D4" w14:textId="77777777" w:rsidR="00C76967" w:rsidRPr="00865351" w:rsidRDefault="00C76967" w:rsidP="00C76967">
            <w:pPr>
              <w:jc w:val="center"/>
              <w:rPr>
                <w:b/>
                <w:lang w:val="en-GB"/>
              </w:rPr>
            </w:pPr>
          </w:p>
        </w:tc>
        <w:tc>
          <w:tcPr>
            <w:tcW w:w="1803" w:type="dxa"/>
          </w:tcPr>
          <w:p w14:paraId="6F62DB82" w14:textId="77777777" w:rsidR="00C76967" w:rsidRPr="00865351" w:rsidRDefault="00C76967" w:rsidP="00C76967">
            <w:pPr>
              <w:jc w:val="center"/>
              <w:rPr>
                <w:lang w:val="en-GB"/>
              </w:rPr>
            </w:pPr>
            <w:r w:rsidRPr="00865351">
              <w:rPr>
                <w:lang w:val="en-GB"/>
              </w:rPr>
              <w:t>Timeframe requirements</w:t>
            </w:r>
          </w:p>
        </w:tc>
        <w:tc>
          <w:tcPr>
            <w:tcW w:w="5826" w:type="dxa"/>
          </w:tcPr>
          <w:p w14:paraId="3E8C08C8" w14:textId="77777777" w:rsidR="00C76967" w:rsidRPr="00865351" w:rsidRDefault="00EC4091" w:rsidP="002B26C9">
            <w:pPr>
              <w:rPr>
                <w:lang w:val="en-GB"/>
              </w:rPr>
            </w:pPr>
            <w:r w:rsidRPr="00865351">
              <w:rPr>
                <w:lang w:val="en-GB"/>
              </w:rPr>
              <w:t>To be implemented before IANA stewardship transition</w:t>
            </w:r>
            <w:r w:rsidR="00460DE3">
              <w:rPr>
                <w:lang w:val="en-GB"/>
              </w:rPr>
              <w:t>.</w:t>
            </w:r>
          </w:p>
        </w:tc>
      </w:tr>
      <w:tr w:rsidR="00C76967" w:rsidRPr="00865351" w14:paraId="6F457C44" w14:textId="77777777" w:rsidTr="00C76967">
        <w:tc>
          <w:tcPr>
            <w:tcW w:w="1659" w:type="dxa"/>
            <w:vMerge/>
            <w:vAlign w:val="center"/>
          </w:tcPr>
          <w:p w14:paraId="4983B984" w14:textId="77777777" w:rsidR="00C76967" w:rsidRPr="00865351" w:rsidRDefault="00C76967" w:rsidP="00C76967">
            <w:pPr>
              <w:jc w:val="center"/>
              <w:rPr>
                <w:b/>
                <w:lang w:val="en-GB"/>
              </w:rPr>
            </w:pPr>
          </w:p>
        </w:tc>
        <w:tc>
          <w:tcPr>
            <w:tcW w:w="1803" w:type="dxa"/>
          </w:tcPr>
          <w:p w14:paraId="5D70E52D" w14:textId="77777777" w:rsidR="00C76967" w:rsidRPr="00865351" w:rsidRDefault="00C76967" w:rsidP="00C76967">
            <w:pPr>
              <w:jc w:val="center"/>
              <w:rPr>
                <w:lang w:val="en-GB"/>
              </w:rPr>
            </w:pPr>
            <w:r w:rsidRPr="00865351">
              <w:rPr>
                <w:lang w:val="en-GB"/>
              </w:rPr>
              <w:t>Language requirements</w:t>
            </w:r>
          </w:p>
        </w:tc>
        <w:tc>
          <w:tcPr>
            <w:tcW w:w="5826" w:type="dxa"/>
          </w:tcPr>
          <w:p w14:paraId="4F14E296" w14:textId="77777777" w:rsidR="00C76967" w:rsidRPr="00865351" w:rsidRDefault="00460DE3" w:rsidP="002B26C9">
            <w:pPr>
              <w:rPr>
                <w:lang w:val="en-GB"/>
              </w:rPr>
            </w:pPr>
            <w:r>
              <w:rPr>
                <w:lang w:val="en-GB"/>
              </w:rPr>
              <w:t xml:space="preserve">Not applicable. </w:t>
            </w:r>
          </w:p>
        </w:tc>
      </w:tr>
      <w:tr w:rsidR="00C76967" w:rsidRPr="00865351" w14:paraId="38921914" w14:textId="77777777" w:rsidTr="00C76967">
        <w:tc>
          <w:tcPr>
            <w:tcW w:w="1659" w:type="dxa"/>
            <w:vAlign w:val="center"/>
          </w:tcPr>
          <w:p w14:paraId="57BD2C7F" w14:textId="77777777" w:rsidR="00C76967" w:rsidRPr="00865351" w:rsidRDefault="00C76967" w:rsidP="00C76967">
            <w:pPr>
              <w:jc w:val="center"/>
              <w:rPr>
                <w:b/>
                <w:lang w:val="en-GB"/>
              </w:rPr>
            </w:pPr>
            <w:r w:rsidRPr="00865351">
              <w:rPr>
                <w:b/>
                <w:lang w:val="en-GB"/>
              </w:rPr>
              <w:t>Implementation</w:t>
            </w:r>
          </w:p>
        </w:tc>
        <w:tc>
          <w:tcPr>
            <w:tcW w:w="1803" w:type="dxa"/>
          </w:tcPr>
          <w:p w14:paraId="0F60DE47" w14:textId="77777777" w:rsidR="00C76967" w:rsidRPr="00865351" w:rsidRDefault="00C76967" w:rsidP="00C76967">
            <w:pPr>
              <w:jc w:val="center"/>
              <w:rPr>
                <w:lang w:val="en-GB"/>
              </w:rPr>
            </w:pPr>
            <w:r w:rsidRPr="00865351">
              <w:rPr>
                <w:lang w:val="en-GB"/>
              </w:rPr>
              <w:t>Potential means to implement</w:t>
            </w:r>
          </w:p>
        </w:tc>
        <w:tc>
          <w:tcPr>
            <w:tcW w:w="5826" w:type="dxa"/>
          </w:tcPr>
          <w:p w14:paraId="123C10FA" w14:textId="77777777" w:rsidR="00460DE3" w:rsidRDefault="00460DE3" w:rsidP="00460DE3">
            <w:pPr>
              <w:rPr>
                <w:lang w:val="en-GB"/>
              </w:rPr>
            </w:pPr>
            <w:r>
              <w:rPr>
                <w:lang w:val="en-GB"/>
              </w:rPr>
              <w:t xml:space="preserve">Amendment to ICANN Bylaws, with Article XI Section 2 clause 1j changed as follows. (Changes identified as follows: additions in </w:t>
            </w:r>
            <w:r>
              <w:rPr>
                <w:b/>
                <w:u w:val="single"/>
                <w:lang w:val="en-GB"/>
              </w:rPr>
              <w:t>bold and underlined</w:t>
            </w:r>
            <w:r>
              <w:rPr>
                <w:lang w:val="en-GB"/>
              </w:rPr>
              <w:t xml:space="preserve">, deletions </w:t>
            </w:r>
            <w:r w:rsidRPr="00460DE3">
              <w:rPr>
                <w:strike/>
                <w:lang w:val="en-GB"/>
              </w:rPr>
              <w:t>struck through</w:t>
            </w:r>
            <w:r>
              <w:rPr>
                <w:lang w:val="en-GB"/>
              </w:rPr>
              <w:t>.)</w:t>
            </w:r>
          </w:p>
          <w:p w14:paraId="25640FBA" w14:textId="77777777" w:rsidR="00460DE3" w:rsidRDefault="00460DE3" w:rsidP="00460DE3">
            <w:pPr>
              <w:rPr>
                <w:lang w:val="en-GB"/>
              </w:rPr>
            </w:pPr>
          </w:p>
          <w:p w14:paraId="0ABC224C" w14:textId="77777777" w:rsidR="00460DE3" w:rsidRDefault="00460DE3" w:rsidP="00460DE3">
            <w:pPr>
              <w:rPr>
                <w:lang w:val="en-GB"/>
              </w:rPr>
            </w:pPr>
            <w:r w:rsidRPr="00460DE3">
              <w:rPr>
                <w:lang w:val="en-US"/>
              </w:rPr>
              <w:t xml:space="preserve">j. </w:t>
            </w:r>
            <w:r w:rsidRPr="00460DE3">
              <w:rPr>
                <w:strike/>
                <w:lang w:val="en-US"/>
              </w:rPr>
              <w:t>The</w:t>
            </w:r>
            <w:r w:rsidRPr="00460DE3">
              <w:rPr>
                <w:lang w:val="en-US"/>
              </w:rPr>
              <w:t xml:space="preserve"> </w:t>
            </w:r>
            <w:r w:rsidRPr="00460DE3">
              <w:rPr>
                <w:b/>
                <w:u w:val="single"/>
                <w:lang w:val="en-US"/>
              </w:rPr>
              <w:t>Consensus</w:t>
            </w:r>
            <w:r>
              <w:rPr>
                <w:lang w:val="en-US"/>
              </w:rPr>
              <w:t xml:space="preserve"> </w:t>
            </w:r>
            <w:r w:rsidRPr="00460DE3">
              <w:rPr>
                <w:lang w:val="en-US"/>
              </w:rPr>
              <w:t>advice of the Governmental Advisory Committee on public policy matters shall be duly taken into account, both in the formulation and adoption of policies</w:t>
            </w:r>
            <w:r w:rsidR="005A283A" w:rsidRPr="005A283A">
              <w:rPr>
                <w:b/>
                <w:u w:val="single"/>
                <w:lang w:val="en-US"/>
              </w:rPr>
              <w:t xml:space="preserve">, where </w:t>
            </w:r>
            <w:r w:rsidR="005A283A" w:rsidRPr="005A283A">
              <w:rPr>
                <w:rFonts w:ascii="Calibri" w:hAnsi="Calibri" w:cs="Calibri"/>
                <w:b/>
                <w:color w:val="1A1A1A"/>
                <w:u w:val="single"/>
                <w:lang w:val="en-US"/>
              </w:rPr>
              <w:t>consensus is understood to mean the practice of adopting decisions by general agreement in the absence of any formal objection</w:t>
            </w:r>
            <w:r w:rsidRPr="00460DE3">
              <w:rPr>
                <w:lang w:val="en-US"/>
              </w:rPr>
              <w:t xml:space="preserve">. In the event that the </w:t>
            </w:r>
            <w:bdo w:val="ltr">
              <w:r w:rsidRPr="00460DE3">
                <w:rPr>
                  <w:lang w:val="en-US"/>
                </w:rPr>
                <w:t>ICANN</w:t>
              </w:r>
              <w:r w:rsidRPr="00460DE3">
                <w:rPr>
                  <w:lang w:val="en-US"/>
                </w:rPr>
                <w:t xml:space="preserve">‬ Board determines to take an action that is not consistent with the Governmental Advisory Committee </w:t>
              </w:r>
              <w:r w:rsidRPr="00460DE3">
                <w:rPr>
                  <w:b/>
                  <w:u w:val="single"/>
                  <w:lang w:val="en-US"/>
                </w:rPr>
                <w:t>consensus</w:t>
              </w:r>
              <w:r>
                <w:rPr>
                  <w:lang w:val="en-US"/>
                </w:rPr>
                <w:t xml:space="preserve"> </w:t>
              </w:r>
              <w:r w:rsidRPr="00460DE3">
                <w:rPr>
                  <w:lang w:val="en-US"/>
                </w:rPr>
                <w:t xml:space="preserve">advice, it shall so inform the Committee and state the reasons why it decided not to follow that advice. The Governmental Advisory Committee and the </w:t>
              </w:r>
              <w:bdo w:val="ltr">
                <w:r w:rsidRPr="00460DE3">
                  <w:rPr>
                    <w:lang w:val="en-US"/>
                  </w:rPr>
                  <w:t>ICANN</w:t>
                </w:r>
                <w:r w:rsidRPr="00460DE3">
                  <w:rPr>
                    <w:lang w:val="en-US"/>
                  </w:rPr>
                  <w:t>‬ Board will then try, in good faith and in a timely and efficient manner, to find a mutually acceptable solution.</w:t>
                </w:r>
                <w:r w:rsidR="00D87132">
                  <w:t>‬</w:t>
                </w:r>
                <w:r w:rsidR="00D87132">
                  <w:t>‬</w:t>
                </w:r>
                <w:r w:rsidR="0035649F">
                  <w:t>‬</w:t>
                </w:r>
                <w:r w:rsidR="0035649F">
                  <w:t>‬</w:t>
                </w:r>
              </w:bdo>
            </w:bdo>
          </w:p>
          <w:p w14:paraId="6E7C7B46" w14:textId="77777777" w:rsidR="00C76967" w:rsidRPr="00460DE3" w:rsidRDefault="00C76967" w:rsidP="00460DE3">
            <w:pPr>
              <w:rPr>
                <w:lang w:val="en-GB"/>
              </w:rPr>
            </w:pPr>
          </w:p>
        </w:tc>
      </w:tr>
    </w:tbl>
    <w:p w14:paraId="57D8D66D" w14:textId="77777777" w:rsidR="00AE5741" w:rsidRDefault="00AE5741">
      <w:pPr>
        <w:rPr>
          <w:lang w:val="en-GB"/>
        </w:rPr>
      </w:pPr>
    </w:p>
    <w:p w14:paraId="34A6FC59" w14:textId="77777777" w:rsidR="005A283A" w:rsidRPr="00865351" w:rsidRDefault="005A283A">
      <w:pPr>
        <w:rPr>
          <w:lang w:val="en-GB"/>
        </w:rPr>
      </w:pPr>
      <w:r>
        <w:rPr>
          <w:lang w:val="en-GB"/>
        </w:rPr>
        <w:t xml:space="preserve">Note: the above language defining “consensus” is a direct copy from Principle 47 of the GAC’s Operating Principles, which refers to the United Nations standard.  GAC’s current Operating Principles as agreed at Dakar in October 2011 are available at </w:t>
      </w:r>
      <w:hyperlink r:id="rId9" w:history="1">
        <w:r w:rsidRPr="00DA1F47">
          <w:rPr>
            <w:rStyle w:val="Hyperlink"/>
            <w:lang w:val="en-GB"/>
          </w:rPr>
          <w:t>https://gacweb.icann.org/display/gacweb/GAC+Operating+Principles</w:t>
        </w:r>
      </w:hyperlink>
      <w:r>
        <w:rPr>
          <w:lang w:val="en-GB"/>
        </w:rPr>
        <w:t xml:space="preserve"> </w:t>
      </w:r>
    </w:p>
    <w:sectPr w:rsidR="005A283A" w:rsidRPr="00865351">
      <w:headerReference w:type="default" r:id="rId1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Julia Katja Wolman" w:date="2015-03-03T12:39:00Z" w:initials="Jukacz">
    <w:p w14:paraId="1C952D4B" w14:textId="022F6B92" w:rsidR="00300D20" w:rsidRDefault="00300D20">
      <w:pPr>
        <w:pStyle w:val="Kommentartekst"/>
      </w:pPr>
      <w:r>
        <w:rPr>
          <w:rStyle w:val="Kommentarhenvisning"/>
        </w:rPr>
        <w:annotationRef/>
      </w:r>
      <w:r>
        <w:t>Replace this paragraph with « </w:t>
      </w:r>
      <w:r w:rsidRPr="00300D20">
        <w:t>Avoid capture of a</w:t>
      </w:r>
      <w:r w:rsidR="00EC0B02">
        <w:t xml:space="preserve"> particular set of interests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B0EB3D" w14:textId="77777777" w:rsidR="0035649F" w:rsidRDefault="0035649F" w:rsidP="00E63976">
      <w:pPr>
        <w:spacing w:after="0" w:line="240" w:lineRule="auto"/>
      </w:pPr>
      <w:r>
        <w:separator/>
      </w:r>
    </w:p>
  </w:endnote>
  <w:endnote w:type="continuationSeparator" w:id="0">
    <w:p w14:paraId="37FF8E50" w14:textId="77777777" w:rsidR="0035649F" w:rsidRDefault="0035649F" w:rsidP="00E63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C11B35" w14:textId="77777777" w:rsidR="0035649F" w:rsidRDefault="0035649F" w:rsidP="00E63976">
      <w:pPr>
        <w:spacing w:after="0" w:line="240" w:lineRule="auto"/>
      </w:pPr>
      <w:r>
        <w:separator/>
      </w:r>
    </w:p>
  </w:footnote>
  <w:footnote w:type="continuationSeparator" w:id="0">
    <w:p w14:paraId="6C4185F6" w14:textId="77777777" w:rsidR="0035649F" w:rsidRDefault="0035649F" w:rsidP="00E639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CF9E0" w14:textId="77777777" w:rsidR="00460DE3" w:rsidRPr="00865351" w:rsidRDefault="00460DE3">
    <w:pPr>
      <w:pStyle w:val="Sidehoved"/>
      <w:rPr>
        <w:lang w:val="en-GB"/>
      </w:rPr>
    </w:pPr>
    <w:r w:rsidRPr="00865351">
      <w:rPr>
        <w:lang w:val="en-GB"/>
      </w:rPr>
      <w:t>CCWG Accountability</w:t>
    </w:r>
    <w:r w:rsidRPr="00865351">
      <w:rPr>
        <w:lang w:val="en-GB"/>
      </w:rPr>
      <w:ptab w:relativeTo="margin" w:alignment="center" w:leader="none"/>
    </w:r>
    <w:r w:rsidRPr="00865351">
      <w:rPr>
        <w:noProof/>
        <w:lang w:val="da-DK" w:eastAsia="da-DK"/>
      </w:rPr>
      <w:drawing>
        <wp:inline distT="0" distB="0" distL="0" distR="0" wp14:anchorId="4015F681" wp14:editId="259E7ACC">
          <wp:extent cx="1983584" cy="511202"/>
          <wp:effectExtent l="0" t="0" r="0" b="3175"/>
          <wp:docPr id="6" name="Picture 7" descr="CCWG_Mechanisms_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descr="CCWG_Mechanisms_a.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83997" cy="511308"/>
                  </a:xfrm>
                  <a:prstGeom prst="rect">
                    <a:avLst/>
                  </a:prstGeom>
                </pic:spPr>
              </pic:pic>
            </a:graphicData>
          </a:graphic>
        </wp:inline>
      </w:drawing>
    </w:r>
    <w:r w:rsidRPr="00865351">
      <w:rPr>
        <w:lang w:val="en-GB"/>
      </w:rPr>
      <w:tab/>
      <w:t>Template</w:t>
    </w:r>
    <w:r w:rsidRPr="00865351">
      <w:rPr>
        <w:lang w:val="en-GB"/>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4677B"/>
    <w:multiLevelType w:val="hybridMultilevel"/>
    <w:tmpl w:val="6E2E6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30052F"/>
    <w:multiLevelType w:val="hybridMultilevel"/>
    <w:tmpl w:val="795AF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B53B21"/>
    <w:multiLevelType w:val="hybridMultilevel"/>
    <w:tmpl w:val="DDC44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2E791E"/>
    <w:multiLevelType w:val="hybridMultilevel"/>
    <w:tmpl w:val="9C501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760E5E"/>
    <w:multiLevelType w:val="hybridMultilevel"/>
    <w:tmpl w:val="AE822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CF5FAF"/>
    <w:multiLevelType w:val="hybridMultilevel"/>
    <w:tmpl w:val="00621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976"/>
    <w:rsid w:val="00125D61"/>
    <w:rsid w:val="001A7717"/>
    <w:rsid w:val="001F349B"/>
    <w:rsid w:val="002B26C9"/>
    <w:rsid w:val="00300D20"/>
    <w:rsid w:val="0035649F"/>
    <w:rsid w:val="00385CA1"/>
    <w:rsid w:val="00460DE3"/>
    <w:rsid w:val="004C5CF7"/>
    <w:rsid w:val="00566F9E"/>
    <w:rsid w:val="00594235"/>
    <w:rsid w:val="005A283A"/>
    <w:rsid w:val="00865351"/>
    <w:rsid w:val="008A43B3"/>
    <w:rsid w:val="008D7ECB"/>
    <w:rsid w:val="009702A5"/>
    <w:rsid w:val="00AE5741"/>
    <w:rsid w:val="00BC5DB5"/>
    <w:rsid w:val="00BF0387"/>
    <w:rsid w:val="00C61C7D"/>
    <w:rsid w:val="00C76967"/>
    <w:rsid w:val="00CC3EE8"/>
    <w:rsid w:val="00D87132"/>
    <w:rsid w:val="00E26A50"/>
    <w:rsid w:val="00E63976"/>
    <w:rsid w:val="00E835BA"/>
    <w:rsid w:val="00E91F48"/>
    <w:rsid w:val="00EC0B02"/>
    <w:rsid w:val="00EC4091"/>
    <w:rsid w:val="00F224D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C10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E6397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63976"/>
    <w:rPr>
      <w:rFonts w:ascii="Tahoma" w:hAnsi="Tahoma" w:cs="Tahoma"/>
      <w:sz w:val="16"/>
      <w:szCs w:val="16"/>
    </w:rPr>
  </w:style>
  <w:style w:type="paragraph" w:styleId="Sidehoved">
    <w:name w:val="header"/>
    <w:basedOn w:val="Normal"/>
    <w:link w:val="SidehovedTegn"/>
    <w:uiPriority w:val="99"/>
    <w:unhideWhenUsed/>
    <w:rsid w:val="00E63976"/>
    <w:pPr>
      <w:tabs>
        <w:tab w:val="center" w:pos="4536"/>
        <w:tab w:val="right" w:pos="9072"/>
      </w:tabs>
      <w:spacing w:after="0" w:line="240" w:lineRule="auto"/>
    </w:pPr>
  </w:style>
  <w:style w:type="character" w:customStyle="1" w:styleId="SidehovedTegn">
    <w:name w:val="Sidehoved Tegn"/>
    <w:basedOn w:val="Standardskrifttypeiafsnit"/>
    <w:link w:val="Sidehoved"/>
    <w:uiPriority w:val="99"/>
    <w:rsid w:val="00E63976"/>
  </w:style>
  <w:style w:type="paragraph" w:styleId="Sidefod">
    <w:name w:val="footer"/>
    <w:basedOn w:val="Normal"/>
    <w:link w:val="SidefodTegn"/>
    <w:uiPriority w:val="99"/>
    <w:unhideWhenUsed/>
    <w:rsid w:val="00E63976"/>
    <w:pPr>
      <w:tabs>
        <w:tab w:val="center" w:pos="4536"/>
        <w:tab w:val="right" w:pos="9072"/>
      </w:tabs>
      <w:spacing w:after="0" w:line="240" w:lineRule="auto"/>
    </w:pPr>
  </w:style>
  <w:style w:type="character" w:customStyle="1" w:styleId="SidefodTegn">
    <w:name w:val="Sidefod Tegn"/>
    <w:basedOn w:val="Standardskrifttypeiafsnit"/>
    <w:link w:val="Sidefod"/>
    <w:uiPriority w:val="99"/>
    <w:rsid w:val="00E63976"/>
  </w:style>
  <w:style w:type="table" w:styleId="Tabel-Gitter">
    <w:name w:val="Table Grid"/>
    <w:basedOn w:val="Tabel-Normal"/>
    <w:uiPriority w:val="59"/>
    <w:rsid w:val="00E639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fsnit">
    <w:name w:val="List Paragraph"/>
    <w:basedOn w:val="Normal"/>
    <w:uiPriority w:val="34"/>
    <w:qFormat/>
    <w:rsid w:val="00C61C7D"/>
    <w:pPr>
      <w:ind w:left="720"/>
      <w:contextualSpacing/>
    </w:pPr>
  </w:style>
  <w:style w:type="paragraph" w:styleId="Fodnotetekst">
    <w:name w:val="footnote text"/>
    <w:basedOn w:val="Normal"/>
    <w:link w:val="FodnotetekstTegn"/>
    <w:uiPriority w:val="99"/>
    <w:unhideWhenUsed/>
    <w:rsid w:val="00AE5741"/>
    <w:pPr>
      <w:spacing w:after="0" w:line="240" w:lineRule="auto"/>
    </w:pPr>
    <w:rPr>
      <w:rFonts w:eastAsiaTheme="minorEastAsia"/>
      <w:sz w:val="24"/>
      <w:szCs w:val="24"/>
      <w:lang w:val="nl-NL"/>
    </w:rPr>
  </w:style>
  <w:style w:type="character" w:customStyle="1" w:styleId="FodnotetekstTegn">
    <w:name w:val="Fodnotetekst Tegn"/>
    <w:basedOn w:val="Standardskrifttypeiafsnit"/>
    <w:link w:val="Fodnotetekst"/>
    <w:uiPriority w:val="99"/>
    <w:rsid w:val="00AE5741"/>
    <w:rPr>
      <w:rFonts w:eastAsiaTheme="minorEastAsia"/>
      <w:sz w:val="24"/>
      <w:szCs w:val="24"/>
      <w:lang w:val="nl-NL"/>
    </w:rPr>
  </w:style>
  <w:style w:type="character" w:styleId="Fodnotehenvisning">
    <w:name w:val="footnote reference"/>
    <w:basedOn w:val="Standardskrifttypeiafsnit"/>
    <w:uiPriority w:val="99"/>
    <w:unhideWhenUsed/>
    <w:rsid w:val="00AE5741"/>
    <w:rPr>
      <w:vertAlign w:val="superscript"/>
    </w:rPr>
  </w:style>
  <w:style w:type="character" w:styleId="Hyperlink">
    <w:name w:val="Hyperlink"/>
    <w:basedOn w:val="Standardskrifttypeiafsnit"/>
    <w:uiPriority w:val="99"/>
    <w:unhideWhenUsed/>
    <w:rsid w:val="005A283A"/>
    <w:rPr>
      <w:color w:val="0000FF" w:themeColor="hyperlink"/>
      <w:u w:val="single"/>
    </w:rPr>
  </w:style>
  <w:style w:type="character" w:styleId="Kommentarhenvisning">
    <w:name w:val="annotation reference"/>
    <w:basedOn w:val="Standardskrifttypeiafsnit"/>
    <w:uiPriority w:val="99"/>
    <w:semiHidden/>
    <w:unhideWhenUsed/>
    <w:rsid w:val="00300D20"/>
    <w:rPr>
      <w:sz w:val="16"/>
      <w:szCs w:val="16"/>
    </w:rPr>
  </w:style>
  <w:style w:type="paragraph" w:styleId="Kommentartekst">
    <w:name w:val="annotation text"/>
    <w:basedOn w:val="Normal"/>
    <w:link w:val="KommentartekstTegn"/>
    <w:uiPriority w:val="99"/>
    <w:semiHidden/>
    <w:unhideWhenUsed/>
    <w:rsid w:val="00300D2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300D20"/>
    <w:rPr>
      <w:sz w:val="20"/>
      <w:szCs w:val="20"/>
    </w:rPr>
  </w:style>
  <w:style w:type="paragraph" w:styleId="Kommentaremne">
    <w:name w:val="annotation subject"/>
    <w:basedOn w:val="Kommentartekst"/>
    <w:next w:val="Kommentartekst"/>
    <w:link w:val="KommentaremneTegn"/>
    <w:uiPriority w:val="99"/>
    <w:semiHidden/>
    <w:unhideWhenUsed/>
    <w:rsid w:val="00300D20"/>
    <w:rPr>
      <w:b/>
      <w:bCs/>
    </w:rPr>
  </w:style>
  <w:style w:type="character" w:customStyle="1" w:styleId="KommentaremneTegn">
    <w:name w:val="Kommentaremne Tegn"/>
    <w:basedOn w:val="KommentartekstTegn"/>
    <w:link w:val="Kommentaremne"/>
    <w:uiPriority w:val="99"/>
    <w:semiHidden/>
    <w:rsid w:val="00300D20"/>
    <w:rPr>
      <w:b/>
      <w:bCs/>
      <w:sz w:val="20"/>
      <w:szCs w:val="20"/>
    </w:rPr>
  </w:style>
  <w:style w:type="paragraph" w:styleId="Almindeligtekst">
    <w:name w:val="Plain Text"/>
    <w:basedOn w:val="Normal"/>
    <w:link w:val="AlmindeligtekstTegn"/>
    <w:uiPriority w:val="99"/>
    <w:semiHidden/>
    <w:unhideWhenUsed/>
    <w:rsid w:val="00300D20"/>
    <w:pPr>
      <w:spacing w:after="0" w:line="240" w:lineRule="auto"/>
    </w:pPr>
    <w:rPr>
      <w:rFonts w:ascii="Calibri" w:hAnsi="Calibri"/>
      <w:szCs w:val="21"/>
      <w:lang w:val="da-DK"/>
    </w:rPr>
  </w:style>
  <w:style w:type="character" w:customStyle="1" w:styleId="AlmindeligtekstTegn">
    <w:name w:val="Almindelig tekst Tegn"/>
    <w:basedOn w:val="Standardskrifttypeiafsnit"/>
    <w:link w:val="Almindeligtekst"/>
    <w:uiPriority w:val="99"/>
    <w:semiHidden/>
    <w:rsid w:val="00300D20"/>
    <w:rPr>
      <w:rFonts w:ascii="Calibri" w:hAnsi="Calibri"/>
      <w:szCs w:val="21"/>
      <w:lang w:val="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E6397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63976"/>
    <w:rPr>
      <w:rFonts w:ascii="Tahoma" w:hAnsi="Tahoma" w:cs="Tahoma"/>
      <w:sz w:val="16"/>
      <w:szCs w:val="16"/>
    </w:rPr>
  </w:style>
  <w:style w:type="paragraph" w:styleId="Sidehoved">
    <w:name w:val="header"/>
    <w:basedOn w:val="Normal"/>
    <w:link w:val="SidehovedTegn"/>
    <w:uiPriority w:val="99"/>
    <w:unhideWhenUsed/>
    <w:rsid w:val="00E63976"/>
    <w:pPr>
      <w:tabs>
        <w:tab w:val="center" w:pos="4536"/>
        <w:tab w:val="right" w:pos="9072"/>
      </w:tabs>
      <w:spacing w:after="0" w:line="240" w:lineRule="auto"/>
    </w:pPr>
  </w:style>
  <w:style w:type="character" w:customStyle="1" w:styleId="SidehovedTegn">
    <w:name w:val="Sidehoved Tegn"/>
    <w:basedOn w:val="Standardskrifttypeiafsnit"/>
    <w:link w:val="Sidehoved"/>
    <w:uiPriority w:val="99"/>
    <w:rsid w:val="00E63976"/>
  </w:style>
  <w:style w:type="paragraph" w:styleId="Sidefod">
    <w:name w:val="footer"/>
    <w:basedOn w:val="Normal"/>
    <w:link w:val="SidefodTegn"/>
    <w:uiPriority w:val="99"/>
    <w:unhideWhenUsed/>
    <w:rsid w:val="00E63976"/>
    <w:pPr>
      <w:tabs>
        <w:tab w:val="center" w:pos="4536"/>
        <w:tab w:val="right" w:pos="9072"/>
      </w:tabs>
      <w:spacing w:after="0" w:line="240" w:lineRule="auto"/>
    </w:pPr>
  </w:style>
  <w:style w:type="character" w:customStyle="1" w:styleId="SidefodTegn">
    <w:name w:val="Sidefod Tegn"/>
    <w:basedOn w:val="Standardskrifttypeiafsnit"/>
    <w:link w:val="Sidefod"/>
    <w:uiPriority w:val="99"/>
    <w:rsid w:val="00E63976"/>
  </w:style>
  <w:style w:type="table" w:styleId="Tabel-Gitter">
    <w:name w:val="Table Grid"/>
    <w:basedOn w:val="Tabel-Normal"/>
    <w:uiPriority w:val="59"/>
    <w:rsid w:val="00E639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fsnit">
    <w:name w:val="List Paragraph"/>
    <w:basedOn w:val="Normal"/>
    <w:uiPriority w:val="34"/>
    <w:qFormat/>
    <w:rsid w:val="00C61C7D"/>
    <w:pPr>
      <w:ind w:left="720"/>
      <w:contextualSpacing/>
    </w:pPr>
  </w:style>
  <w:style w:type="paragraph" w:styleId="Fodnotetekst">
    <w:name w:val="footnote text"/>
    <w:basedOn w:val="Normal"/>
    <w:link w:val="FodnotetekstTegn"/>
    <w:uiPriority w:val="99"/>
    <w:unhideWhenUsed/>
    <w:rsid w:val="00AE5741"/>
    <w:pPr>
      <w:spacing w:after="0" w:line="240" w:lineRule="auto"/>
    </w:pPr>
    <w:rPr>
      <w:rFonts w:eastAsiaTheme="minorEastAsia"/>
      <w:sz w:val="24"/>
      <w:szCs w:val="24"/>
      <w:lang w:val="nl-NL"/>
    </w:rPr>
  </w:style>
  <w:style w:type="character" w:customStyle="1" w:styleId="FodnotetekstTegn">
    <w:name w:val="Fodnotetekst Tegn"/>
    <w:basedOn w:val="Standardskrifttypeiafsnit"/>
    <w:link w:val="Fodnotetekst"/>
    <w:uiPriority w:val="99"/>
    <w:rsid w:val="00AE5741"/>
    <w:rPr>
      <w:rFonts w:eastAsiaTheme="minorEastAsia"/>
      <w:sz w:val="24"/>
      <w:szCs w:val="24"/>
      <w:lang w:val="nl-NL"/>
    </w:rPr>
  </w:style>
  <w:style w:type="character" w:styleId="Fodnotehenvisning">
    <w:name w:val="footnote reference"/>
    <w:basedOn w:val="Standardskrifttypeiafsnit"/>
    <w:uiPriority w:val="99"/>
    <w:unhideWhenUsed/>
    <w:rsid w:val="00AE5741"/>
    <w:rPr>
      <w:vertAlign w:val="superscript"/>
    </w:rPr>
  </w:style>
  <w:style w:type="character" w:styleId="Hyperlink">
    <w:name w:val="Hyperlink"/>
    <w:basedOn w:val="Standardskrifttypeiafsnit"/>
    <w:uiPriority w:val="99"/>
    <w:unhideWhenUsed/>
    <w:rsid w:val="005A283A"/>
    <w:rPr>
      <w:color w:val="0000FF" w:themeColor="hyperlink"/>
      <w:u w:val="single"/>
    </w:rPr>
  </w:style>
  <w:style w:type="character" w:styleId="Kommentarhenvisning">
    <w:name w:val="annotation reference"/>
    <w:basedOn w:val="Standardskrifttypeiafsnit"/>
    <w:uiPriority w:val="99"/>
    <w:semiHidden/>
    <w:unhideWhenUsed/>
    <w:rsid w:val="00300D20"/>
    <w:rPr>
      <w:sz w:val="16"/>
      <w:szCs w:val="16"/>
    </w:rPr>
  </w:style>
  <w:style w:type="paragraph" w:styleId="Kommentartekst">
    <w:name w:val="annotation text"/>
    <w:basedOn w:val="Normal"/>
    <w:link w:val="KommentartekstTegn"/>
    <w:uiPriority w:val="99"/>
    <w:semiHidden/>
    <w:unhideWhenUsed/>
    <w:rsid w:val="00300D2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300D20"/>
    <w:rPr>
      <w:sz w:val="20"/>
      <w:szCs w:val="20"/>
    </w:rPr>
  </w:style>
  <w:style w:type="paragraph" w:styleId="Kommentaremne">
    <w:name w:val="annotation subject"/>
    <w:basedOn w:val="Kommentartekst"/>
    <w:next w:val="Kommentartekst"/>
    <w:link w:val="KommentaremneTegn"/>
    <w:uiPriority w:val="99"/>
    <w:semiHidden/>
    <w:unhideWhenUsed/>
    <w:rsid w:val="00300D20"/>
    <w:rPr>
      <w:b/>
      <w:bCs/>
    </w:rPr>
  </w:style>
  <w:style w:type="character" w:customStyle="1" w:styleId="KommentaremneTegn">
    <w:name w:val="Kommentaremne Tegn"/>
    <w:basedOn w:val="KommentartekstTegn"/>
    <w:link w:val="Kommentaremne"/>
    <w:uiPriority w:val="99"/>
    <w:semiHidden/>
    <w:rsid w:val="00300D20"/>
    <w:rPr>
      <w:b/>
      <w:bCs/>
      <w:sz w:val="20"/>
      <w:szCs w:val="20"/>
    </w:rPr>
  </w:style>
  <w:style w:type="paragraph" w:styleId="Almindeligtekst">
    <w:name w:val="Plain Text"/>
    <w:basedOn w:val="Normal"/>
    <w:link w:val="AlmindeligtekstTegn"/>
    <w:uiPriority w:val="99"/>
    <w:semiHidden/>
    <w:unhideWhenUsed/>
    <w:rsid w:val="00300D20"/>
    <w:pPr>
      <w:spacing w:after="0" w:line="240" w:lineRule="auto"/>
    </w:pPr>
    <w:rPr>
      <w:rFonts w:ascii="Calibri" w:hAnsi="Calibri"/>
      <w:szCs w:val="21"/>
      <w:lang w:val="da-DK"/>
    </w:rPr>
  </w:style>
  <w:style w:type="character" w:customStyle="1" w:styleId="AlmindeligtekstTegn">
    <w:name w:val="Almindelig tekst Tegn"/>
    <w:basedOn w:val="Standardskrifttypeiafsnit"/>
    <w:link w:val="Almindeligtekst"/>
    <w:uiPriority w:val="99"/>
    <w:semiHidden/>
    <w:rsid w:val="00300D20"/>
    <w:rPr>
      <w:rFonts w:ascii="Calibri" w:hAnsi="Calibri"/>
      <w:szCs w:val="21"/>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22299">
      <w:bodyDiv w:val="1"/>
      <w:marLeft w:val="0"/>
      <w:marRight w:val="0"/>
      <w:marTop w:val="0"/>
      <w:marBottom w:val="0"/>
      <w:divBdr>
        <w:top w:val="none" w:sz="0" w:space="0" w:color="auto"/>
        <w:left w:val="none" w:sz="0" w:space="0" w:color="auto"/>
        <w:bottom w:val="none" w:sz="0" w:space="0" w:color="auto"/>
        <w:right w:val="none" w:sz="0" w:space="0" w:color="auto"/>
      </w:divBdr>
      <w:divsChild>
        <w:div w:id="698973666">
          <w:marLeft w:val="1166"/>
          <w:marRight w:val="0"/>
          <w:marTop w:val="72"/>
          <w:marBottom w:val="0"/>
          <w:divBdr>
            <w:top w:val="none" w:sz="0" w:space="0" w:color="auto"/>
            <w:left w:val="none" w:sz="0" w:space="0" w:color="auto"/>
            <w:bottom w:val="none" w:sz="0" w:space="0" w:color="auto"/>
            <w:right w:val="none" w:sz="0" w:space="0" w:color="auto"/>
          </w:divBdr>
        </w:div>
      </w:divsChild>
    </w:div>
    <w:div w:id="111714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acweb.icann.org/display/gacweb/GAC+Operating+Princip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642</Words>
  <Characters>3919</Characters>
  <Application>Microsoft Office Word</Application>
  <DocSecurity>0</DocSecurity>
  <Lines>32</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Erhvervsstyrelsen</Company>
  <LinksUpToDate>false</LinksUpToDate>
  <CharactersWithSpaces>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Mathieu Weill</dc:creator>
  <cp:lastModifiedBy>Julia Katja Wolman</cp:lastModifiedBy>
  <cp:revision>3</cp:revision>
  <dcterms:created xsi:type="dcterms:W3CDTF">2015-03-03T11:28:00Z</dcterms:created>
  <dcterms:modified xsi:type="dcterms:W3CDTF">2015-03-03T11:39:00Z</dcterms:modified>
</cp:coreProperties>
</file>