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9EEB" w14:textId="77777777" w:rsidR="00F9453B" w:rsidRDefault="00F9453B" w:rsidP="00F9453B">
      <w:pPr>
        <w:pStyle w:val="NoSpacing"/>
        <w:rPr>
          <w:lang w:val="en-GB"/>
        </w:rPr>
      </w:pPr>
    </w:p>
    <w:p w14:paraId="022D9A4C" w14:textId="33617DEC" w:rsidR="00E63976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Work Item: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053A8D">
        <w:rPr>
          <w:b/>
          <w:lang w:val="en-GB"/>
        </w:rPr>
        <w:t>WP1-5B-</w:t>
      </w:r>
      <w:r w:rsidR="008A3535">
        <w:rPr>
          <w:b/>
          <w:lang w:val="en-GB"/>
        </w:rPr>
        <w:t>2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="00053A8D">
        <w:rPr>
          <w:b/>
          <w:lang w:val="en-GB"/>
        </w:rPr>
        <w:t>Prevent ICANN Imposing Obligations –</w:t>
      </w:r>
      <w:r w:rsidR="008A3535">
        <w:rPr>
          <w:b/>
          <w:lang w:val="en-GB"/>
        </w:rPr>
        <w:t xml:space="preserve"> Golden Bylaw</w:t>
      </w:r>
    </w:p>
    <w:p w14:paraId="27E53F9C" w14:textId="7892AFE3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Drafter:</w:t>
      </w:r>
      <w:r w:rsidRPr="006F4348">
        <w:rPr>
          <w:b/>
          <w:lang w:val="en-GB"/>
        </w:rPr>
        <w:tab/>
      </w:r>
      <w:r w:rsidR="00053A8D">
        <w:rPr>
          <w:lang w:val="en-GB"/>
        </w:rPr>
        <w:t>Keith Drazek (kdrazek@verisign.com)</w:t>
      </w:r>
    </w:p>
    <w:p w14:paraId="5057A8EE" w14:textId="1D8AF155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Version:</w:t>
      </w:r>
      <w:r w:rsidR="00053A8D">
        <w:rPr>
          <w:lang w:val="en-GB"/>
        </w:rPr>
        <w:tab/>
        <w:t>1.0</w:t>
      </w:r>
    </w:p>
    <w:p w14:paraId="2E8ACD3B" w14:textId="4A19E32F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Date:</w:t>
      </w:r>
      <w:r w:rsidRPr="006F4348">
        <w:rPr>
          <w:b/>
          <w:lang w:val="en-GB"/>
        </w:rPr>
        <w:tab/>
      </w:r>
      <w:r>
        <w:rPr>
          <w:lang w:val="en-GB"/>
        </w:rPr>
        <w:tab/>
        <w:t>Circulated on 1</w:t>
      </w:r>
      <w:r w:rsidR="00053A8D">
        <w:rPr>
          <w:lang w:val="en-GB"/>
        </w:rPr>
        <w:t>3 March 2015</w:t>
      </w:r>
    </w:p>
    <w:p w14:paraId="77319507" w14:textId="77777777" w:rsidR="00F9453B" w:rsidRPr="00F9453B" w:rsidRDefault="00F9453B" w:rsidP="00F9453B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99"/>
        <w:gridCol w:w="5793"/>
      </w:tblGrid>
      <w:tr w:rsidR="00C76967" w:rsidRPr="00224B42" w14:paraId="436F335B" w14:textId="77777777" w:rsidTr="00426A0A">
        <w:trPr>
          <w:cantSplit/>
        </w:trPr>
        <w:tc>
          <w:tcPr>
            <w:tcW w:w="1696" w:type="dxa"/>
            <w:vMerge w:val="restart"/>
            <w:vAlign w:val="center"/>
          </w:tcPr>
          <w:p w14:paraId="2A8509D6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Description</w:t>
            </w:r>
          </w:p>
        </w:tc>
        <w:tc>
          <w:tcPr>
            <w:tcW w:w="1799" w:type="dxa"/>
          </w:tcPr>
          <w:p w14:paraId="4CD7215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Name of Mechanism</w:t>
            </w:r>
          </w:p>
        </w:tc>
        <w:tc>
          <w:tcPr>
            <w:tcW w:w="5793" w:type="dxa"/>
          </w:tcPr>
          <w:p w14:paraId="0A12485F" w14:textId="77777777" w:rsidR="00C76967" w:rsidRDefault="00053A8D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Prevent ICANN Imposing Obligations</w:t>
            </w:r>
          </w:p>
          <w:p w14:paraId="7428270E" w14:textId="701016A3" w:rsidR="00053A8D" w:rsidRPr="00316D3F" w:rsidRDefault="008A3535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(through introduction of a Golden Bylaw</w:t>
            </w:r>
            <w:r w:rsidR="00053A8D">
              <w:rPr>
                <w:b/>
                <w:lang w:val="en-GB"/>
              </w:rPr>
              <w:t>)</w:t>
            </w:r>
          </w:p>
        </w:tc>
      </w:tr>
      <w:tr w:rsidR="00C76967" w:rsidRPr="00224B42" w14:paraId="3A3303FF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1C11F9DC" w14:textId="7A6F2925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78AB318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Description</w:t>
            </w:r>
          </w:p>
        </w:tc>
        <w:tc>
          <w:tcPr>
            <w:tcW w:w="5793" w:type="dxa"/>
          </w:tcPr>
          <w:p w14:paraId="772ED374" w14:textId="4A50B6A1" w:rsidR="00C5136C" w:rsidRPr="00C5136C" w:rsidRDefault="00224B42" w:rsidP="00C5136C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This would be a new</w:t>
            </w:r>
            <w:r w:rsidRPr="00224B42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 </w:t>
            </w:r>
            <w:r w:rsidR="00053A8D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restriction to prevent ICANN from expanding its mandate through the unilateral addition of new obligations or requirements on registries, registrars and registrants.</w:t>
            </w:r>
          </w:p>
          <w:p w14:paraId="5A98FD1C" w14:textId="18A8308B" w:rsidR="00F9453B" w:rsidRPr="00D61529" w:rsidRDefault="00F9453B" w:rsidP="00C5136C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</w:p>
        </w:tc>
      </w:tr>
      <w:tr w:rsidR="00C76967" w:rsidRPr="00224B42" w14:paraId="3C0ACCF2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522D2BE5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29F9D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Category (check &amp; balance, review, re</w:t>
            </w:r>
            <w:bookmarkStart w:id="0" w:name="_GoBack"/>
            <w:bookmarkEnd w:id="0"/>
            <w:r w:rsidRPr="00224B42">
              <w:rPr>
                <w:lang w:val="en-GB"/>
              </w:rPr>
              <w:t>dress)</w:t>
            </w:r>
          </w:p>
        </w:tc>
        <w:tc>
          <w:tcPr>
            <w:tcW w:w="5793" w:type="dxa"/>
          </w:tcPr>
          <w:p w14:paraId="07EFCF5E" w14:textId="5609A3F3" w:rsidR="00C76967" w:rsidRDefault="00224B42" w:rsidP="002B26C9">
            <w:pPr>
              <w:rPr>
                <w:lang w:val="en-GB"/>
              </w:rPr>
            </w:pPr>
            <w:r w:rsidRPr="003C4C6E">
              <w:rPr>
                <w:b/>
                <w:lang w:val="en-GB"/>
              </w:rPr>
              <w:t>Check and balance</w:t>
            </w:r>
            <w:r w:rsidR="00F9453B">
              <w:rPr>
                <w:lang w:val="en-GB"/>
              </w:rPr>
              <w:t>:</w:t>
            </w:r>
            <w:r w:rsidR="00053A8D">
              <w:rPr>
                <w:lang w:val="en-GB"/>
              </w:rPr>
              <w:t xml:space="preserve"> This restriction will ensure that ICA</w:t>
            </w:r>
            <w:r w:rsidR="00C5136C">
              <w:rPr>
                <w:lang w:val="en-GB"/>
              </w:rPr>
              <w:t>NN cannot use its</w:t>
            </w:r>
            <w:r w:rsidR="00053A8D">
              <w:rPr>
                <w:lang w:val="en-GB"/>
              </w:rPr>
              <w:t xml:space="preserve"> position to unilaterally impose new requirements on its contracted counter-parties, including domain name registrants. It ensures that ICANN must rely on established processes to develop and implement new or amended policies</w:t>
            </w:r>
            <w:r w:rsidR="00C5136C">
              <w:rPr>
                <w:lang w:val="en-GB"/>
              </w:rPr>
              <w:t xml:space="preserve"> that are necessary for the secure and stable operation of the DNS</w:t>
            </w:r>
            <w:r w:rsidR="00053A8D">
              <w:rPr>
                <w:lang w:val="en-GB"/>
              </w:rPr>
              <w:t xml:space="preserve">. It ensures </w:t>
            </w:r>
            <w:r w:rsidR="008A3535">
              <w:rPr>
                <w:lang w:val="en-GB"/>
              </w:rPr>
              <w:t xml:space="preserve">the </w:t>
            </w:r>
            <w:r w:rsidR="00053A8D">
              <w:rPr>
                <w:lang w:val="en-GB"/>
              </w:rPr>
              <w:t xml:space="preserve">multi-stakeholder community is responsible for developing consensus policies within predictable and transparent bottom-up processes, and </w:t>
            </w:r>
            <w:r w:rsidR="008A3535">
              <w:rPr>
                <w:lang w:val="en-GB"/>
              </w:rPr>
              <w:t xml:space="preserve">ensures </w:t>
            </w:r>
            <w:r w:rsidR="00053A8D">
              <w:rPr>
                <w:lang w:val="en-GB"/>
              </w:rPr>
              <w:t>that role cannot be circumvented by ICANN.</w:t>
            </w:r>
          </w:p>
          <w:p w14:paraId="71AE0536" w14:textId="34003B4D" w:rsidR="00F9453B" w:rsidRPr="00224B42" w:rsidRDefault="00F9453B" w:rsidP="00053A8D">
            <w:pPr>
              <w:rPr>
                <w:lang w:val="en-GB"/>
              </w:rPr>
            </w:pPr>
          </w:p>
        </w:tc>
      </w:tr>
      <w:tr w:rsidR="00E835BA" w:rsidRPr="00224B42" w14:paraId="1DBC3B15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05654226" w14:textId="77777777" w:rsidR="00E835BA" w:rsidRPr="00224B42" w:rsidRDefault="00E835BA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18A7644E" w14:textId="77777777" w:rsidR="00E835BA" w:rsidRPr="00224B42" w:rsidRDefault="00E835BA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Is the mechanism triggered or non </w:t>
            </w:r>
            <w:proofErr w:type="gramStart"/>
            <w:r w:rsidRPr="00224B42">
              <w:rPr>
                <w:lang w:val="en-GB"/>
              </w:rPr>
              <w:t>triggered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793" w:type="dxa"/>
          </w:tcPr>
          <w:p w14:paraId="58C81EBE" w14:textId="42E7E2B9" w:rsidR="00F9453B" w:rsidRPr="003C4C6E" w:rsidRDefault="0038075B" w:rsidP="00224B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Non-Triggered</w:t>
            </w:r>
          </w:p>
          <w:p w14:paraId="68BFB629" w14:textId="10ACD0AC" w:rsidR="00F9453B" w:rsidRPr="00224B42" w:rsidRDefault="0038075B" w:rsidP="008A3535">
            <w:pPr>
              <w:rPr>
                <w:lang w:val="en-GB"/>
              </w:rPr>
            </w:pPr>
            <w:r>
              <w:rPr>
                <w:lang w:val="en-GB"/>
              </w:rPr>
              <w:t xml:space="preserve">Through </w:t>
            </w:r>
            <w:r w:rsidR="008A3535">
              <w:rPr>
                <w:lang w:val="en-GB"/>
              </w:rPr>
              <w:t xml:space="preserve">the introduction of </w:t>
            </w:r>
            <w:r>
              <w:rPr>
                <w:lang w:val="en-GB"/>
              </w:rPr>
              <w:t xml:space="preserve">a new </w:t>
            </w:r>
            <w:r w:rsidR="008A3535">
              <w:rPr>
                <w:lang w:val="en-GB"/>
              </w:rPr>
              <w:t xml:space="preserve">Golden Bylaw, </w:t>
            </w:r>
            <w:r>
              <w:rPr>
                <w:lang w:val="en-GB"/>
              </w:rPr>
              <w:t>this would be a new, non-triggered mechanism</w:t>
            </w:r>
            <w:r w:rsidR="008A3535">
              <w:rPr>
                <w:lang w:val="en-GB"/>
              </w:rPr>
              <w:t xml:space="preserve"> that prevents ICANN from creating new and unilateral obligations on registries, registrars and registrants outside of accepted consensus processes.</w:t>
            </w:r>
          </w:p>
        </w:tc>
      </w:tr>
      <w:tr w:rsidR="00C76967" w:rsidRPr="00224B42" w14:paraId="600A9529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59335597" w14:textId="10505231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21676E34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Possible outcomes (approval, re-do, amendment of decision, etc.)</w:t>
            </w:r>
          </w:p>
        </w:tc>
        <w:tc>
          <w:tcPr>
            <w:tcW w:w="5793" w:type="dxa"/>
          </w:tcPr>
          <w:p w14:paraId="572C7829" w14:textId="0DFD5273" w:rsidR="00C5136C" w:rsidRPr="00F9453B" w:rsidRDefault="0038075B" w:rsidP="00C5136C">
            <w:pPr>
              <w:rPr>
                <w:lang w:val="en-GB"/>
              </w:rPr>
            </w:pPr>
            <w:r>
              <w:rPr>
                <w:lang w:val="en-GB"/>
              </w:rPr>
              <w:t xml:space="preserve">A new </w:t>
            </w:r>
            <w:r w:rsidR="008A3535">
              <w:rPr>
                <w:lang w:val="en-GB"/>
              </w:rPr>
              <w:t xml:space="preserve">Golden Bylaw would give the community </w:t>
            </w:r>
            <w:r>
              <w:rPr>
                <w:lang w:val="en-GB"/>
              </w:rPr>
              <w:t>powers to constrain an ICANN staff and</w:t>
            </w:r>
            <w:r w:rsidR="00D04E69">
              <w:rPr>
                <w:lang w:val="en-GB"/>
              </w:rPr>
              <w:t>/or</w:t>
            </w:r>
            <w:r>
              <w:rPr>
                <w:lang w:val="en-GB"/>
              </w:rPr>
              <w:t xml:space="preserve"> Board that attempted to expand</w:t>
            </w:r>
            <w:r w:rsidR="00D04E69">
              <w:rPr>
                <w:lang w:val="en-GB"/>
              </w:rPr>
              <w:t xml:space="preserve"> its mandate beyond accepted borders through the addition of </w:t>
            </w:r>
            <w:r>
              <w:rPr>
                <w:lang w:val="en-GB"/>
              </w:rPr>
              <w:t xml:space="preserve">new requirements on contracted parties and registrants. Breach of the </w:t>
            </w:r>
            <w:r w:rsidR="008A3535">
              <w:rPr>
                <w:lang w:val="en-GB"/>
              </w:rPr>
              <w:t>Golden Bylaw by IC</w:t>
            </w:r>
            <w:r>
              <w:rPr>
                <w:lang w:val="en-GB"/>
              </w:rPr>
              <w:t xml:space="preserve">ANN would constitute grounds </w:t>
            </w:r>
            <w:r w:rsidR="008A3535">
              <w:rPr>
                <w:lang w:val="en-GB"/>
              </w:rPr>
              <w:t>for reconsideration and redress.</w:t>
            </w:r>
            <w:r w:rsidR="00C5136C">
              <w:rPr>
                <w:lang w:val="en-GB"/>
              </w:rPr>
              <w:t xml:space="preserve"> D</w:t>
            </w:r>
            <w:r w:rsidR="00C5136C" w:rsidRPr="00C5136C">
              <w:rPr>
                <w:lang w:val="en-GB"/>
              </w:rPr>
              <w:t xml:space="preserve">isputes </w:t>
            </w:r>
            <w:r w:rsidR="00C5136C">
              <w:rPr>
                <w:lang w:val="en-GB"/>
              </w:rPr>
              <w:t xml:space="preserve">could </w:t>
            </w:r>
            <w:r w:rsidR="00C5136C" w:rsidRPr="00C5136C">
              <w:rPr>
                <w:lang w:val="en-GB"/>
              </w:rPr>
              <w:t xml:space="preserve">go to </w:t>
            </w:r>
            <w:r w:rsidR="00C5136C">
              <w:rPr>
                <w:lang w:val="en-GB"/>
              </w:rPr>
              <w:t xml:space="preserve">an </w:t>
            </w:r>
            <w:r w:rsidR="00C5136C" w:rsidRPr="00C5136C">
              <w:rPr>
                <w:lang w:val="en-GB"/>
              </w:rPr>
              <w:t>independent arbitration panel that could issue binding decisions.</w:t>
            </w:r>
          </w:p>
        </w:tc>
      </w:tr>
      <w:tr w:rsidR="00C76967" w:rsidRPr="00224B42" w14:paraId="15ED5770" w14:textId="77777777" w:rsidTr="00426A0A">
        <w:trPr>
          <w:cantSplit/>
        </w:trPr>
        <w:tc>
          <w:tcPr>
            <w:tcW w:w="1696" w:type="dxa"/>
            <w:vAlign w:val="center"/>
          </w:tcPr>
          <w:p w14:paraId="11091EB0" w14:textId="56621EF4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Standing</w:t>
            </w:r>
          </w:p>
        </w:tc>
        <w:tc>
          <w:tcPr>
            <w:tcW w:w="1799" w:type="dxa"/>
          </w:tcPr>
          <w:p w14:paraId="25EB02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Conditions of standing (</w:t>
            </w:r>
            <w:proofErr w:type="spellStart"/>
            <w:r w:rsidRPr="00224B42">
              <w:rPr>
                <w:lang w:val="en-GB"/>
              </w:rPr>
              <w:t>ie</w:t>
            </w:r>
            <w:proofErr w:type="spellEnd"/>
            <w:r w:rsidRPr="00224B42">
              <w:rPr>
                <w:lang w:val="en-GB"/>
              </w:rPr>
              <w:t xml:space="preserve"> « last resort », type of decision being challenged, …)</w:t>
            </w:r>
          </w:p>
        </w:tc>
        <w:tc>
          <w:tcPr>
            <w:tcW w:w="5793" w:type="dxa"/>
          </w:tcPr>
          <w:p w14:paraId="5D2C375B" w14:textId="3C77EFFE" w:rsidR="00C76967" w:rsidRDefault="00426A0A" w:rsidP="00F9453B">
            <w:pPr>
              <w:rPr>
                <w:lang w:val="en-GB"/>
              </w:rPr>
            </w:pPr>
            <w:r>
              <w:rPr>
                <w:lang w:val="en-GB"/>
              </w:rPr>
              <w:t>The Contracted Parties (Registries, Registrars and Registrants)</w:t>
            </w:r>
            <w:r w:rsidR="00F9453B">
              <w:rPr>
                <w:lang w:val="en-GB"/>
              </w:rPr>
              <w:t xml:space="preserve"> would have the </w:t>
            </w:r>
            <w:r>
              <w:rPr>
                <w:lang w:val="en-GB"/>
              </w:rPr>
              <w:t xml:space="preserve">power to trigger this mechanism if needed. </w:t>
            </w:r>
            <w:r w:rsidR="00B55D68">
              <w:rPr>
                <w:lang w:val="en-GB"/>
              </w:rPr>
              <w:t>As a non-triggered mechanism, a</w:t>
            </w:r>
            <w:r>
              <w:rPr>
                <w:lang w:val="en-GB"/>
              </w:rPr>
              <w:t xml:space="preserve"> clear and concise </w:t>
            </w:r>
            <w:r w:rsidR="00B55D68">
              <w:rPr>
                <w:lang w:val="en-GB"/>
              </w:rPr>
              <w:t xml:space="preserve">Bylaw clause would </w:t>
            </w:r>
            <w:r>
              <w:rPr>
                <w:lang w:val="en-GB"/>
              </w:rPr>
              <w:t xml:space="preserve">ideally act as a deterrent to </w:t>
            </w:r>
            <w:r w:rsidR="00D04E69">
              <w:rPr>
                <w:lang w:val="en-GB"/>
              </w:rPr>
              <w:t>ICANN unilaterally imposing</w:t>
            </w:r>
            <w:r>
              <w:rPr>
                <w:lang w:val="en-GB"/>
              </w:rPr>
              <w:t xml:space="preserve"> new obligations on contracted parties.</w:t>
            </w:r>
          </w:p>
          <w:p w14:paraId="04549187" w14:textId="77777777" w:rsidR="00F9453B" w:rsidRDefault="00F9453B" w:rsidP="00F9453B">
            <w:pPr>
              <w:rPr>
                <w:lang w:val="en-GB"/>
              </w:rPr>
            </w:pPr>
          </w:p>
          <w:p w14:paraId="3B5F97FF" w14:textId="77777777" w:rsidR="00F9453B" w:rsidRDefault="00F9453B" w:rsidP="00F9453B">
            <w:pPr>
              <w:rPr>
                <w:lang w:val="en-GB"/>
              </w:rPr>
            </w:pPr>
          </w:p>
          <w:p w14:paraId="43D67904" w14:textId="3F317845" w:rsidR="00F9453B" w:rsidRPr="00224B42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40C14F8" w14:textId="77777777" w:rsidTr="00426A0A">
        <w:trPr>
          <w:cantSplit/>
        </w:trPr>
        <w:tc>
          <w:tcPr>
            <w:tcW w:w="1696" w:type="dxa"/>
            <w:vAlign w:val="center"/>
          </w:tcPr>
          <w:p w14:paraId="4ED5C87D" w14:textId="53D539AF" w:rsidR="00C76967" w:rsidRPr="00224B42" w:rsidRDefault="00426A0A" w:rsidP="00C769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Decision-Making</w:t>
            </w:r>
          </w:p>
        </w:tc>
        <w:tc>
          <w:tcPr>
            <w:tcW w:w="1799" w:type="dxa"/>
          </w:tcPr>
          <w:p w14:paraId="7A7944E3" w14:textId="3EEF71FE" w:rsidR="00C76967" w:rsidRPr="00224B42" w:rsidRDefault="00D04E69" w:rsidP="00E639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Who decides when the </w:t>
            </w:r>
            <w:r w:rsidR="00B55D68">
              <w:rPr>
                <w:lang w:val="en-GB"/>
              </w:rPr>
              <w:t>Golden Bylaw is breached and what proce</w:t>
            </w:r>
            <w:r>
              <w:rPr>
                <w:lang w:val="en-GB"/>
              </w:rPr>
              <w:t>dures are to be used?</w:t>
            </w:r>
          </w:p>
        </w:tc>
        <w:tc>
          <w:tcPr>
            <w:tcW w:w="5793" w:type="dxa"/>
          </w:tcPr>
          <w:p w14:paraId="4A16E8A6" w14:textId="16416CE5" w:rsidR="00D04E69" w:rsidRDefault="00D04E69" w:rsidP="002B26C9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B55D68">
              <w:rPr>
                <w:lang w:val="en-GB"/>
              </w:rPr>
              <w:t xml:space="preserve">Golden Bylaw </w:t>
            </w:r>
            <w:r>
              <w:rPr>
                <w:lang w:val="en-GB"/>
              </w:rPr>
              <w:t>would need to clearly establish:</w:t>
            </w:r>
          </w:p>
          <w:p w14:paraId="3719E5E1" w14:textId="77777777" w:rsid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 w:rsidRPr="00D04E69">
              <w:rPr>
                <w:lang w:val="en-GB"/>
              </w:rPr>
              <w:t>thresholds for breach</w:t>
            </w:r>
          </w:p>
          <w:p w14:paraId="1B8AB74F" w14:textId="33A706C0" w:rsid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notice procedures</w:t>
            </w:r>
          </w:p>
          <w:p w14:paraId="35E3CDC9" w14:textId="70BC6655" w:rsidR="00C76967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opportunities for cure</w:t>
            </w:r>
          </w:p>
          <w:p w14:paraId="1954C4BC" w14:textId="3D274E96" w:rsidR="00D04E69" w:rsidRP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penalties for breaches not cured</w:t>
            </w:r>
          </w:p>
        </w:tc>
      </w:tr>
      <w:tr w:rsidR="00C76967" w:rsidRPr="00224B42" w14:paraId="2F6D09EF" w14:textId="77777777" w:rsidTr="00426A0A">
        <w:trPr>
          <w:cantSplit/>
        </w:trPr>
        <w:tc>
          <w:tcPr>
            <w:tcW w:w="1696" w:type="dxa"/>
            <w:vAlign w:val="center"/>
          </w:tcPr>
          <w:p w14:paraId="12CC3600" w14:textId="7F5A7AD9" w:rsidR="00C76967" w:rsidRPr="00224B42" w:rsidRDefault="00426A0A" w:rsidP="00C769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Accessibility</w:t>
            </w:r>
          </w:p>
        </w:tc>
        <w:tc>
          <w:tcPr>
            <w:tcW w:w="1799" w:type="dxa"/>
          </w:tcPr>
          <w:p w14:paraId="3F4065C8" w14:textId="29BABE4E" w:rsidR="00C76967" w:rsidRPr="00224B42" w:rsidRDefault="00D04E69" w:rsidP="00E639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Who relies on this mechanism?</w:t>
            </w:r>
          </w:p>
        </w:tc>
        <w:tc>
          <w:tcPr>
            <w:tcW w:w="5793" w:type="dxa"/>
          </w:tcPr>
          <w:p w14:paraId="640BB008" w14:textId="6DA6656A" w:rsidR="00CD1C9D" w:rsidRPr="00CD1C9D" w:rsidRDefault="00D04E69" w:rsidP="00B55D68">
            <w:pPr>
              <w:rPr>
                <w:lang w:val="en-GB"/>
              </w:rPr>
            </w:pPr>
            <w:r>
              <w:rPr>
                <w:lang w:val="en-GB"/>
              </w:rPr>
              <w:t xml:space="preserve">Contracted Parties and registrants are the parties who rely </w:t>
            </w:r>
            <w:r w:rsidR="007C0C3A">
              <w:rPr>
                <w:lang w:val="en-GB"/>
              </w:rPr>
              <w:t xml:space="preserve">directly </w:t>
            </w:r>
            <w:r w:rsidR="00B55D68">
              <w:rPr>
                <w:lang w:val="en-GB"/>
              </w:rPr>
              <w:t xml:space="preserve">on a bylaw amendment that would </w:t>
            </w:r>
            <w:r>
              <w:rPr>
                <w:lang w:val="en-GB"/>
              </w:rPr>
              <w:t xml:space="preserve">prevent </w:t>
            </w:r>
            <w:r w:rsidR="00B55D68">
              <w:rPr>
                <w:lang w:val="en-GB"/>
              </w:rPr>
              <w:t xml:space="preserve">ICANN unilaterally creating </w:t>
            </w:r>
            <w:r>
              <w:rPr>
                <w:lang w:val="en-GB"/>
              </w:rPr>
              <w:t>new obligations or requirements</w:t>
            </w:r>
            <w:r w:rsidR="00B55D68">
              <w:rPr>
                <w:lang w:val="en-GB"/>
              </w:rPr>
              <w:t xml:space="preserve"> outside established community processes. </w:t>
            </w:r>
            <w:r>
              <w:rPr>
                <w:lang w:val="en-GB"/>
              </w:rPr>
              <w:t xml:space="preserve">However, the entire multi-stakeholder community benefits from an ICANN that operates </w:t>
            </w:r>
            <w:r w:rsidR="00B55D68">
              <w:rPr>
                <w:lang w:val="en-GB"/>
              </w:rPr>
              <w:t xml:space="preserve">predictably, within its mandate, </w:t>
            </w:r>
            <w:r>
              <w:rPr>
                <w:lang w:val="en-GB"/>
              </w:rPr>
              <w:t xml:space="preserve">and follows bottom-up, consensus-based policy making processes. The entire community benefits from knowing new requirements or obligations result </w:t>
            </w:r>
            <w:r w:rsidR="007C0C3A">
              <w:rPr>
                <w:lang w:val="en-GB"/>
              </w:rPr>
              <w:t xml:space="preserve">only </w:t>
            </w:r>
            <w:r>
              <w:rPr>
                <w:lang w:val="en-GB"/>
              </w:rPr>
              <w:t>fr</w:t>
            </w:r>
            <w:r w:rsidR="007C0C3A">
              <w:rPr>
                <w:lang w:val="en-GB"/>
              </w:rPr>
              <w:t>om accepted community processes.</w:t>
            </w:r>
          </w:p>
        </w:tc>
      </w:tr>
    </w:tbl>
    <w:p w14:paraId="195E8F8B" w14:textId="77777777" w:rsidR="00D61529" w:rsidRDefault="00D61529" w:rsidP="00D61529">
      <w:pPr>
        <w:pStyle w:val="NoSpacing"/>
        <w:rPr>
          <w:lang w:val="en-GB"/>
        </w:rPr>
      </w:pPr>
    </w:p>
    <w:p w14:paraId="5BB58D8D" w14:textId="4E8C12AC" w:rsidR="00AE5741" w:rsidRPr="00316D3F" w:rsidRDefault="00316D3F" w:rsidP="00316D3F">
      <w:pPr>
        <w:rPr>
          <w:b/>
          <w:lang w:val="en-GB"/>
        </w:rPr>
      </w:pPr>
      <w:r w:rsidRPr="00316D3F">
        <w:rPr>
          <w:b/>
          <w:lang w:val="en-GB"/>
        </w:rPr>
        <w:t>Other considerations</w:t>
      </w:r>
      <w:r>
        <w:rPr>
          <w:b/>
          <w:lang w:val="en-GB"/>
        </w:rPr>
        <w:t xml:space="preserve"> if this mechanism was implemented</w:t>
      </w:r>
      <w:r w:rsidRPr="00316D3F">
        <w:rPr>
          <w:b/>
          <w:lang w:val="en-GB"/>
        </w:rPr>
        <w:t>:</w:t>
      </w:r>
    </w:p>
    <w:p w14:paraId="4EAE7130" w14:textId="2B67B334" w:rsidR="006F4348" w:rsidRPr="006F4348" w:rsidRDefault="007C0C3A" w:rsidP="006F4348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A key question: </w:t>
      </w:r>
      <w:r w:rsidR="00B55D68">
        <w:rPr>
          <w:lang w:val="en-GB"/>
        </w:rPr>
        <w:t>“Through what mechanism or process are registrants able to cite breach of the golden bylaw?”</w:t>
      </w:r>
    </w:p>
    <w:sectPr w:rsidR="006F4348" w:rsidRPr="006F43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D976F" w14:textId="77777777" w:rsidR="00626629" w:rsidRDefault="00626629" w:rsidP="00E63976">
      <w:pPr>
        <w:spacing w:after="0" w:line="240" w:lineRule="auto"/>
      </w:pPr>
      <w:r>
        <w:separator/>
      </w:r>
    </w:p>
  </w:endnote>
  <w:endnote w:type="continuationSeparator" w:id="0">
    <w:p w14:paraId="28A45BAF" w14:textId="77777777" w:rsidR="00626629" w:rsidRDefault="00626629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6AB8" w14:textId="77777777" w:rsidR="00626629" w:rsidRDefault="00626629" w:rsidP="00E63976">
      <w:pPr>
        <w:spacing w:after="0" w:line="240" w:lineRule="auto"/>
      </w:pPr>
      <w:r>
        <w:separator/>
      </w:r>
    </w:p>
  </w:footnote>
  <w:footnote w:type="continuationSeparator" w:id="0">
    <w:p w14:paraId="6CD771C8" w14:textId="77777777" w:rsidR="00626629" w:rsidRDefault="00626629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B80D" w14:textId="77777777" w:rsidR="00CD1C9D" w:rsidRPr="00F9453B" w:rsidRDefault="00CD1C9D">
    <w:pPr>
      <w:pStyle w:val="Header"/>
      <w:rPr>
        <w:lang w:val="en-NZ"/>
      </w:rPr>
    </w:pPr>
    <w:r w:rsidRPr="00F9453B">
      <w:rPr>
        <w:lang w:val="en-NZ"/>
      </w:rPr>
      <w:t>CCWG Accountability</w:t>
    </w:r>
    <w:r w:rsidRPr="00F9453B">
      <w:rPr>
        <w:lang w:val="en-NZ"/>
      </w:rPr>
      <w:ptab w:relativeTo="margin" w:alignment="center" w:leader="none"/>
    </w:r>
    <w:r w:rsidRPr="00F9453B">
      <w:rPr>
        <w:noProof/>
        <w:lang w:val="en-US"/>
      </w:rPr>
      <w:drawing>
        <wp:inline distT="0" distB="0" distL="0" distR="0" wp14:anchorId="08CA2F0C" wp14:editId="4F7B953B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453B">
      <w:rPr>
        <w:lang w:val="en-NZ"/>
      </w:rPr>
      <w:tab/>
      <w:t>Template</w:t>
    </w:r>
    <w:r w:rsidRPr="00F9453B">
      <w:rPr>
        <w:lang w:val="en-NZ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4677B"/>
    <w:multiLevelType w:val="hybridMultilevel"/>
    <w:tmpl w:val="6E2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023"/>
    <w:multiLevelType w:val="hybridMultilevel"/>
    <w:tmpl w:val="0E9E1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52F"/>
    <w:multiLevelType w:val="hybridMultilevel"/>
    <w:tmpl w:val="795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7D92"/>
    <w:multiLevelType w:val="hybridMultilevel"/>
    <w:tmpl w:val="1E6C7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B21"/>
    <w:multiLevelType w:val="hybridMultilevel"/>
    <w:tmpl w:val="DDC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14D9"/>
    <w:multiLevelType w:val="hybridMultilevel"/>
    <w:tmpl w:val="EEF24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791E"/>
    <w:multiLevelType w:val="hybridMultilevel"/>
    <w:tmpl w:val="9C50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FB9"/>
    <w:multiLevelType w:val="hybridMultilevel"/>
    <w:tmpl w:val="3E2A5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EFF"/>
    <w:multiLevelType w:val="hybridMultilevel"/>
    <w:tmpl w:val="AE465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42DA"/>
    <w:multiLevelType w:val="hybridMultilevel"/>
    <w:tmpl w:val="BC1A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14D0"/>
    <w:multiLevelType w:val="hybridMultilevel"/>
    <w:tmpl w:val="5B4E35D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7907F7"/>
    <w:multiLevelType w:val="hybridMultilevel"/>
    <w:tmpl w:val="8AB25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F20"/>
    <w:multiLevelType w:val="hybridMultilevel"/>
    <w:tmpl w:val="D71CE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4D28"/>
    <w:multiLevelType w:val="hybridMultilevel"/>
    <w:tmpl w:val="8A624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E5E"/>
    <w:multiLevelType w:val="hybridMultilevel"/>
    <w:tmpl w:val="AE82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CD7"/>
    <w:multiLevelType w:val="hybridMultilevel"/>
    <w:tmpl w:val="F1BE8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FAF"/>
    <w:multiLevelType w:val="hybridMultilevel"/>
    <w:tmpl w:val="006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C7E7D"/>
    <w:multiLevelType w:val="hybridMultilevel"/>
    <w:tmpl w:val="C4E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10776"/>
    <w:multiLevelType w:val="hybridMultilevel"/>
    <w:tmpl w:val="D65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053A8D"/>
    <w:rsid w:val="0013044F"/>
    <w:rsid w:val="001A7717"/>
    <w:rsid w:val="001F349B"/>
    <w:rsid w:val="00224B42"/>
    <w:rsid w:val="002B26C9"/>
    <w:rsid w:val="002C3A72"/>
    <w:rsid w:val="00316D3F"/>
    <w:rsid w:val="0038075B"/>
    <w:rsid w:val="00385CA1"/>
    <w:rsid w:val="003C4C6E"/>
    <w:rsid w:val="00426A0A"/>
    <w:rsid w:val="004C5CF7"/>
    <w:rsid w:val="00505FDB"/>
    <w:rsid w:val="00594235"/>
    <w:rsid w:val="00626629"/>
    <w:rsid w:val="006E2AC0"/>
    <w:rsid w:val="006F4348"/>
    <w:rsid w:val="007C0C3A"/>
    <w:rsid w:val="008A3535"/>
    <w:rsid w:val="008A43B3"/>
    <w:rsid w:val="008D7ECB"/>
    <w:rsid w:val="009702A5"/>
    <w:rsid w:val="009E0E76"/>
    <w:rsid w:val="00AE5741"/>
    <w:rsid w:val="00B55D68"/>
    <w:rsid w:val="00BC5DB5"/>
    <w:rsid w:val="00BF0387"/>
    <w:rsid w:val="00C5136C"/>
    <w:rsid w:val="00C61C7D"/>
    <w:rsid w:val="00C76967"/>
    <w:rsid w:val="00CC3EE8"/>
    <w:rsid w:val="00CD1C9D"/>
    <w:rsid w:val="00CF3A57"/>
    <w:rsid w:val="00D04E69"/>
    <w:rsid w:val="00D61529"/>
    <w:rsid w:val="00E26A50"/>
    <w:rsid w:val="00E63976"/>
    <w:rsid w:val="00E835BA"/>
    <w:rsid w:val="00E91F48"/>
    <w:rsid w:val="00EC4091"/>
    <w:rsid w:val="00F224DC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A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Verisign Inc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Drazek, Keith</cp:lastModifiedBy>
  <cp:revision>3</cp:revision>
  <dcterms:created xsi:type="dcterms:W3CDTF">2015-03-13T16:51:00Z</dcterms:created>
  <dcterms:modified xsi:type="dcterms:W3CDTF">2015-03-13T16:56:00Z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592566074</vt:i4>
  </property>
  <property fmtid="{D5CDD505-2E9C-101B-9397-08002B2CF9AE}" pid="3" name="_NewReviewCycle">
    <vt:lpwstr/>
  </property>
  <property fmtid="{D5CDD505-2E9C-101B-9397-08002B2CF9AE}" pid="4" name="_EmailSubject">
    <vt:lpwstr>WP1-5B-1 and WP1-5B-2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