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342" w:type="dxa"/>
        <w:tblLayout w:type="fixed"/>
        <w:tblLook w:val="04A0" w:firstRow="1" w:lastRow="0" w:firstColumn="1" w:lastColumn="0" w:noHBand="0" w:noVBand="1"/>
      </w:tblPr>
      <w:tblGrid>
        <w:gridCol w:w="322"/>
        <w:gridCol w:w="1478"/>
        <w:gridCol w:w="5513"/>
        <w:gridCol w:w="4027"/>
      </w:tblGrid>
      <w:tr w:rsidR="00790C6E" w:rsidRPr="00C15BCC" w:rsidTr="0056349C">
        <w:tc>
          <w:tcPr>
            <w:tcW w:w="11340" w:type="dxa"/>
            <w:gridSpan w:val="4"/>
            <w:shd w:val="clear" w:color="auto" w:fill="EDF3F9"/>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Reconsider/reject changes to ICANN “standard” Bylaws</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9: Do you agree that the power for the community to reject a proposed Bylaw change would enhance ICANN's accountability? Do you agree with the list of requirements for this recommendation? If not, please detail how you would recommend amending these requirements.</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b/>
                <w:bCs/>
                <w:color w:val="000000"/>
                <w:sz w:val="18"/>
                <w:szCs w:val="20"/>
              </w:rPr>
              <w:t xml:space="preserve">eighteen </w:t>
            </w:r>
            <w:r w:rsidRPr="00C15BCC">
              <w:rPr>
                <w:rFonts w:ascii="Avenir Book" w:eastAsia="Times New Roman" w:hAnsi="Avenir Book" w:cs="Times New Roman"/>
                <w:color w:val="000000"/>
                <w:sz w:val="18"/>
                <w:szCs w:val="20"/>
              </w:rPr>
              <w:t>comments in this section.</w:t>
            </w: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20</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u w:val="single"/>
              </w:rPr>
              <w:t>10</w:t>
            </w:r>
            <w:r w:rsidRPr="00C15BCC">
              <w:rPr>
                <w:rFonts w:ascii="Avenir Book" w:eastAsia="Times New Roman" w:hAnsi="Avenir Book" w:cs="Times New Roman"/>
                <w:color w:val="000000"/>
                <w:sz w:val="18"/>
                <w:szCs w:val="20"/>
              </w:rPr>
              <w:t xml:space="preserve"> 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w:t>
            </w: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 </w:t>
            </w: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moderate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rsidR="00790C6E" w:rsidRPr="00C15BCC" w:rsidRDefault="00790C6E" w:rsidP="00790C6E">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More time needed for community review process – 2 weeks seen as too short.</w:t>
            </w:r>
          </w:p>
          <w:p w:rsidR="00790C6E" w:rsidRPr="00C15BCC" w:rsidRDefault="00790C6E" w:rsidP="00790C6E">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Impact on ICANN’s operational effectiveness arising from this power</w:t>
            </w: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Approval of any numerical change to SO/AC structure should require super-majority vote (292)</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30 days. (293)</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Encourages CCWG to further explore and explain member structure. (294)</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Recommends no supermajority but simple majority, to avoid majority of community not approving of a bylaw but being unable to block it (238 </w:t>
            </w:r>
            <w:proofErr w:type="spellStart"/>
            <w:r w:rsidRPr="00C15BCC">
              <w:rPr>
                <w:rFonts w:ascii="Avenir Book" w:eastAsia="Times New Roman" w:hAnsi="Avenir Book" w:cs="Times New Roman"/>
                <w:color w:val="000000"/>
                <w:sz w:val="18"/>
                <w:szCs w:val="20"/>
              </w:rPr>
              <w:t>bis</w:t>
            </w:r>
            <w:proofErr w:type="spellEnd"/>
            <w:r w:rsidRPr="00C15BCC">
              <w:rPr>
                <w:rFonts w:ascii="Avenir Book" w:eastAsia="Times New Roman" w:hAnsi="Avenir Book" w:cs="Times New Roman"/>
                <w:color w:val="000000"/>
                <w:sz w:val="18"/>
                <w:szCs w:val="20"/>
              </w:rPr>
              <w:t>)</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the end of next ICANN meeting beginning no sooner than one month before posts notice of adoption. (296)</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60-day window for community review. (299)</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(299)</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about a procedural impasse; recommends introducing a consultation stage. (301)</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time period for community review. Extend from 2 weeks to 30 days. (301)</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for first rejection. (301)</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Raises concern that a community approval/rejection process could cause ICANN to delay introduction of proposed bylaws changes. (305)</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creating a limit on the number of times the community can reject changes. (306)</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(307)</w:t>
            </w:r>
          </w:p>
          <w:p w:rsidR="00790C6E" w:rsidRPr="00C15BCC" w:rsidRDefault="00790C6E" w:rsidP="00790C6E">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Concern with </w:t>
            </w:r>
            <w:proofErr w:type="spellStart"/>
            <w:r w:rsidRPr="00C15BCC">
              <w:rPr>
                <w:rFonts w:ascii="Avenir Book" w:eastAsia="Times New Roman" w:hAnsi="Avenir Book" w:cs="Times New Roman"/>
                <w:color w:val="000000"/>
                <w:sz w:val="18"/>
                <w:szCs w:val="20"/>
              </w:rPr>
              <w:t>Govts</w:t>
            </w:r>
            <w:proofErr w:type="spellEnd"/>
            <w:r w:rsidRPr="00C15BCC">
              <w:rPr>
                <w:rFonts w:ascii="Avenir Book" w:eastAsia="Times New Roman" w:hAnsi="Avenir Book" w:cs="Times New Roman"/>
                <w:color w:val="000000"/>
                <w:sz w:val="18"/>
                <w:szCs w:val="20"/>
              </w:rPr>
              <w:t xml:space="preserve"> having too much influence in ccNSO, proposes more votes for other constituencies (Siva)</w:t>
            </w: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rsidR="00790C6E" w:rsidRPr="00C15BCC" w:rsidRDefault="00790C6E" w:rsidP="00790C6E">
            <w:pPr>
              <w:numPr>
                <w:ilvl w:val="0"/>
                <w:numId w:val="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extending the community review period from 2 weeks to a longer timeframe TBD.</w:t>
            </w:r>
          </w:p>
          <w:p w:rsidR="00790C6E" w:rsidRPr="00C15BCC" w:rsidRDefault="00790C6E" w:rsidP="00790C6E">
            <w:pPr>
              <w:numPr>
                <w:ilvl w:val="0"/>
                <w:numId w:val="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continue to explore and explain member structure</w:t>
            </w:r>
          </w:p>
          <w:p w:rsidR="00790C6E" w:rsidRPr="00C15BCC" w:rsidRDefault="00790C6E" w:rsidP="00790C6E">
            <w:pPr>
              <w:numPr>
                <w:ilvl w:val="0"/>
                <w:numId w:val="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lowering the vote threshold from 3/4 to 2/3.</w:t>
            </w:r>
          </w:p>
          <w:p w:rsidR="00790C6E" w:rsidRPr="00C15BCC" w:rsidRDefault="00790C6E" w:rsidP="00790C6E">
            <w:pPr>
              <w:numPr>
                <w:ilvl w:val="0"/>
                <w:numId w:val="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mechanisms for limiting procedural impasse and possible delays.</w:t>
            </w:r>
          </w:p>
          <w:p w:rsidR="00790C6E" w:rsidRPr="00C15BCC" w:rsidRDefault="00790C6E" w:rsidP="00790C6E">
            <w:pPr>
              <w:numPr>
                <w:ilvl w:val="0"/>
                <w:numId w:val="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a cap on the number of times this power can be utilized. Further clarification needed</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790C6E" w:rsidRPr="00C15BCC" w:rsidTr="0056349C">
        <w:tc>
          <w:tcPr>
            <w:tcW w:w="322" w:type="dxa"/>
            <w:tcBorders>
              <w:bottom w:val="single" w:sz="4" w:space="0" w:color="auto"/>
            </w:tcBorders>
            <w:shd w:val="clear" w:color="auto" w:fill="F3F3CE"/>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478" w:type="dxa"/>
            <w:tcBorders>
              <w:bottom w:val="single" w:sz="4" w:space="0" w:color="auto"/>
            </w:tcBorders>
            <w:shd w:val="clear" w:color="auto" w:fill="F3F3CE"/>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tcBorders>
              <w:bottom w:val="single" w:sz="4" w:space="0" w:color="auto"/>
            </w:tcBorders>
            <w:shd w:val="clear" w:color="auto" w:fill="F3F3CE"/>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320</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6" w:history="1">
              <w:r w:rsidR="00790C6E" w:rsidRPr="00C15BCC">
                <w:rPr>
                  <w:rStyle w:val="Hyperlink"/>
                  <w:rFonts w:ascii="Avenir Book" w:eastAsia="Times New Roman" w:hAnsi="Avenir Book" w:cs="Arial"/>
                  <w:sz w:val="18"/>
                  <w:szCs w:val="20"/>
                </w:rPr>
                <w:t>RH</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bookmarkStart w:id="0" w:name="_GoBack"/>
            <w:bookmarkEnd w:id="0"/>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Thank you</w:t>
            </w:r>
            <w:r w:rsidR="00663538">
              <w:rPr>
                <w:rFonts w:ascii="Avenir Book" w:eastAsia="Times New Roman" w:hAnsi="Avenir Book" w:cs="Times New Roman"/>
                <w:color w:val="000000"/>
                <w:sz w:val="18"/>
                <w:szCs w:val="20"/>
              </w:rPr>
              <w:t xml:space="preserve"> for your comment. This power is maintained in the Community Mechanism as Sole Member model the CCWG has set out in its Second Draft Report – see section 7.2.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321</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 w:history="1">
              <w:proofErr w:type="spellStart"/>
              <w:r w:rsidR="00790C6E" w:rsidRPr="00C15BCC">
                <w:rPr>
                  <w:rStyle w:val="Hyperlink"/>
                  <w:rFonts w:ascii="Avenir Book" w:eastAsia="Times New Roman" w:hAnsi="Avenir Book" w:cs="Arial"/>
                  <w:sz w:val="18"/>
                  <w:szCs w:val="20"/>
                </w:rPr>
                <w:t>auDA</w:t>
              </w:r>
              <w:proofErr w:type="spellEnd"/>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supports those proposals.</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Thank you</w:t>
            </w:r>
            <w:r w:rsidR="00663538">
              <w:rPr>
                <w:rFonts w:ascii="Avenir Book" w:eastAsia="Times New Roman" w:hAnsi="Avenir Book" w:cs="Times New Roman"/>
                <w:color w:val="000000"/>
                <w:sz w:val="18"/>
                <w:szCs w:val="20"/>
              </w:rPr>
              <w:t xml:space="preserve"> </w:t>
            </w:r>
            <w:r w:rsidR="00663538">
              <w:rPr>
                <w:rFonts w:ascii="Avenir Book" w:eastAsia="Times New Roman" w:hAnsi="Avenir Book" w:cs="Times New Roman"/>
                <w:color w:val="000000"/>
                <w:sz w:val="18"/>
                <w:szCs w:val="20"/>
              </w:rPr>
              <w:t>for your comment. This power is maintained in the Community Mechanism as Sole Member model the CCWG has set out in its Second Draft Report – see section 7.2.</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322</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 w:history="1">
              <w:proofErr w:type="spellStart"/>
              <w:r w:rsidR="00790C6E" w:rsidRPr="00C15BCC">
                <w:rPr>
                  <w:rStyle w:val="Hyperlink"/>
                  <w:rFonts w:ascii="Avenir Book" w:hAnsi="Avenir Book" w:cs="Arial"/>
                  <w:sz w:val="18"/>
                  <w:szCs w:val="20"/>
                </w:rPr>
                <w:t>Afnic</w:t>
              </w:r>
              <w:proofErr w:type="spellEnd"/>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supports this proposal. Nevertheless, if the change proposed by the Board can modify the number of SOs/ACs and subsequently their respective weights within the members’ assembly, this change should be approved with a supermajority as described below (ref: 5.4). </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663538"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00663538">
              <w:rPr>
                <w:rFonts w:ascii="Avenir Book" w:eastAsia="Times New Roman" w:hAnsi="Avenir Book" w:cs="Times New Roman"/>
                <w:b/>
                <w:bCs/>
                <w:color w:val="000000"/>
                <w:sz w:val="18"/>
                <w:szCs w:val="20"/>
              </w:rPr>
              <w:t xml:space="preserve"> </w:t>
            </w:r>
            <w:r w:rsidR="00663538">
              <w:rPr>
                <w:rFonts w:ascii="Avenir Book" w:eastAsia="Times New Roman" w:hAnsi="Avenir Book" w:cs="Times New Roman"/>
                <w:bCs/>
                <w:color w:val="000000"/>
                <w:sz w:val="18"/>
                <w:szCs w:val="20"/>
              </w:rPr>
              <w:t xml:space="preserve">Thank you for your comment. </w:t>
            </w:r>
            <w:r w:rsidR="00663538">
              <w:rPr>
                <w:rFonts w:ascii="Avenir Book" w:eastAsia="Times New Roman" w:hAnsi="Avenir Book" w:cs="Times New Roman"/>
                <w:color w:val="000000"/>
                <w:sz w:val="18"/>
                <w:szCs w:val="20"/>
              </w:rPr>
              <w:t>The participation by SOs and ACs in exercising these accountability powers will be set out in Fundamental Bylaws. Generally, t</w:t>
            </w:r>
            <w:r w:rsidR="00663538">
              <w:rPr>
                <w:rFonts w:ascii="Avenir Book" w:eastAsia="Times New Roman" w:hAnsi="Avenir Book" w:cs="Times New Roman"/>
                <w:color w:val="000000"/>
                <w:sz w:val="18"/>
                <w:szCs w:val="20"/>
              </w:rPr>
              <w:t>his power is maintained in the Community Mechanism as Sole Member model the CCWG has set out in its Second Draft Report – see section 7.2.</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323</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9" w:history="1">
              <w:r w:rsidR="00790C6E" w:rsidRPr="00C15BCC">
                <w:rPr>
                  <w:rStyle w:val="Hyperlink"/>
                  <w:rFonts w:ascii="Avenir Book" w:hAnsi="Avenir Book"/>
                  <w:sz w:val="18"/>
                  <w:szCs w:val="20"/>
                </w:rPr>
                <w:t>DP-DK</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CCWG Draft Proposal sets forth five specific powers to be exercised by the corporation’s members. While we support this general plan, we do not fully understand the rationale for requiring a 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 [comment moved in document]</w:t>
            </w:r>
          </w:p>
        </w:tc>
        <w:tc>
          <w:tcPr>
            <w:tcW w:w="4027" w:type="dxa"/>
            <w:vAlign w:val="center"/>
          </w:tcPr>
          <w:p w:rsidR="00247026" w:rsidRDefault="00247026" w:rsidP="0024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rsidR="00790C6E" w:rsidRDefault="00790C6E" w:rsidP="0024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
                <w:bCs/>
                <w:color w:val="000000"/>
                <w:sz w:val="18"/>
                <w:szCs w:val="20"/>
                <w:highlight w:val="yellow"/>
              </w:rPr>
              <w:t>CCWG Response:</w:t>
            </w:r>
            <w:r w:rsidR="00663538">
              <w:rPr>
                <w:rFonts w:ascii="Avenir Book" w:eastAsia="Times New Roman" w:hAnsi="Avenir Book" w:cs="Times New Roman"/>
                <w:b/>
                <w:bCs/>
                <w:color w:val="000000"/>
                <w:sz w:val="18"/>
                <w:szCs w:val="20"/>
              </w:rPr>
              <w:t xml:space="preserve"> </w:t>
            </w:r>
            <w:r w:rsidR="00663538">
              <w:rPr>
                <w:rFonts w:ascii="Avenir Book" w:eastAsia="Times New Roman" w:hAnsi="Avenir Book" w:cs="Times New Roman"/>
                <w:bCs/>
                <w:color w:val="000000"/>
                <w:sz w:val="18"/>
                <w:szCs w:val="20"/>
              </w:rPr>
              <w:t>Thank you for your comment. The CCWG has maintained the supermajority requirement in its Second Draft Proposal (see section 7.2). The general view of the CCWG is that high thresholds are required for exercising any of these community powers, which it sees largely as “reserve” powers. There was not support to lower the threshold for this power.</w:t>
            </w:r>
          </w:p>
          <w:p w:rsidR="00663538" w:rsidRPr="00663538" w:rsidRDefault="00663538" w:rsidP="0024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324</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0" w:history="1">
              <w:proofErr w:type="spellStart"/>
              <w:r w:rsidR="00790C6E" w:rsidRPr="00C15BCC">
                <w:rPr>
                  <w:rStyle w:val="Hyperlink"/>
                  <w:rFonts w:ascii="Avenir Book" w:eastAsia="Times New Roman" w:hAnsi="Avenir Book" w:cs="Arial"/>
                  <w:sz w:val="18"/>
                  <w:szCs w:val="20"/>
                </w:rPr>
                <w:t>RySG</w:t>
              </w:r>
              <w:proofErr w:type="spellEnd"/>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agrees that an enforceable community power to reject a proposed Bylaw change would help to enhance ICANN’s accountability to the global multi-stakeholder community. We agree with the list of requirements for this recommendation, including the proposed 2/3 majority for a first member vote and 3/4 majority in any subsequent member votes.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notes the following recommendation: </w:t>
            </w:r>
            <w:r w:rsidRPr="00C15BCC">
              <w:rPr>
                <w:rFonts w:ascii="Avenir Book" w:eastAsia="Times New Roman" w:hAnsi="Avenir Book" w:cs="Arial"/>
                <w:i/>
                <w:iCs/>
                <w:color w:val="000000"/>
                <w:sz w:val="18"/>
                <w:szCs w:val="20"/>
              </w:rPr>
              <w:t xml:space="preserve">“The time required for this </w:t>
            </w:r>
            <w:r w:rsidRPr="00C15BCC">
              <w:rPr>
                <w:rFonts w:ascii="Avenir Book" w:eastAsia="Times New Roman" w:hAnsi="Avenir Book" w:cs="Arial"/>
                <w:i/>
                <w:iCs/>
                <w:color w:val="000000"/>
                <w:sz w:val="18"/>
                <w:szCs w:val="20"/>
              </w:rPr>
              <w:lastRenderedPageBreak/>
              <w:t xml:space="preserve">power to be exercised would be included in the Bylaws adoption process (probably a two-week window following Board approval).” </w:t>
            </w:r>
            <w:r w:rsidRPr="00C15BCC">
              <w:rPr>
                <w:rFonts w:ascii="Avenir Book" w:eastAsia="Times New Roman" w:hAnsi="Avenir Book" w:cs="Arial"/>
                <w:color w:val="000000"/>
                <w:sz w:val="18"/>
                <w:szCs w:val="20"/>
              </w:rPr>
              <w:t xml:space="preserve">We understand the desire to put a time limit, but two weeks is a terribly short deadline for a multi-stakeholder process, so we would instead suggest at least 30 days. </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00663538">
              <w:rPr>
                <w:rFonts w:ascii="Avenir Book" w:eastAsia="Times New Roman" w:hAnsi="Avenir Book" w:cs="Times New Roman"/>
                <w:bCs/>
                <w:color w:val="000000"/>
                <w:sz w:val="18"/>
                <w:szCs w:val="20"/>
              </w:rPr>
              <w:t xml:space="preserve">Thank you for your comment. </w:t>
            </w:r>
            <w:r w:rsidRPr="00C15BCC">
              <w:rPr>
                <w:rFonts w:ascii="Avenir Book" w:eastAsia="Times New Roman" w:hAnsi="Avenir Book" w:cs="Times New Roman"/>
                <w:color w:val="000000"/>
                <w:sz w:val="18"/>
                <w:szCs w:val="20"/>
              </w:rPr>
              <w:t>The CCWG consider</w:t>
            </w:r>
            <w:r w:rsidR="00663538">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time period</w:t>
            </w:r>
            <w:r w:rsidR="00663538">
              <w:rPr>
                <w:rFonts w:ascii="Avenir Book" w:eastAsia="Times New Roman" w:hAnsi="Avenir Book" w:cs="Times New Roman"/>
                <w:color w:val="000000"/>
                <w:sz w:val="18"/>
                <w:szCs w:val="20"/>
              </w:rPr>
              <w:t xml:space="preserve">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w:t>
            </w:r>
            <w:r w:rsidR="00663538">
              <w:rPr>
                <w:rFonts w:ascii="Avenir Book" w:eastAsia="Times New Roman" w:hAnsi="Avenir Book" w:cs="Times New Roman"/>
                <w:color w:val="000000"/>
                <w:sz w:val="18"/>
                <w:szCs w:val="20"/>
              </w:rPr>
              <w:lastRenderedPageBreak/>
              <w:t>approach, and para 396 for its particular application to this power.</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325</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 w:history="1">
              <w:r w:rsidR="00790C6E" w:rsidRPr="00C15BCC">
                <w:rPr>
                  <w:rStyle w:val="Hyperlink"/>
                  <w:rFonts w:ascii="Avenir Book" w:eastAsia="Times New Roman" w:hAnsi="Avenir Book" w:cs="Arial"/>
                  <w:sz w:val="18"/>
                  <w:szCs w:val="20"/>
                </w:rPr>
                <w:t>BC</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 xml:space="preserve">supports the proposal to allow the community to block a Bylaws change sought by ICANN’s Board. It seems appropriate to require 2/3 majority in the first vote and 3/4 majority in subsequent votes.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notes that enforcing this power may require SO/ACs to adopt Member status under California Law, and encourages the CCWG to explain how Member status can be created and maintained without undue costs, complexity, or liability.</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Default="00790C6E" w:rsidP="0066353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r w:rsidR="00663538">
              <w:rPr>
                <w:rFonts w:ascii="Avenir Book" w:eastAsia="Times New Roman" w:hAnsi="Avenir Book" w:cs="Times New Roman"/>
                <w:color w:val="000000"/>
                <w:sz w:val="18"/>
                <w:szCs w:val="20"/>
              </w:rPr>
              <w:t xml:space="preserve">Thank you for your comment. The </w:t>
            </w:r>
            <w:r w:rsidRPr="00C15BCC">
              <w:rPr>
                <w:rFonts w:ascii="Avenir Book" w:eastAsia="Times New Roman" w:hAnsi="Avenir Book" w:cs="Times New Roman"/>
                <w:color w:val="000000"/>
                <w:sz w:val="18"/>
                <w:szCs w:val="20"/>
              </w:rPr>
              <w:t xml:space="preserve">CCWG </w:t>
            </w:r>
            <w:r w:rsidR="00663538">
              <w:rPr>
                <w:rFonts w:ascii="Avenir Book" w:eastAsia="Times New Roman" w:hAnsi="Avenir Book" w:cs="Times New Roman"/>
                <w:color w:val="000000"/>
                <w:sz w:val="18"/>
                <w:szCs w:val="20"/>
              </w:rPr>
              <w:t>has maintained this power in its Second Draft Proposal (see section 7.2). It has also further developed the membership model, with the Community Mechanism as Sole Member allowing for legal enforceability of all the community powers (see section 6).</w:t>
            </w:r>
          </w:p>
          <w:p w:rsidR="00663538" w:rsidRPr="00C15BCC" w:rsidRDefault="00663538" w:rsidP="00663538">
            <w:pPr>
              <w:spacing w:after="0" w:line="240" w:lineRule="auto"/>
              <w:rPr>
                <w:rFonts w:ascii="Avenir Book" w:eastAsia="Times New Roman" w:hAnsi="Avenir Book" w:cs="Times New Roman"/>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326</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2" w:history="1">
              <w:r w:rsidR="00790C6E" w:rsidRPr="00C15BCC">
                <w:rPr>
                  <w:rStyle w:val="Hyperlink"/>
                  <w:rFonts w:ascii="Avenir Book" w:eastAsia="Times New Roman" w:hAnsi="Avenir Book" w:cs="Arial"/>
                  <w:sz w:val="18"/>
                  <w:szCs w:val="20"/>
                </w:rPr>
                <w:t>.UK</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We have some concern that bylaws as fundamental as the mission, commitments and core values are not included as fundamental bylaws and treated as such (paragraphs 210-1), given that these are at the heart of the CCWG’s proposals.</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Default="00790C6E" w:rsidP="0066353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Thanks for your input - the CCWG proposal does in fact suggest these should be fundamental bylaws, as set out in para 127. We </w:t>
            </w:r>
            <w:proofErr w:type="spellStart"/>
            <w:r w:rsidRPr="00C15BCC">
              <w:rPr>
                <w:rFonts w:ascii="Avenir Book" w:eastAsia="Times New Roman" w:hAnsi="Avenir Book" w:cs="Times New Roman"/>
                <w:color w:val="000000"/>
                <w:sz w:val="18"/>
                <w:szCs w:val="20"/>
              </w:rPr>
              <w:t>apologise</w:t>
            </w:r>
            <w:proofErr w:type="spellEnd"/>
            <w:r w:rsidRPr="00C15BCC">
              <w:rPr>
                <w:rFonts w:ascii="Avenir Book" w:eastAsia="Times New Roman" w:hAnsi="Avenir Book" w:cs="Times New Roman"/>
                <w:color w:val="000000"/>
                <w:sz w:val="18"/>
                <w:szCs w:val="20"/>
              </w:rPr>
              <w:t xml:space="preserve"> that the examples cited at the beginning of para 210 were poorly chosen and caused a mistaken impression that the CCWG </w:t>
            </w:r>
            <w:r w:rsidR="00663538">
              <w:rPr>
                <w:rFonts w:ascii="Avenir Book" w:eastAsia="Times New Roman" w:hAnsi="Avenir Book" w:cs="Times New Roman"/>
                <w:color w:val="000000"/>
                <w:sz w:val="18"/>
                <w:szCs w:val="20"/>
              </w:rPr>
              <w:t>did</w:t>
            </w:r>
            <w:r w:rsidR="00663538"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not believe the bylaws you cite in this part of your comment should be fundamental.</w:t>
            </w:r>
          </w:p>
          <w:p w:rsidR="00663538" w:rsidRDefault="00663538" w:rsidP="00663538">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We have maintained this in our Second Draft Proposal – see section 3 for further details.</w:t>
            </w:r>
          </w:p>
          <w:p w:rsidR="00663538" w:rsidRPr="00C15BCC" w:rsidRDefault="00663538" w:rsidP="00663538">
            <w:pPr>
              <w:spacing w:after="0" w:line="240" w:lineRule="auto"/>
              <w:rPr>
                <w:rFonts w:ascii="Avenir Book" w:eastAsia="Times New Roman" w:hAnsi="Avenir Book" w:cs="Times New Roman"/>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327</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3" w:history="1">
              <w:r w:rsidR="00790C6E" w:rsidRPr="00C15BCC">
                <w:rPr>
                  <w:rStyle w:val="Hyperlink"/>
                  <w:rFonts w:ascii="Avenir Book" w:eastAsia="Times New Roman" w:hAnsi="Avenir Book" w:cs="Arial"/>
                  <w:sz w:val="18"/>
                  <w:szCs w:val="20"/>
                </w:rPr>
                <w:t>LINX</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r w:rsidRPr="00C15BCC">
              <w:rPr>
                <w:rFonts w:ascii="MS Gothic" w:eastAsia="MS Gothic" w:hAnsi="MS Gothic" w:cs="MS Gothic" w:hint="eastAsia"/>
                <w:color w:val="000000"/>
                <w:sz w:val="18"/>
                <w:szCs w:val="20"/>
              </w:rPr>
              <w:t> </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r w:rsidR="00663538">
              <w:rPr>
                <w:rFonts w:ascii="Avenir Book" w:eastAsia="Times New Roman" w:hAnsi="Avenir Book" w:cs="Times New Roman"/>
                <w:b/>
                <w:bCs/>
                <w:color w:val="000000"/>
                <w:sz w:val="18"/>
                <w:szCs w:val="20"/>
              </w:rPr>
              <w:t xml:space="preserve"> </w:t>
            </w:r>
            <w:r w:rsidR="00663538">
              <w:rPr>
                <w:rFonts w:ascii="Avenir Book" w:eastAsia="Times New Roman" w:hAnsi="Avenir Book" w:cs="Times New Roman"/>
                <w:bCs/>
                <w:color w:val="000000"/>
                <w:sz w:val="18"/>
                <w:szCs w:val="20"/>
              </w:rPr>
              <w:t xml:space="preserve">Thank you for your comment. </w:t>
            </w:r>
            <w:r w:rsidR="00663538" w:rsidRPr="00C15BCC">
              <w:rPr>
                <w:rFonts w:ascii="Avenir Book" w:eastAsia="Times New Roman" w:hAnsi="Avenir Book" w:cs="Times New Roman"/>
                <w:color w:val="000000"/>
                <w:sz w:val="18"/>
                <w:szCs w:val="20"/>
              </w:rPr>
              <w:t>The CCWG consider</w:t>
            </w:r>
            <w:r w:rsidR="00663538">
              <w:rPr>
                <w:rFonts w:ascii="Avenir Book" w:eastAsia="Times New Roman" w:hAnsi="Avenir Book" w:cs="Times New Roman"/>
                <w:color w:val="000000"/>
                <w:sz w:val="18"/>
                <w:szCs w:val="20"/>
              </w:rPr>
              <w:t>ed</w:t>
            </w:r>
            <w:r w:rsidR="00663538" w:rsidRPr="00C15BCC">
              <w:rPr>
                <w:rFonts w:ascii="Avenir Book" w:eastAsia="Times New Roman" w:hAnsi="Avenir Book" w:cs="Times New Roman"/>
                <w:color w:val="000000"/>
                <w:sz w:val="18"/>
                <w:szCs w:val="20"/>
              </w:rPr>
              <w:t xml:space="preserve"> the time period</w:t>
            </w:r>
            <w:r w:rsidR="00663538">
              <w:rPr>
                <w:rFonts w:ascii="Avenir Book" w:eastAsia="Times New Roman" w:hAnsi="Avenir Book" w:cs="Times New Roman"/>
                <w:color w:val="000000"/>
                <w:sz w:val="18"/>
                <w:szCs w:val="20"/>
              </w:rPr>
              <w:t>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328</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4" w:history="1">
              <w:r w:rsidR="00790C6E" w:rsidRPr="00C15BCC">
                <w:rPr>
                  <w:rStyle w:val="Hyperlink"/>
                  <w:rFonts w:ascii="Avenir Book" w:eastAsia="Times New Roman" w:hAnsi="Avenir Book" w:cs="Arial"/>
                  <w:sz w:val="18"/>
                  <w:szCs w:val="20"/>
                </w:rPr>
                <w:t>JPNIC</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Bylaws include Core Values, Mission and the clearly defines the scope of ICANN’s activities. The community should have the ability to request for reconsideration or reject changes to the document which is </w:t>
            </w:r>
            <w:r w:rsidRPr="00C15BCC">
              <w:rPr>
                <w:rFonts w:ascii="Avenir Book" w:eastAsia="Times New Roman" w:hAnsi="Avenir Book" w:cs="Arial"/>
                <w:color w:val="000000"/>
                <w:sz w:val="18"/>
                <w:szCs w:val="20"/>
              </w:rPr>
              <w:lastRenderedPageBreak/>
              <w:t>such core to the organization.</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Thank you</w:t>
            </w:r>
            <w:r w:rsidR="0009701E">
              <w:rPr>
                <w:rFonts w:ascii="Avenir Book" w:eastAsia="Times New Roman" w:hAnsi="Avenir Book" w:cs="Times New Roman"/>
                <w:color w:val="000000"/>
                <w:sz w:val="18"/>
                <w:szCs w:val="20"/>
              </w:rPr>
              <w:t xml:space="preserve"> for your comment.</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329</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5" w:history="1">
              <w:r w:rsidR="00790C6E" w:rsidRPr="00C15BCC">
                <w:rPr>
                  <w:rStyle w:val="Hyperlink"/>
                  <w:rFonts w:ascii="Avenir Book" w:eastAsia="Times New Roman" w:hAnsi="Avenir Book" w:cs="Arial"/>
                  <w:sz w:val="18"/>
                  <w:szCs w:val="20"/>
                </w:rPr>
                <w:t>CWG-St</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09701E"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r w:rsidR="0009701E">
              <w:rPr>
                <w:rFonts w:ascii="Avenir Book" w:eastAsia="Times New Roman" w:hAnsi="Avenir Book" w:cs="Times New Roman"/>
                <w:b/>
                <w:bCs/>
                <w:color w:val="000000"/>
                <w:sz w:val="18"/>
                <w:szCs w:val="20"/>
              </w:rPr>
              <w:t xml:space="preserve"> </w:t>
            </w:r>
            <w:r w:rsidR="0009701E">
              <w:rPr>
                <w:rFonts w:ascii="Avenir Book" w:eastAsia="Times New Roman" w:hAnsi="Avenir Book" w:cs="Times New Roman"/>
                <w:bCs/>
                <w:color w:val="000000"/>
                <w:sz w:val="18"/>
                <w:szCs w:val="20"/>
              </w:rPr>
              <w:t>The CCWG thanks the CWG for this comment. Our Second Draft Proposal includes a specific matching of our proposals against your requirements – please see paras 90-112 for further details.</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330</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6" w:history="1">
              <w:r w:rsidR="00790C6E" w:rsidRPr="00C15BCC">
                <w:rPr>
                  <w:rStyle w:val="Hyperlink"/>
                  <w:rFonts w:ascii="Avenir Book" w:eastAsia="Times New Roman" w:hAnsi="Avenir Book" w:cs="Arial"/>
                  <w:sz w:val="18"/>
                  <w:szCs w:val="20"/>
                </w:rPr>
                <w:t>IPC</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IPC disagrees with the short time period to object to a proposed Bylaw change: recommends a 60 day window to decide whether or not to reject a proposed Bylaw changes.</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w:t>
            </w:r>
          </w:p>
        </w:tc>
        <w:tc>
          <w:tcPr>
            <w:tcW w:w="4027" w:type="dxa"/>
            <w:vAlign w:val="center"/>
          </w:tcPr>
          <w:p w:rsidR="00790C6E" w:rsidRPr="00C15BCC" w:rsidRDefault="00790C6E" w:rsidP="0056349C">
            <w:pPr>
              <w:spacing w:after="24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rsidR="0009701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 xml:space="preserve">Thank you for your comment. </w:t>
            </w:r>
          </w:p>
          <w:p w:rsidR="0009701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rsidR="0009701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In its Second Draft Proposal the CCWG has simply provided for a flat 2/3 majority in the Community Mechanism as Sole Member to exercise this power – see para 398.</w:t>
            </w:r>
          </w:p>
          <w:p w:rsidR="0009701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rsidR="00790C6E" w:rsidRDefault="0009701E" w:rsidP="000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In respect of timelines - t</w:t>
            </w:r>
            <w:r w:rsidRPr="00C15BCC">
              <w:rPr>
                <w:rFonts w:ascii="Avenir Book" w:eastAsia="Times New Roman" w:hAnsi="Avenir Book" w:cs="Times New Roman"/>
                <w:color w:val="000000"/>
                <w:sz w:val="18"/>
                <w:szCs w:val="20"/>
              </w:rPr>
              <w:t>he CCWG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time period</w:t>
            </w:r>
            <w:r>
              <w:rPr>
                <w:rFonts w:ascii="Avenir Book" w:eastAsia="Times New Roman" w:hAnsi="Avenir Book" w:cs="Times New Roman"/>
                <w:color w:val="000000"/>
                <w:sz w:val="18"/>
                <w:szCs w:val="20"/>
              </w:rPr>
              <w:t>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rsidR="0009701E" w:rsidRPr="00C15BCC" w:rsidRDefault="0009701E" w:rsidP="000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331</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 w:history="1">
              <w:r w:rsidR="00790C6E" w:rsidRPr="00C15BCC">
                <w:rPr>
                  <w:rStyle w:val="Hyperlink"/>
                  <w:rFonts w:ascii="Avenir Book" w:eastAsia="Times New Roman" w:hAnsi="Avenir Book" w:cs="Arial"/>
                  <w:sz w:val="18"/>
                  <w:szCs w:val="20"/>
                </w:rPr>
                <w:t>USCC</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ability of the community to reject a proposed bylaw change would enhance ICANN’s accountability. The list of requirements for this recommendation is satisfactory. </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09701E"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r w:rsidR="0009701E">
              <w:rPr>
                <w:rFonts w:ascii="Avenir Book" w:eastAsia="Times New Roman" w:hAnsi="Avenir Book" w:cs="Times New Roman"/>
                <w:bCs/>
                <w:color w:val="000000"/>
                <w:sz w:val="18"/>
                <w:szCs w:val="20"/>
              </w:rPr>
              <w:t xml:space="preserve"> Thank you for your comment. This power is maintained in the Second Draft Proposal – see section 7.2.</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332</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8" w:history="1">
              <w:r w:rsidR="00790C6E" w:rsidRPr="00C15BCC">
                <w:rPr>
                  <w:rStyle w:val="Hyperlink"/>
                  <w:rFonts w:ascii="Avenir Book" w:eastAsia="Times New Roman" w:hAnsi="Avenir Book" w:cs="Arial"/>
                  <w:sz w:val="18"/>
                  <w:szCs w:val="20"/>
                </w:rPr>
                <w:t>INTA</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empowering the Community, through Member SOs and ACs, to reject amendments to the standard Bylaws proposed by the Board.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recognizes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also suggest that the time period (one month for example) for objecting to a Bylaw amendment be extended in order to allow organizations to consult properly with their members.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questions whether 3/4 is the appropriate threshold for a first time rejection of a Bylaw amendment, noting that only 2/3 of the Community mechanism is required for a first rejection of a proposed budget or strategic plan. </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rsidR="0009701E" w:rsidRDefault="0009701E" w:rsidP="0009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 xml:space="preserve">Thank you for your comment. This power is maintained in the Second Draft Proposal – see </w:t>
            </w:r>
            <w:r>
              <w:rPr>
                <w:rFonts w:ascii="Avenir Book" w:eastAsia="Times New Roman" w:hAnsi="Avenir Book" w:cs="Times New Roman"/>
                <w:bCs/>
                <w:color w:val="000000"/>
                <w:sz w:val="18"/>
                <w:szCs w:val="20"/>
              </w:rPr>
              <w:lastRenderedPageBreak/>
              <w:t>section 7.2.</w:t>
            </w:r>
            <w:r>
              <w:rPr>
                <w:rFonts w:ascii="Avenir Book" w:eastAsia="Times New Roman" w:hAnsi="Avenir Book" w:cs="Times New Roman"/>
                <w:bCs/>
                <w:color w:val="000000"/>
                <w:sz w:val="18"/>
                <w:szCs w:val="20"/>
              </w:rPr>
              <w:t xml:space="preserve"> The threshold proposed in the Second Draft proposal is lower (2/3 rather than ¾). </w:t>
            </w:r>
            <w:r>
              <w:rPr>
                <w:rFonts w:ascii="Avenir Book" w:eastAsia="Times New Roman" w:hAnsi="Avenir Book" w:cs="Times New Roman"/>
                <w:bCs/>
                <w:color w:val="000000"/>
                <w:sz w:val="18"/>
                <w:szCs w:val="20"/>
              </w:rPr>
              <w:t>In respect of timelines - t</w:t>
            </w:r>
            <w:r w:rsidRPr="00C15BCC">
              <w:rPr>
                <w:rFonts w:ascii="Avenir Book" w:eastAsia="Times New Roman" w:hAnsi="Avenir Book" w:cs="Times New Roman"/>
                <w:color w:val="000000"/>
                <w:sz w:val="18"/>
                <w:szCs w:val="20"/>
              </w:rPr>
              <w:t>he CCWG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time period</w:t>
            </w:r>
            <w:r>
              <w:rPr>
                <w:rFonts w:ascii="Avenir Book" w:eastAsia="Times New Roman" w:hAnsi="Avenir Book" w:cs="Times New Roman"/>
                <w:color w:val="000000"/>
                <w:sz w:val="18"/>
                <w:szCs w:val="20"/>
              </w:rPr>
              <w:t>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333</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9" w:history="1">
              <w:r w:rsidR="00790C6E" w:rsidRPr="00C15BCC">
                <w:rPr>
                  <w:rStyle w:val="Hyperlink"/>
                  <w:rFonts w:ascii="Avenir Book" w:eastAsia="Times New Roman" w:hAnsi="Avenir Book" w:cs="Arial"/>
                  <w:sz w:val="18"/>
                  <w:szCs w:val="20"/>
                </w:rPr>
                <w:t>.NZ</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 this will be a straightforward change to the bylaws adoption/amendment process. </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09701E">
              <w:rPr>
                <w:rFonts w:ascii="Avenir Book" w:eastAsia="Times New Roman" w:hAnsi="Avenir Book" w:cs="Times New Roman"/>
                <w:color w:val="000000"/>
                <w:sz w:val="18"/>
                <w:szCs w:val="20"/>
              </w:rPr>
              <w:t xml:space="preserve"> for your comment.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334</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 w:history="1">
              <w:r w:rsidR="00790C6E" w:rsidRPr="00C15BCC">
                <w:rPr>
                  <w:rStyle w:val="Hyperlink"/>
                  <w:rFonts w:ascii="Avenir Book" w:eastAsia="Times New Roman" w:hAnsi="Avenir Book" w:cs="Arial"/>
                  <w:sz w:val="18"/>
                  <w:szCs w:val="20"/>
                </w:rPr>
                <w:t>HR2251</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term “supermajority” is defined for purposes of the bylaws of ICANN to mean, with respect to a vote of the board of directors, an affirmative vote by at least four-fifths of all directors.</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change in the bylaws of ICANN requires a vote of a supermajority of the board of directors.</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highlight w:val="yellow"/>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rsidR="00790C6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 you for your comment. </w:t>
            </w:r>
          </w:p>
          <w:p w:rsidR="0009701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rsidR="0009701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 xml:space="preserve">This power is maintained in the Second Draft Proposal – see section 7.2. The threshold proposed in the Second Draft proposal is lower (2/3 rather than ¾). </w:t>
            </w:r>
            <w:r>
              <w:rPr>
                <w:rFonts w:ascii="Avenir Book" w:eastAsia="Times New Roman" w:hAnsi="Avenir Book" w:cs="Times New Roman"/>
                <w:bCs/>
                <w:color w:val="000000"/>
                <w:sz w:val="18"/>
                <w:szCs w:val="20"/>
              </w:rPr>
              <w:t>This power would be exercised by the Community Mechanism as Sole Member – see section 6 of our Second Draft Proposal.</w:t>
            </w:r>
          </w:p>
          <w:p w:rsidR="0009701E" w:rsidRPr="00C15BCC"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335</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 w:history="1">
              <w:r w:rsidR="00790C6E" w:rsidRPr="00C15BCC">
                <w:rPr>
                  <w:rStyle w:val="Hyperlink"/>
                  <w:rFonts w:ascii="Avenir Book" w:eastAsia="Times New Roman" w:hAnsi="Avenir Book" w:cs="Arial"/>
                  <w:sz w:val="18"/>
                  <w:szCs w:val="20"/>
                </w:rPr>
                <w:t>NCSG</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09701E">
              <w:rPr>
                <w:rFonts w:ascii="Avenir Book" w:eastAsia="Times New Roman" w:hAnsi="Avenir Book" w:cs="Times New Roman"/>
                <w:color w:val="000000"/>
                <w:sz w:val="18"/>
                <w:szCs w:val="20"/>
              </w:rPr>
              <w:t xml:space="preserve"> for your comment.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336</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2" w:history="1">
              <w:r w:rsidR="00790C6E" w:rsidRPr="00C15BCC">
                <w:rPr>
                  <w:rStyle w:val="Hyperlink"/>
                  <w:rFonts w:ascii="Avenir Book" w:hAnsi="Avenir Book"/>
                  <w:sz w:val="18"/>
                  <w:szCs w:val="20"/>
                </w:rPr>
                <w:t>CENTR</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possibility for a new body to reject proposed Bylaw changes after their approval by the ICANN Board, but only before they come into effect. At the same time, we believe this power may slightly 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w:t>
            </w:r>
            <w:r w:rsidRPr="00C15BCC">
              <w:rPr>
                <w:rFonts w:ascii="Avenir Book" w:eastAsia="Times New Roman" w:hAnsi="Avenir Book" w:cs="Arial"/>
                <w:color w:val="000000"/>
                <w:sz w:val="18"/>
                <w:szCs w:val="20"/>
              </w:rPr>
              <w:lastRenderedPageBreak/>
              <w:t>even to reject Bylaws changes after their approval might push the ICANN staff (in charge of all the various preparatory, consultative, editorial and administrative steps to introduce the amendments) and the Board to delay possible change processes until there is certainty that they will not be questioned by the community at a later stage.</w:t>
            </w:r>
          </w:p>
        </w:tc>
        <w:tc>
          <w:tcPr>
            <w:tcW w:w="4027" w:type="dxa"/>
            <w:vAlign w:val="center"/>
          </w:tcPr>
          <w:p w:rsidR="00790C6E" w:rsidRPr="00C15BCC" w:rsidRDefault="00790C6E" w:rsidP="0056349C">
            <w:pPr>
              <w:spacing w:after="24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rsidR="00790C6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Thank you for your comment. To the extent that introducing this community power makes the ICANN Board and staff more careful to work with the community in ensuring there is consensus about bylaws changes, we regard that as a good thing. </w:t>
            </w:r>
          </w:p>
          <w:p w:rsidR="0009701E" w:rsidRPr="00C15BCC"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337</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3" w:history="1">
              <w:r w:rsidR="00790C6E" w:rsidRPr="00C15BCC">
                <w:rPr>
                  <w:rStyle w:val="Hyperlink"/>
                  <w:rFonts w:ascii="Avenir Book" w:hAnsi="Avenir Book"/>
                  <w:sz w:val="18"/>
                  <w:szCs w:val="20"/>
                </w:rPr>
                <w:t>NIRA</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however, NIRA is of the opinion that a limit should be provided on number of times the community can reject changes. </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rsidR="00790C6E" w:rsidRPr="00C15BCC" w:rsidRDefault="0009701E" w:rsidP="0056349C">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Thank you for your comment. The CCWG considered this but did not propose any changes to the unlimited number of vetoes available through this community power – see para 401 of our Second Draft Proposal.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338</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4" w:history="1">
              <w:r w:rsidR="00790C6E" w:rsidRPr="00C15BCC">
                <w:rPr>
                  <w:rStyle w:val="Hyperlink"/>
                  <w:rFonts w:ascii="Avenir Book" w:eastAsia="Times New Roman" w:hAnsi="Avenir Book" w:cs="Arial"/>
                  <w:sz w:val="18"/>
                  <w:szCs w:val="20"/>
                </w:rPr>
                <w:t>LAB</w:t>
              </w:r>
            </w:hyperlink>
          </w:p>
        </w:tc>
        <w:tc>
          <w:tcPr>
            <w:tcW w:w="5513" w:type="dxa"/>
            <w:vAlign w:val="center"/>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para</w:t>
            </w:r>
            <w:proofErr w:type="gramEnd"/>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lang w:val="en-GB"/>
              </w:rPr>
              <w:t>212, a two-week window is indicated for exercising the proposed power to reject Board approval of changes to Bylaws. I query whether this is a sufficiently long time frame.</w:t>
            </w:r>
          </w:p>
        </w:tc>
        <w:tc>
          <w:tcPr>
            <w:tcW w:w="4027" w:type="dxa"/>
            <w:vAlign w:val="center"/>
          </w:tcPr>
          <w:p w:rsidR="00790C6E" w:rsidRPr="00C15BCC" w:rsidRDefault="00790C6E" w:rsidP="0056349C">
            <w:pPr>
              <w:spacing w:after="0" w:line="240" w:lineRule="auto"/>
              <w:rPr>
                <w:rFonts w:ascii="Avenir Book" w:eastAsia="Times New Roman" w:hAnsi="Avenir Book" w:cs="Times New Roman"/>
                <w:b/>
                <w:bCs/>
                <w:color w:val="000000"/>
                <w:sz w:val="18"/>
                <w:szCs w:val="20"/>
              </w:rPr>
            </w:pP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rsidR="00790C6E"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rsidR="0009701E"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 xml:space="preserve">Thank you for your comment. </w:t>
            </w:r>
            <w:r>
              <w:rPr>
                <w:rFonts w:ascii="Avenir Book" w:eastAsia="Times New Roman" w:hAnsi="Avenir Book" w:cs="Times New Roman"/>
                <w:bCs/>
                <w:color w:val="000000"/>
                <w:sz w:val="18"/>
                <w:szCs w:val="20"/>
              </w:rPr>
              <w:t>In respect of timelines - t</w:t>
            </w:r>
            <w:r w:rsidRPr="00C15BCC">
              <w:rPr>
                <w:rFonts w:ascii="Avenir Book" w:eastAsia="Times New Roman" w:hAnsi="Avenir Book" w:cs="Times New Roman"/>
                <w:color w:val="000000"/>
                <w:sz w:val="18"/>
                <w:szCs w:val="20"/>
              </w:rPr>
              <w:t>he CCWG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time period</w:t>
            </w:r>
            <w:r>
              <w:rPr>
                <w:rFonts w:ascii="Avenir Book" w:eastAsia="Times New Roman" w:hAnsi="Avenir Book" w:cs="Times New Roman"/>
                <w:color w:val="000000"/>
                <w:sz w:val="18"/>
                <w:szCs w:val="20"/>
              </w:rPr>
              <w:t>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rsidR="0009701E" w:rsidRPr="00C15BCC" w:rsidRDefault="0009701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c>
          <w:tcPr>
            <w:tcW w:w="322" w:type="dxa"/>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339</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5" w:history="1">
              <w:r w:rsidR="00790C6E" w:rsidRPr="00C15BCC">
                <w:rPr>
                  <w:rStyle w:val="Hyperlink"/>
                  <w:rFonts w:ascii="Avenir Book" w:hAnsi="Avenir Book"/>
                  <w:sz w:val="18"/>
                  <w:szCs w:val="20"/>
                </w:rPr>
                <w:t>SB</w:t>
              </w:r>
            </w:hyperlink>
          </w:p>
        </w:tc>
        <w:tc>
          <w:tcPr>
            <w:tcW w:w="5513" w:type="dxa"/>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No comments on this section</w:t>
            </w:r>
          </w:p>
        </w:tc>
        <w:tc>
          <w:tcPr>
            <w:tcW w:w="4027" w:type="dxa"/>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90C6E" w:rsidRPr="00C15BCC" w:rsidTr="0056349C">
        <w:trPr>
          <w:trHeight w:val="818"/>
        </w:trPr>
        <w:tc>
          <w:tcPr>
            <w:tcW w:w="322" w:type="dxa"/>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340</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6" w:history="1">
              <w:r w:rsidR="00790C6E" w:rsidRPr="00C15BCC">
                <w:rPr>
                  <w:rStyle w:val="Hyperlink"/>
                  <w:rFonts w:ascii="Avenir Book" w:hAnsi="Avenir Book" w:cs="Arial"/>
                  <w:sz w:val="18"/>
                  <w:szCs w:val="20"/>
                </w:rPr>
                <w:t>RIR</w:t>
              </w:r>
            </w:hyperlink>
          </w:p>
        </w:tc>
        <w:tc>
          <w:tcPr>
            <w:tcW w:w="5513" w:type="dxa"/>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This power would enhance ICANN s accountability, and there is support for the requirements for this recommendation. </w:t>
            </w:r>
          </w:p>
        </w:tc>
        <w:tc>
          <w:tcPr>
            <w:tcW w:w="4027" w:type="dxa"/>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rsidR="0009701E" w:rsidRDefault="00790C6E"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comment</w:t>
            </w:r>
            <w:r w:rsidR="0009701E">
              <w:rPr>
                <w:rFonts w:ascii="Avenir Book" w:eastAsia="Times New Roman" w:hAnsi="Avenir Book" w:cs="Times New Roman"/>
                <w:color w:val="000000"/>
                <w:sz w:val="18"/>
                <w:szCs w:val="20"/>
              </w:rPr>
              <w:t>.</w:t>
            </w:r>
          </w:p>
          <w:p w:rsidR="00790C6E" w:rsidRPr="00C15BCC" w:rsidRDefault="00790C6E" w:rsidP="0056349C">
            <w:pPr>
              <w:spacing w:after="0" w:line="240" w:lineRule="auto"/>
              <w:rPr>
                <w:rFonts w:ascii="Avenir Book" w:eastAsia="Times New Roman" w:hAnsi="Avenir Book" w:cs="Times New Roman"/>
                <w:sz w:val="18"/>
                <w:szCs w:val="20"/>
              </w:rPr>
            </w:pPr>
          </w:p>
        </w:tc>
      </w:tr>
      <w:tr w:rsidR="00790C6E" w:rsidRPr="00C15BCC" w:rsidTr="0056349C">
        <w:tc>
          <w:tcPr>
            <w:tcW w:w="322" w:type="dxa"/>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341</w:t>
            </w:r>
          </w:p>
        </w:tc>
        <w:tc>
          <w:tcPr>
            <w:tcW w:w="1478" w:type="dxa"/>
            <w:vAlign w:val="center"/>
          </w:tcPr>
          <w:p w:rsidR="00790C6E" w:rsidRPr="00C15BCC" w:rsidRDefault="00B56290"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7" w:history="1">
              <w:r w:rsidR="00790C6E" w:rsidRPr="00C15BCC">
                <w:rPr>
                  <w:rStyle w:val="Hyperlink"/>
                  <w:rFonts w:ascii="Avenir Book" w:hAnsi="Avenir Book" w:cs="Arial"/>
                  <w:sz w:val="18"/>
                  <w:szCs w:val="20"/>
                </w:rPr>
                <w:t>Siva</w:t>
              </w:r>
            </w:hyperlink>
          </w:p>
        </w:tc>
        <w:tc>
          <w:tcPr>
            <w:tcW w:w="5513" w:type="dxa"/>
          </w:tcPr>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needs to be empowered to reconsider/reject changes to the standard ICANN bylaws. In the proposal as presented, there is an imbalance in the manner in which the 29 Community votes are distributed. </w:t>
            </w:r>
            <w:proofErr w:type="gramStart"/>
            <w:r w:rsidRPr="00C15BCC">
              <w:rPr>
                <w:rFonts w:ascii="Avenir Book" w:eastAsia="Times New Roman" w:hAnsi="Avenir Book" w:cs="Arial"/>
                <w:color w:val="000000"/>
                <w:sz w:val="18"/>
                <w:szCs w:val="20"/>
              </w:rPr>
              <w:t>ccNSO</w:t>
            </w:r>
            <w:proofErr w:type="gramEnd"/>
            <w:r w:rsidRPr="00C15BCC">
              <w:rPr>
                <w:rFonts w:ascii="Avenir Book" w:eastAsia="Times New Roman" w:hAnsi="Avenir Book" w:cs="Arial"/>
                <w:color w:val="000000"/>
                <w:sz w:val="18"/>
                <w:szCs w:val="20"/>
              </w:rPr>
              <w:t xml:space="preserve"> predominantly comprises Government participants, or at least comprises participants more prone to be influenced by Governments and by this subjective observation, ccNSO votes could be </w:t>
            </w:r>
            <w:r w:rsidRPr="00C15BCC">
              <w:rPr>
                <w:rFonts w:ascii="Avenir Book" w:eastAsia="Times New Roman" w:hAnsi="Avenir Book" w:cs="Arial"/>
                <w:color w:val="000000"/>
                <w:sz w:val="18"/>
                <w:szCs w:val="20"/>
              </w:rPr>
              <w:lastRenderedPageBreak/>
              <w:t xml:space="preserve">counted as quasi-governmental votes. The 5 ccNSO votes added to the 5 GAC votes makes a total of 10 out of 29 votes, which could skew the multi-stakeholder process, considering the fact that the presence of Governments in the multi-stakeholder process is not restricted to the visible roles and positions. </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imbalance is amended in the short term by increasing votes for other stakeholder groups. Long term amendments are outlined as part of the comments in the section on WorkStream2. </w:t>
            </w:r>
          </w:p>
        </w:tc>
        <w:tc>
          <w:tcPr>
            <w:tcW w:w="4027" w:type="dxa"/>
          </w:tcPr>
          <w:p w:rsidR="00790C6E" w:rsidRPr="00C15BCC" w:rsidRDefault="00790C6E" w:rsidP="0056349C">
            <w:pPr>
              <w:spacing w:after="0" w:line="240" w:lineRule="auto"/>
              <w:rPr>
                <w:rFonts w:ascii="Avenir Book" w:eastAsia="Times New Roman" w:hAnsi="Avenir Book" w:cs="Times New Roman"/>
                <w:sz w:val="18"/>
                <w:szCs w:val="20"/>
              </w:rPr>
            </w:pPr>
          </w:p>
          <w:p w:rsidR="00790C6E" w:rsidRPr="00C15BCC" w:rsidRDefault="00790C6E"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rsidR="00790C6E" w:rsidRPr="00C15BCC" w:rsidRDefault="00790C6E"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comment</w:t>
            </w:r>
            <w:r w:rsidR="0009701E">
              <w:rPr>
                <w:rFonts w:ascii="Avenir Book" w:eastAsia="Times New Roman" w:hAnsi="Avenir Book" w:cs="Times New Roman"/>
                <w:color w:val="000000"/>
                <w:sz w:val="18"/>
                <w:szCs w:val="20"/>
              </w:rPr>
              <w:t>. The final proposed distribution of votes, now within the Community Mechanism as Sole Member, is set out in section 6 of our Second Draft Proposal.</w:t>
            </w:r>
          </w:p>
          <w:p w:rsidR="00790C6E" w:rsidRPr="00C15BCC" w:rsidRDefault="00790C6E"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bl>
    <w:p w:rsidR="00D3583A" w:rsidRDefault="00D3583A"/>
    <w:sectPr w:rsidR="00D3583A" w:rsidSect="003B1A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F188D"/>
    <w:multiLevelType w:val="multilevel"/>
    <w:tmpl w:val="2D9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23AE9"/>
    <w:multiLevelType w:val="multilevel"/>
    <w:tmpl w:val="626A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3333B"/>
    <w:multiLevelType w:val="multilevel"/>
    <w:tmpl w:val="34CA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B65BDD"/>
    <w:multiLevelType w:val="hybridMultilevel"/>
    <w:tmpl w:val="E0E8BB5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6E"/>
    <w:rsid w:val="00062658"/>
    <w:rsid w:val="0009701E"/>
    <w:rsid w:val="00247026"/>
    <w:rsid w:val="00380934"/>
    <w:rsid w:val="003B1A40"/>
    <w:rsid w:val="00456745"/>
    <w:rsid w:val="00663538"/>
    <w:rsid w:val="00790C6E"/>
    <w:rsid w:val="00B56290"/>
    <w:rsid w:val="00D3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C6E"/>
    <w:rPr>
      <w:color w:val="0000FF"/>
      <w:u w:val="single"/>
    </w:rPr>
  </w:style>
  <w:style w:type="table" w:styleId="TableGrid">
    <w:name w:val="Table Grid"/>
    <w:basedOn w:val="TableNormal"/>
    <w:uiPriority w:val="59"/>
    <w:rsid w:val="0079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C6E"/>
    <w:pPr>
      <w:ind w:left="720"/>
      <w:contextualSpacing/>
    </w:pPr>
  </w:style>
  <w:style w:type="character" w:styleId="CommentReference">
    <w:name w:val="annotation reference"/>
    <w:basedOn w:val="DefaultParagraphFont"/>
    <w:uiPriority w:val="99"/>
    <w:semiHidden/>
    <w:unhideWhenUsed/>
    <w:rsid w:val="00663538"/>
    <w:rPr>
      <w:sz w:val="16"/>
      <w:szCs w:val="16"/>
    </w:rPr>
  </w:style>
  <w:style w:type="paragraph" w:styleId="CommentText">
    <w:name w:val="annotation text"/>
    <w:basedOn w:val="Normal"/>
    <w:link w:val="CommentTextChar"/>
    <w:uiPriority w:val="99"/>
    <w:semiHidden/>
    <w:unhideWhenUsed/>
    <w:rsid w:val="00663538"/>
    <w:pPr>
      <w:spacing w:line="240" w:lineRule="auto"/>
    </w:pPr>
    <w:rPr>
      <w:sz w:val="20"/>
      <w:szCs w:val="20"/>
    </w:rPr>
  </w:style>
  <w:style w:type="character" w:customStyle="1" w:styleId="CommentTextChar">
    <w:name w:val="Comment Text Char"/>
    <w:basedOn w:val="DefaultParagraphFont"/>
    <w:link w:val="CommentText"/>
    <w:uiPriority w:val="99"/>
    <w:semiHidden/>
    <w:rsid w:val="00663538"/>
    <w:rPr>
      <w:sz w:val="20"/>
      <w:szCs w:val="20"/>
    </w:rPr>
  </w:style>
  <w:style w:type="paragraph" w:styleId="CommentSubject">
    <w:name w:val="annotation subject"/>
    <w:basedOn w:val="CommentText"/>
    <w:next w:val="CommentText"/>
    <w:link w:val="CommentSubjectChar"/>
    <w:uiPriority w:val="99"/>
    <w:semiHidden/>
    <w:unhideWhenUsed/>
    <w:rsid w:val="00663538"/>
    <w:rPr>
      <w:b/>
      <w:bCs/>
    </w:rPr>
  </w:style>
  <w:style w:type="character" w:customStyle="1" w:styleId="CommentSubjectChar">
    <w:name w:val="Comment Subject Char"/>
    <w:basedOn w:val="CommentTextChar"/>
    <w:link w:val="CommentSubject"/>
    <w:uiPriority w:val="99"/>
    <w:semiHidden/>
    <w:rsid w:val="00663538"/>
    <w:rPr>
      <w:b/>
      <w:bCs/>
      <w:sz w:val="20"/>
      <w:szCs w:val="20"/>
    </w:rPr>
  </w:style>
  <w:style w:type="paragraph" w:styleId="BalloonText">
    <w:name w:val="Balloon Text"/>
    <w:basedOn w:val="Normal"/>
    <w:link w:val="BalloonTextChar"/>
    <w:uiPriority w:val="99"/>
    <w:semiHidden/>
    <w:unhideWhenUsed/>
    <w:rsid w:val="0066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C6E"/>
    <w:rPr>
      <w:color w:val="0000FF"/>
      <w:u w:val="single"/>
    </w:rPr>
  </w:style>
  <w:style w:type="table" w:styleId="TableGrid">
    <w:name w:val="Table Grid"/>
    <w:basedOn w:val="TableNormal"/>
    <w:uiPriority w:val="59"/>
    <w:rsid w:val="0079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C6E"/>
    <w:pPr>
      <w:ind w:left="720"/>
      <w:contextualSpacing/>
    </w:pPr>
  </w:style>
  <w:style w:type="character" w:styleId="CommentReference">
    <w:name w:val="annotation reference"/>
    <w:basedOn w:val="DefaultParagraphFont"/>
    <w:uiPriority w:val="99"/>
    <w:semiHidden/>
    <w:unhideWhenUsed/>
    <w:rsid w:val="00663538"/>
    <w:rPr>
      <w:sz w:val="16"/>
      <w:szCs w:val="16"/>
    </w:rPr>
  </w:style>
  <w:style w:type="paragraph" w:styleId="CommentText">
    <w:name w:val="annotation text"/>
    <w:basedOn w:val="Normal"/>
    <w:link w:val="CommentTextChar"/>
    <w:uiPriority w:val="99"/>
    <w:semiHidden/>
    <w:unhideWhenUsed/>
    <w:rsid w:val="00663538"/>
    <w:pPr>
      <w:spacing w:line="240" w:lineRule="auto"/>
    </w:pPr>
    <w:rPr>
      <w:sz w:val="20"/>
      <w:szCs w:val="20"/>
    </w:rPr>
  </w:style>
  <w:style w:type="character" w:customStyle="1" w:styleId="CommentTextChar">
    <w:name w:val="Comment Text Char"/>
    <w:basedOn w:val="DefaultParagraphFont"/>
    <w:link w:val="CommentText"/>
    <w:uiPriority w:val="99"/>
    <w:semiHidden/>
    <w:rsid w:val="00663538"/>
    <w:rPr>
      <w:sz w:val="20"/>
      <w:szCs w:val="20"/>
    </w:rPr>
  </w:style>
  <w:style w:type="paragraph" w:styleId="CommentSubject">
    <w:name w:val="annotation subject"/>
    <w:basedOn w:val="CommentText"/>
    <w:next w:val="CommentText"/>
    <w:link w:val="CommentSubjectChar"/>
    <w:uiPriority w:val="99"/>
    <w:semiHidden/>
    <w:unhideWhenUsed/>
    <w:rsid w:val="00663538"/>
    <w:rPr>
      <w:b/>
      <w:bCs/>
    </w:rPr>
  </w:style>
  <w:style w:type="character" w:customStyle="1" w:styleId="CommentSubjectChar">
    <w:name w:val="Comment Subject Char"/>
    <w:basedOn w:val="CommentTextChar"/>
    <w:link w:val="CommentSubject"/>
    <w:uiPriority w:val="99"/>
    <w:semiHidden/>
    <w:rsid w:val="00663538"/>
    <w:rPr>
      <w:b/>
      <w:bCs/>
      <w:sz w:val="20"/>
      <w:szCs w:val="20"/>
    </w:rPr>
  </w:style>
  <w:style w:type="paragraph" w:styleId="BalloonText">
    <w:name w:val="Balloon Text"/>
    <w:basedOn w:val="Normal"/>
    <w:link w:val="BalloonTextChar"/>
    <w:uiPriority w:val="99"/>
    <w:semiHidden/>
    <w:unhideWhenUsed/>
    <w:rsid w:val="00663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comments-ccwg-accountability-draft-proposal-04may15/msg00011.html" TargetMode="External"/><Relationship Id="rId13" Type="http://schemas.openxmlformats.org/officeDocument/2006/relationships/hyperlink" Target="http://forum.icann.org/lists/comments-ccwg-accountability-draft-proposal-04may15/msg00028.html" TargetMode="External"/><Relationship Id="rId18" Type="http://schemas.openxmlformats.org/officeDocument/2006/relationships/hyperlink" Target="http://forum.icann.org/lists/comments-ccwg-accountability-draft-proposal-04may15/msg00040.html" TargetMode="External"/><Relationship Id="rId26" Type="http://schemas.openxmlformats.org/officeDocument/2006/relationships/hyperlink" Target="http://forum.icann.org/lists/comments-ccwg-accountability-draft-proposal-04may15/msg00065.html" TargetMode="External"/><Relationship Id="rId3" Type="http://schemas.microsoft.com/office/2007/relationships/stylesWithEffects" Target="stylesWithEffects.xml"/><Relationship Id="rId21" Type="http://schemas.openxmlformats.org/officeDocument/2006/relationships/hyperlink" Target="http://forum.icann.org/lists/comments-ccwg-accountability-draft-proposal-04may15/msg00052.html" TargetMode="External"/><Relationship Id="rId7" Type="http://schemas.openxmlformats.org/officeDocument/2006/relationships/hyperlink" Target="http://forum.icann.org/lists/comments-ccwg-accountability-draft-proposal-04may15/msg00002.html" TargetMode="External"/><Relationship Id="rId12" Type="http://schemas.openxmlformats.org/officeDocument/2006/relationships/hyperlink" Target="http://forum.icann.org/lists/comments-ccwg-accountability-draft-proposal-04may15/msg00025.html" TargetMode="External"/><Relationship Id="rId17" Type="http://schemas.openxmlformats.org/officeDocument/2006/relationships/hyperlink" Target="http://forum.icann.org/lists/comments-ccwg-accountability-draft-proposal-04may15/msg00038.html" TargetMode="External"/><Relationship Id="rId25" Type="http://schemas.openxmlformats.org/officeDocument/2006/relationships/hyperlink" Target="http://forum.icann.org/lists/comments-ccwg-accountability-draft-proposal-04may15/msg00063.html" TargetMode="External"/><Relationship Id="rId2" Type="http://schemas.openxmlformats.org/officeDocument/2006/relationships/styles" Target="styles.xml"/><Relationship Id="rId16" Type="http://schemas.openxmlformats.org/officeDocument/2006/relationships/hyperlink" Target="http://forum.icann.org/lists/comments-ccwg-accountability-draft-proposal-04may15/msg00034.html" TargetMode="External"/><Relationship Id="rId20" Type="http://schemas.openxmlformats.org/officeDocument/2006/relationships/hyperlink" Target="http://forum.icann.org/lists/comments-ccwg-accountability-draft-proposal-04may15/msg00043.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orum.icann.org/lists/comments-ccwg-accountability-draft-proposal-04may15/msg00000.html" TargetMode="External"/><Relationship Id="rId11" Type="http://schemas.openxmlformats.org/officeDocument/2006/relationships/hyperlink" Target="http://forum.icann.org/lists/comments-ccwg-accountability-draft-proposal-04may15/msg00024.html" TargetMode="External"/><Relationship Id="rId24" Type="http://schemas.openxmlformats.org/officeDocument/2006/relationships/hyperlink" Target="http://forum.icann.org/lists/comments-ccwg-accountability-draft-proposal-04may15/msg00059.html" TargetMode="External"/><Relationship Id="rId5" Type="http://schemas.openxmlformats.org/officeDocument/2006/relationships/webSettings" Target="webSettings.xml"/><Relationship Id="rId15" Type="http://schemas.openxmlformats.org/officeDocument/2006/relationships/hyperlink" Target="http://forum.icann.org/lists/comments-ccwg-accountability-draft-proposal-04may15/msg00033.html" TargetMode="External"/><Relationship Id="rId23" Type="http://schemas.openxmlformats.org/officeDocument/2006/relationships/hyperlink" Target="http://forum.icann.org/lists/comments-ccwg-accountability-draft-proposal-04may15/msg00056.html" TargetMode="External"/><Relationship Id="rId28" Type="http://schemas.openxmlformats.org/officeDocument/2006/relationships/fontTable" Target="fontTable.xml"/><Relationship Id="rId10" Type="http://schemas.openxmlformats.org/officeDocument/2006/relationships/hyperlink" Target="http://forum.icann.org/lists/comments-ccwg-accountability-draft-proposal-04may15/msg00022.html" TargetMode="External"/><Relationship Id="rId19" Type="http://schemas.openxmlformats.org/officeDocument/2006/relationships/hyperlink" Target="http://forum.icann.org/lists/comments-ccwg-accountability-draft-proposal-04may15/msg00041.html" TargetMode="External"/><Relationship Id="rId4" Type="http://schemas.openxmlformats.org/officeDocument/2006/relationships/settings" Target="settings.xml"/><Relationship Id="rId9" Type="http://schemas.openxmlformats.org/officeDocument/2006/relationships/hyperlink" Target="http://forum.icann.org/lists/comments-ccwg-accountability-draft-proposal-04may15/msg00050.html" TargetMode="External"/><Relationship Id="rId14" Type="http://schemas.openxmlformats.org/officeDocument/2006/relationships/hyperlink" Target="http://forum.icann.org/lists/comments-ccwg-accountability-draft-proposal-04may15/msg00030.html" TargetMode="External"/><Relationship Id="rId22" Type="http://schemas.openxmlformats.org/officeDocument/2006/relationships/hyperlink" Target="http://forum.icann.org/lists/comments-ccwg-accountability-draft-proposal-04may15/msg00051.html" TargetMode="External"/><Relationship Id="rId27" Type="http://schemas.openxmlformats.org/officeDocument/2006/relationships/hyperlink" Target="http://forum.icann.org/lists/comments-ccwg-accountability-draft-proposal-04may15/msg0006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Carlson</dc:creator>
  <cp:lastModifiedBy> Jordan Carter</cp:lastModifiedBy>
  <cp:revision>3</cp:revision>
  <dcterms:created xsi:type="dcterms:W3CDTF">2015-08-16T02:45:00Z</dcterms:created>
  <dcterms:modified xsi:type="dcterms:W3CDTF">2015-08-16T02:46:00Z</dcterms:modified>
</cp:coreProperties>
</file>