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F515C" w14:textId="77777777" w:rsidR="00914893" w:rsidRPr="008B4183" w:rsidRDefault="00914893" w:rsidP="00465389">
      <w:pPr>
        <w:pStyle w:val="Title"/>
        <w:rPr>
          <w:sz w:val="40"/>
        </w:rPr>
      </w:pPr>
      <w:bookmarkStart w:id="0" w:name="_Toc300218570"/>
      <w:r w:rsidRPr="008B4183">
        <w:rPr>
          <w:sz w:val="40"/>
        </w:rPr>
        <w:t>9. Incorporation of the Affirmation of Commitments</w:t>
      </w:r>
      <w:bookmarkEnd w:id="0"/>
    </w:p>
    <w:p w14:paraId="15D0FBBC" w14:textId="77777777" w:rsidR="00914893" w:rsidRDefault="00914893" w:rsidP="00465389">
      <w:pPr>
        <w:pStyle w:val="Numbering"/>
        <w:numPr>
          <w:ilvl w:val="0"/>
          <w:numId w:val="0"/>
        </w:numPr>
        <w:ind w:left="-160"/>
      </w:pPr>
      <w:r>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14:paraId="0D560F73" w14:textId="77777777" w:rsidR="00914893" w:rsidRDefault="00914893" w:rsidP="00465389">
      <w:pPr>
        <w:pStyle w:val="Numbering"/>
        <w:numPr>
          <w:ilvl w:val="0"/>
          <w:numId w:val="0"/>
        </w:numPr>
        <w:ind w:left="-160"/>
      </w:pPr>
      <w:r>
        <w:t>If the AoC were to be terminated without any equivalent replacement, ICANN would no longer be held to these important affirmative commitments including the related requirement to conduct community reviews. If this were allowed to occur it would significantly diminish ICANN’s accountability to the global multistakeholder community.</w:t>
      </w:r>
    </w:p>
    <w:p w14:paraId="399B7270" w14:textId="43F5EEE3" w:rsidR="00914893" w:rsidRDefault="00914893" w:rsidP="00465389">
      <w:pPr>
        <w:pStyle w:val="Numbering"/>
        <w:numPr>
          <w:ilvl w:val="0"/>
          <w:numId w:val="0"/>
        </w:numPr>
        <w:ind w:left="-160"/>
      </w:pPr>
      <w:r>
        <w:t xml:space="preserve">Elimination of the AoC as a separate agreement would be a simple matter for a post-transition ICANN, since the AoC can be terminated, by either party, with just 120-days’ notice. The CCWG-Accountability evaluated the contingency of ICANN unilaterally withdrawing from the AoC </w:t>
      </w:r>
      <w:r w:rsidR="00C046CB">
        <w:t xml:space="preserve">in </w:t>
      </w:r>
      <w:r>
        <w:t xml:space="preserve">Stress Test </w:t>
      </w:r>
      <w:r w:rsidR="00C046CB">
        <w:t>#</w:t>
      </w:r>
      <w:r>
        <w:t>14</w:t>
      </w:r>
      <w:r w:rsidR="00C046CB">
        <w:t>, shown below</w:t>
      </w:r>
      <w:r>
        <w:t>:</w:t>
      </w:r>
    </w:p>
    <w:tbl>
      <w:tblPr>
        <w:tblStyle w:val="TableGrid"/>
        <w:tblW w:w="9660" w:type="dxa"/>
        <w:tblInd w:w="100" w:type="dxa"/>
        <w:tblCellMar>
          <w:left w:w="220" w:type="dxa"/>
        </w:tblCellMar>
        <w:tblLook w:val="04A0" w:firstRow="1" w:lastRow="0" w:firstColumn="1" w:lastColumn="0" w:noHBand="0" w:noVBand="1"/>
      </w:tblPr>
      <w:tblGrid>
        <w:gridCol w:w="3360"/>
        <w:gridCol w:w="6300"/>
      </w:tblGrid>
      <w:tr w:rsidR="00C046CB" w14:paraId="28EC35DB" w14:textId="77777777" w:rsidTr="00FA77E7">
        <w:tc>
          <w:tcPr>
            <w:tcW w:w="9660" w:type="dxa"/>
            <w:gridSpan w:val="2"/>
            <w:shd w:val="clear" w:color="auto" w:fill="B6DDE8" w:themeFill="accent5" w:themeFillTint="66"/>
          </w:tcPr>
          <w:p w14:paraId="51BBB3C4" w14:textId="77777777" w:rsidR="00C046CB" w:rsidRPr="00C046CB" w:rsidRDefault="00C046CB" w:rsidP="00C046CB">
            <w:pPr>
              <w:pStyle w:val="Numbering"/>
              <w:numPr>
                <w:ilvl w:val="0"/>
                <w:numId w:val="0"/>
              </w:numPr>
              <w:ind w:left="-160"/>
              <w:rPr>
                <w:sz w:val="20"/>
              </w:rPr>
            </w:pPr>
            <w:r w:rsidRPr="00C046CB">
              <w:rPr>
                <w:b/>
                <w:sz w:val="20"/>
                <w:u w:val="single"/>
              </w:rPr>
              <w:t>Stress Test #14:</w:t>
            </w:r>
            <w:r w:rsidRPr="00C046CB">
              <w:rPr>
                <w:sz w:val="20"/>
              </w:rPr>
              <w:t xml:space="preserve"> ICANN or NTIA choose to terminate the Affirmation of Commitments.</w:t>
            </w:r>
          </w:p>
        </w:tc>
      </w:tr>
      <w:tr w:rsidR="00C046CB" w14:paraId="4C67B361" w14:textId="77777777" w:rsidTr="00FA77E7">
        <w:tc>
          <w:tcPr>
            <w:tcW w:w="9660" w:type="dxa"/>
            <w:gridSpan w:val="2"/>
            <w:shd w:val="clear" w:color="auto" w:fill="DAEEF3" w:themeFill="accent5" w:themeFillTint="33"/>
          </w:tcPr>
          <w:p w14:paraId="08DAC943" w14:textId="40C835A7" w:rsidR="00C046CB" w:rsidRPr="00C046CB" w:rsidRDefault="00C046CB" w:rsidP="00560F73">
            <w:pPr>
              <w:pStyle w:val="Numbering"/>
              <w:numPr>
                <w:ilvl w:val="0"/>
                <w:numId w:val="0"/>
              </w:numPr>
              <w:ind w:left="-160"/>
              <w:rPr>
                <w:sz w:val="20"/>
              </w:rPr>
            </w:pPr>
            <w:r w:rsidRPr="00C046CB">
              <w:rPr>
                <w:b/>
                <w:sz w:val="20"/>
              </w:rPr>
              <w:t xml:space="preserve">Consequence(s): </w:t>
            </w:r>
            <w:r w:rsidRPr="00C046CB">
              <w:rPr>
                <w:sz w:val="20"/>
              </w:rPr>
              <w:t>ICANN would no longer be held to its Affirmation commitments, including the conduct of community reviews and implementation of review team recommendations.</w:t>
            </w:r>
          </w:p>
        </w:tc>
      </w:tr>
      <w:tr w:rsidR="00C046CB" w14:paraId="1B41C7EA" w14:textId="77777777" w:rsidTr="00FA77E7">
        <w:tc>
          <w:tcPr>
            <w:tcW w:w="3360" w:type="dxa"/>
            <w:tcBorders>
              <w:right w:val="dashed" w:sz="4" w:space="0" w:color="auto"/>
            </w:tcBorders>
            <w:shd w:val="clear" w:color="auto" w:fill="D9D9D9" w:themeFill="background1" w:themeFillShade="D9"/>
          </w:tcPr>
          <w:p w14:paraId="4159783D" w14:textId="77777777" w:rsidR="00C046CB" w:rsidRPr="00C046CB" w:rsidRDefault="00C046CB" w:rsidP="00C046CB">
            <w:pPr>
              <w:pStyle w:val="TableHeading"/>
              <w:rPr>
                <w:sz w:val="20"/>
              </w:rPr>
            </w:pPr>
            <w:r w:rsidRPr="00C046CB">
              <w:rPr>
                <w:sz w:val="20"/>
              </w:rPr>
              <w:t>EXISTING ACCOUNTABILITY MEASURES</w:t>
            </w:r>
          </w:p>
        </w:tc>
        <w:tc>
          <w:tcPr>
            <w:tcW w:w="6300" w:type="dxa"/>
            <w:tcBorders>
              <w:left w:val="dashed" w:sz="4" w:space="0" w:color="auto"/>
            </w:tcBorders>
            <w:shd w:val="clear" w:color="auto" w:fill="D9D9D9" w:themeFill="background1" w:themeFillShade="D9"/>
          </w:tcPr>
          <w:p w14:paraId="20669A7F" w14:textId="77777777" w:rsidR="00C046CB" w:rsidRPr="00C046CB" w:rsidRDefault="00C046CB" w:rsidP="00C046CB">
            <w:pPr>
              <w:pStyle w:val="TableHeading"/>
              <w:rPr>
                <w:sz w:val="20"/>
              </w:rPr>
            </w:pPr>
            <w:r w:rsidRPr="00C046CB">
              <w:rPr>
                <w:sz w:val="20"/>
              </w:rPr>
              <w:t>PROPOSED ACCOUNTABILITY MEASURES</w:t>
            </w:r>
          </w:p>
        </w:tc>
      </w:tr>
      <w:tr w:rsidR="00C046CB" w14:paraId="4721AD34" w14:textId="77777777" w:rsidTr="00FA77E7">
        <w:tc>
          <w:tcPr>
            <w:tcW w:w="3360" w:type="dxa"/>
            <w:tcBorders>
              <w:right w:val="dashed" w:sz="4" w:space="0" w:color="auto"/>
            </w:tcBorders>
          </w:tcPr>
          <w:p w14:paraId="459F2450" w14:textId="77777777" w:rsidR="00C046CB" w:rsidRPr="00C046CB" w:rsidRDefault="00C046CB" w:rsidP="00C046CB">
            <w:pPr>
              <w:pStyle w:val="Numbering"/>
              <w:numPr>
                <w:ilvl w:val="0"/>
                <w:numId w:val="0"/>
              </w:numPr>
              <w:ind w:left="-160"/>
              <w:rPr>
                <w:sz w:val="20"/>
              </w:rPr>
            </w:pPr>
            <w:r w:rsidRPr="00C046CB">
              <w:rPr>
                <w:sz w:val="20"/>
              </w:rPr>
              <w:t xml:space="preserve">The Affirmation of Commitments can be terminated by either ICANN or NTIA with 120 days notice. </w:t>
            </w:r>
          </w:p>
          <w:p w14:paraId="0540F5C5" w14:textId="77777777" w:rsidR="00C046CB" w:rsidRPr="00C046CB" w:rsidRDefault="00C046CB" w:rsidP="00C046CB">
            <w:pPr>
              <w:pStyle w:val="Numbering"/>
              <w:numPr>
                <w:ilvl w:val="0"/>
                <w:numId w:val="0"/>
              </w:numPr>
              <w:ind w:left="-160"/>
              <w:rPr>
                <w:sz w:val="20"/>
              </w:rPr>
            </w:pPr>
            <w:r w:rsidRPr="00C046CB">
              <w:rPr>
                <w:sz w:val="20"/>
              </w:rPr>
              <w:t>As long as NTIA controls the IANA contract, ICANN feels pressure to maintain the Affirmation of Commitments.</w:t>
            </w:r>
          </w:p>
          <w:p w14:paraId="28213ED7" w14:textId="77777777" w:rsidR="00C046CB" w:rsidRPr="00C046CB" w:rsidRDefault="00C046CB" w:rsidP="00C046CB">
            <w:pPr>
              <w:pStyle w:val="Numbering"/>
              <w:numPr>
                <w:ilvl w:val="0"/>
                <w:numId w:val="0"/>
              </w:numPr>
              <w:ind w:left="-160"/>
              <w:rPr>
                <w:sz w:val="20"/>
              </w:rPr>
            </w:pPr>
            <w:r w:rsidRPr="00C046CB">
              <w:rPr>
                <w:sz w:val="20"/>
              </w:rPr>
              <w:t>But as a result of the IANA stewardship transition, ICANN would no longer have the IANA contract as external pressure from NTIA to maintain its Affirmation of Commitments.</w:t>
            </w:r>
          </w:p>
        </w:tc>
        <w:tc>
          <w:tcPr>
            <w:tcW w:w="6300" w:type="dxa"/>
            <w:tcBorders>
              <w:left w:val="dashed" w:sz="4" w:space="0" w:color="auto"/>
            </w:tcBorders>
          </w:tcPr>
          <w:p w14:paraId="1E748165" w14:textId="77777777" w:rsidR="00C046CB" w:rsidRPr="00C046CB" w:rsidRDefault="00C046CB" w:rsidP="00C046CB">
            <w:pPr>
              <w:pStyle w:val="Numbering"/>
              <w:numPr>
                <w:ilvl w:val="0"/>
                <w:numId w:val="0"/>
              </w:numPr>
              <w:ind w:left="-160"/>
              <w:rPr>
                <w:sz w:val="20"/>
              </w:rPr>
            </w:pPr>
            <w:r w:rsidRPr="00C046CB">
              <w:rPr>
                <w:sz w:val="20"/>
              </w:rPr>
              <w:t>One proposed mechanism would give the CMSM standing to challenge a Board decision by referral to an IRP with the power to issue a binding decision. If ICANN cancelled the Affirmation of Commitments, the IRP mechanism could enable reversal of that decision.</w:t>
            </w:r>
          </w:p>
          <w:p w14:paraId="7694B783" w14:textId="77777777" w:rsidR="00C046CB" w:rsidRPr="00C046CB" w:rsidRDefault="00C046CB" w:rsidP="00C046CB">
            <w:pPr>
              <w:pStyle w:val="Numbering"/>
              <w:numPr>
                <w:ilvl w:val="0"/>
                <w:numId w:val="0"/>
              </w:numPr>
              <w:ind w:left="-160"/>
              <w:rPr>
                <w:sz w:val="20"/>
              </w:rPr>
            </w:pPr>
            <w:r w:rsidRPr="00C046CB">
              <w:rPr>
                <w:sz w:val="20"/>
              </w:rPr>
              <w:t>Another proposed measure is to import Affirmation of Commitments provisions into the ICANN Bylaws, and dispense with the bilateral Affirmation of Commitments with NTIA.  Bylaws would be amended to include Affirmation of Commitments 3, 4, 7, and 8, plus the 4 periodic reviews required in paragraph 9. </w:t>
            </w:r>
          </w:p>
          <w:p w14:paraId="425102CB" w14:textId="77777777" w:rsidR="00C046CB" w:rsidRPr="00C046CB" w:rsidRDefault="00C046CB" w:rsidP="00C046CB">
            <w:pPr>
              <w:pStyle w:val="Numbering"/>
              <w:numPr>
                <w:ilvl w:val="0"/>
                <w:numId w:val="0"/>
              </w:numPr>
              <w:ind w:left="-160"/>
              <w:rPr>
                <w:sz w:val="20"/>
              </w:rPr>
            </w:pPr>
            <w:r w:rsidRPr="00C046CB">
              <w:rPr>
                <w:sz w:val="20"/>
              </w:rPr>
              <w:t>If ICANN’s Board proposed to amend the AoC commitments and reviews that were added to the Bylaws, another proposed measure would empower the community to veto that proposed Bylaws change.</w:t>
            </w:r>
          </w:p>
          <w:p w14:paraId="38E4F64B" w14:textId="77777777" w:rsidR="00C046CB" w:rsidRPr="00C046CB" w:rsidRDefault="00C046CB" w:rsidP="00C046CB">
            <w:pPr>
              <w:pStyle w:val="Numbering"/>
              <w:numPr>
                <w:ilvl w:val="0"/>
                <w:numId w:val="0"/>
              </w:numPr>
              <w:ind w:left="-160"/>
              <w:rPr>
                <w:sz w:val="20"/>
              </w:rPr>
            </w:pPr>
            <w:r w:rsidRPr="00C046CB">
              <w:rPr>
                <w:sz w:val="20"/>
              </w:rPr>
              <w:t xml:space="preserve">Some of the AoC commitments would be designated as Fundamental Bylaws, for which changes would require supermajority approval by the community mechanism. </w:t>
            </w:r>
          </w:p>
          <w:p w14:paraId="42C97F33" w14:textId="77777777" w:rsidR="00C046CB" w:rsidRPr="00C046CB" w:rsidRDefault="00C046CB" w:rsidP="00C046CB">
            <w:pPr>
              <w:pStyle w:val="Numbering"/>
              <w:numPr>
                <w:ilvl w:val="0"/>
                <w:numId w:val="0"/>
              </w:numPr>
              <w:ind w:left="-160"/>
              <w:rPr>
                <w:sz w:val="20"/>
              </w:rPr>
            </w:pPr>
            <w:r w:rsidRPr="00C046CB">
              <w:rPr>
                <w:sz w:val="20"/>
              </w:rPr>
              <w:t>Note: none of the proposed measures could prevent NTIA from canceling the Affirmation of Commitments.</w:t>
            </w:r>
          </w:p>
        </w:tc>
      </w:tr>
      <w:tr w:rsidR="00C046CB" w14:paraId="1347164A" w14:textId="77777777" w:rsidTr="00FA77E7">
        <w:tc>
          <w:tcPr>
            <w:tcW w:w="3360" w:type="dxa"/>
            <w:tcBorders>
              <w:right w:val="dashed" w:sz="4" w:space="0" w:color="auto"/>
            </w:tcBorders>
            <w:shd w:val="clear" w:color="auto" w:fill="F2F2F2" w:themeFill="background1" w:themeFillShade="F2"/>
          </w:tcPr>
          <w:p w14:paraId="4DF60067" w14:textId="44845F1C" w:rsidR="00C046CB" w:rsidRPr="00C046CB" w:rsidRDefault="00C046CB" w:rsidP="00FA77E7">
            <w:pPr>
              <w:pStyle w:val="Textbold"/>
              <w:rPr>
                <w:b w:val="0"/>
                <w:sz w:val="20"/>
              </w:rPr>
            </w:pPr>
            <w:r w:rsidRPr="00C046CB">
              <w:rPr>
                <w:sz w:val="20"/>
              </w:rPr>
              <w:t>CONCLUSIONS:</w:t>
            </w:r>
            <w:r w:rsidR="00FA77E7">
              <w:rPr>
                <w:sz w:val="20"/>
              </w:rPr>
              <w:t xml:space="preserve"> </w:t>
            </w:r>
            <w:r w:rsidRPr="00FA77E7">
              <w:rPr>
                <w:b w:val="0"/>
                <w:sz w:val="20"/>
              </w:rPr>
              <w:t>Existing measures are inadequate after NTIA terminates IANA contract.</w:t>
            </w:r>
          </w:p>
        </w:tc>
        <w:tc>
          <w:tcPr>
            <w:tcW w:w="6300" w:type="dxa"/>
            <w:tcBorders>
              <w:left w:val="dashed" w:sz="4" w:space="0" w:color="auto"/>
            </w:tcBorders>
            <w:shd w:val="clear" w:color="auto" w:fill="F2F2F2" w:themeFill="background1" w:themeFillShade="F2"/>
          </w:tcPr>
          <w:p w14:paraId="7CBDAA9C" w14:textId="77777777" w:rsidR="00C046CB" w:rsidRPr="00C046CB" w:rsidRDefault="00C046CB" w:rsidP="00C046CB">
            <w:pPr>
              <w:pStyle w:val="Numbering"/>
              <w:numPr>
                <w:ilvl w:val="0"/>
                <w:numId w:val="0"/>
              </w:numPr>
              <w:ind w:left="-160"/>
              <w:rPr>
                <w:sz w:val="20"/>
              </w:rPr>
            </w:pPr>
            <w:r w:rsidRPr="00C046CB">
              <w:rPr>
                <w:rFonts w:eastAsia="Calibri"/>
                <w:sz w:val="20"/>
              </w:rPr>
              <w:t>Proposed measures in combination are adequate.</w:t>
            </w:r>
          </w:p>
        </w:tc>
      </w:tr>
    </w:tbl>
    <w:p w14:paraId="3A31E67F" w14:textId="77777777" w:rsidR="00C046CB" w:rsidRDefault="00C046CB" w:rsidP="00465389">
      <w:pPr>
        <w:pStyle w:val="Numbering"/>
        <w:numPr>
          <w:ilvl w:val="0"/>
          <w:numId w:val="0"/>
        </w:numPr>
        <w:ind w:left="-160"/>
      </w:pPr>
    </w:p>
    <w:p w14:paraId="6747074A" w14:textId="330B3A2D" w:rsidR="00914893" w:rsidRDefault="00C046CB" w:rsidP="00465389">
      <w:pPr>
        <w:pStyle w:val="Numbering"/>
        <w:numPr>
          <w:ilvl w:val="0"/>
          <w:numId w:val="0"/>
        </w:numPr>
        <w:ind w:left="-160"/>
      </w:pPr>
      <w:r>
        <w:t>Stress Test #14 led to the CCWG proposal to p</w:t>
      </w:r>
      <w:r w:rsidR="00914893">
        <w:t>reserve in ICANN Bylaws any relevant ICANN commitments from the AoC, including Sections 3, 4,</w:t>
      </w:r>
      <w:r>
        <w:t xml:space="preserve"> 7,</w:t>
      </w:r>
      <w:r w:rsidR="00914893">
        <w:t xml:space="preserve"> and 8</w:t>
      </w:r>
      <w:r>
        <w:t xml:space="preserve">, plus </w:t>
      </w:r>
      <w:r w:rsidR="00914893">
        <w:t xml:space="preserve">the four AoC review processes. Two of the </w:t>
      </w:r>
      <w:r w:rsidR="007311CA">
        <w:t xml:space="preserve">AoC </w:t>
      </w:r>
      <w:r w:rsidR="00914893">
        <w:t>reviews include ICANN commitments that will be preserved in the Bylaws.</w:t>
      </w:r>
    </w:p>
    <w:p w14:paraId="2AEF9AAB" w14:textId="7CE77475" w:rsidR="00914893" w:rsidRDefault="00914893" w:rsidP="00465389">
      <w:pPr>
        <w:pStyle w:val="Numbering"/>
        <w:numPr>
          <w:ilvl w:val="0"/>
          <w:numId w:val="0"/>
        </w:numPr>
        <w:ind w:left="-160"/>
      </w:pPr>
      <w:r>
        <w:t>Other sections in the AoC are either preamble text or commitments of the U.S. Government. As such they do not contain commitments by ICANN, so they cannot usefully be incorporated in the Bylaws.</w:t>
      </w:r>
    </w:p>
    <w:p w14:paraId="63F7D0DA" w14:textId="77777777" w:rsidR="007277CE" w:rsidRDefault="00914893" w:rsidP="00465389">
      <w:pPr>
        <w:pStyle w:val="Numbering"/>
        <w:numPr>
          <w:ilvl w:val="0"/>
          <w:numId w:val="0"/>
        </w:numPr>
        <w:ind w:left="-160"/>
      </w:pPr>
      <w:r>
        <w:t xml:space="preserve">After these aspects of the AoC are adopted in the ICANN Bylaws, ICANN and the NTIA should mutually agree to terminate the AoC. </w:t>
      </w:r>
    </w:p>
    <w:p w14:paraId="5BBF2A1F" w14:textId="77777777" w:rsidR="00560F73" w:rsidRDefault="00560F73" w:rsidP="00465389">
      <w:pPr>
        <w:pStyle w:val="Numbering"/>
        <w:numPr>
          <w:ilvl w:val="0"/>
          <w:numId w:val="0"/>
        </w:numPr>
        <w:ind w:left="-16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214"/>
        <w:gridCol w:w="4636"/>
      </w:tblGrid>
      <w:tr w:rsidR="00560F73" w:rsidRPr="00FA6130" w14:paraId="5B233C0B" w14:textId="77777777" w:rsidTr="00FA77E7">
        <w:trPr>
          <w:tblHeader/>
        </w:trPr>
        <w:tc>
          <w:tcPr>
            <w:tcW w:w="4214" w:type="dxa"/>
            <w:shd w:val="clear" w:color="auto" w:fill="D9D9D9" w:themeFill="background1" w:themeFillShade="D9"/>
            <w:tcMar>
              <w:top w:w="105" w:type="dxa"/>
              <w:left w:w="105" w:type="dxa"/>
              <w:bottom w:w="105" w:type="dxa"/>
              <w:right w:w="105" w:type="dxa"/>
            </w:tcMar>
            <w:hideMark/>
          </w:tcPr>
          <w:p w14:paraId="3A6CA6A0" w14:textId="77777777" w:rsidR="00560F73" w:rsidRPr="00FA6130" w:rsidRDefault="00560F73" w:rsidP="008F5914">
            <w:pPr>
              <w:pStyle w:val="Heading4"/>
              <w:spacing w:before="120" w:after="120"/>
              <w:ind w:left="90"/>
              <w:rPr>
                <w:rFonts w:eastAsia="Times New Roman"/>
                <w:i w:val="0"/>
                <w:iCs w:val="0"/>
                <w:sz w:val="20"/>
                <w:szCs w:val="20"/>
              </w:rPr>
            </w:pPr>
            <w:r w:rsidRPr="00FA6130">
              <w:rPr>
                <w:rFonts w:eastAsia="Times New Roman"/>
                <w:i w:val="0"/>
                <w:iCs w:val="0"/>
                <w:color w:val="000000"/>
                <w:sz w:val="20"/>
                <w:szCs w:val="20"/>
              </w:rPr>
              <w:t>ICANN Commitments in the AoC</w:t>
            </w:r>
          </w:p>
        </w:tc>
        <w:tc>
          <w:tcPr>
            <w:tcW w:w="4636" w:type="dxa"/>
            <w:shd w:val="clear" w:color="auto" w:fill="D9D9D9" w:themeFill="background1" w:themeFillShade="D9"/>
            <w:tcMar>
              <w:top w:w="105" w:type="dxa"/>
              <w:left w:w="105" w:type="dxa"/>
              <w:bottom w:w="105" w:type="dxa"/>
              <w:right w:w="105" w:type="dxa"/>
            </w:tcMar>
            <w:hideMark/>
          </w:tcPr>
          <w:p w14:paraId="754109D6" w14:textId="77777777" w:rsidR="00560F73" w:rsidRPr="00FA6130" w:rsidRDefault="00560F73" w:rsidP="008F5914">
            <w:pPr>
              <w:pStyle w:val="Heading4"/>
              <w:spacing w:before="120" w:after="120"/>
              <w:ind w:left="79"/>
              <w:rPr>
                <w:rFonts w:eastAsia="Times New Roman"/>
                <w:i w:val="0"/>
                <w:iCs w:val="0"/>
                <w:sz w:val="20"/>
                <w:szCs w:val="20"/>
              </w:rPr>
            </w:pPr>
            <w:r w:rsidRPr="00FA6130">
              <w:rPr>
                <w:rFonts w:eastAsia="Times New Roman"/>
                <w:i w:val="0"/>
                <w:iCs w:val="0"/>
                <w:color w:val="000000"/>
                <w:sz w:val="20"/>
                <w:szCs w:val="20"/>
              </w:rPr>
              <w:t>As expressed in ICANN Bylaws</w:t>
            </w:r>
          </w:p>
        </w:tc>
      </w:tr>
      <w:tr w:rsidR="00560F73" w:rsidRPr="00FA6130" w14:paraId="47BE6FD6" w14:textId="77777777" w:rsidTr="00FA77E7">
        <w:tc>
          <w:tcPr>
            <w:tcW w:w="4214" w:type="dxa"/>
            <w:tcMar>
              <w:top w:w="105" w:type="dxa"/>
              <w:left w:w="105" w:type="dxa"/>
              <w:bottom w:w="105" w:type="dxa"/>
              <w:right w:w="105" w:type="dxa"/>
            </w:tcMar>
            <w:hideMark/>
          </w:tcPr>
          <w:p w14:paraId="71C36203" w14:textId="77777777" w:rsidR="00560F73" w:rsidRPr="00FA6130" w:rsidRDefault="00560F73" w:rsidP="008F5914">
            <w:pPr>
              <w:pStyle w:val="NormalWeb"/>
              <w:spacing w:before="120" w:beforeAutospacing="0" w:after="160" w:afterAutospacing="0"/>
              <w:ind w:left="90" w:firstLine="0"/>
              <w:rPr>
                <w:rFonts w:asciiTheme="majorHAnsi" w:eastAsia="MS Mincho" w:hAnsiTheme="majorHAnsi"/>
              </w:rPr>
            </w:pPr>
            <w:r w:rsidRPr="00FA6130">
              <w:rPr>
                <w:rFonts w:asciiTheme="majorHAnsi" w:hAnsiTheme="majorHAnsi"/>
                <w:color w:val="000000"/>
              </w:rPr>
              <w:t xml:space="preserve">3. This document affirms key commitments by DOC and ICANN, including commitments to: </w:t>
            </w:r>
          </w:p>
          <w:p w14:paraId="6F93FC22" w14:textId="77777777" w:rsidR="00560F73" w:rsidRPr="00FA6130" w:rsidRDefault="00560F73" w:rsidP="008F5914">
            <w:pPr>
              <w:pStyle w:val="NormalWeb"/>
              <w:spacing w:before="120" w:beforeAutospacing="0" w:after="160" w:afterAutospacing="0"/>
              <w:ind w:left="270" w:firstLine="0"/>
              <w:rPr>
                <w:rFonts w:asciiTheme="majorHAnsi" w:hAnsiTheme="majorHAnsi"/>
              </w:rPr>
            </w:pPr>
            <w:r w:rsidRPr="00FA6130">
              <w:rPr>
                <w:rFonts w:asciiTheme="majorHAnsi" w:hAnsiTheme="majorHAnsi"/>
                <w:color w:val="000000"/>
              </w:rPr>
              <w:t xml:space="preserve">(a) </w:t>
            </w:r>
            <w:proofErr w:type="gramStart"/>
            <w:r w:rsidRPr="00FA6130">
              <w:rPr>
                <w:rFonts w:asciiTheme="majorHAnsi" w:hAnsiTheme="majorHAnsi"/>
                <w:color w:val="000000"/>
              </w:rPr>
              <w:t>ensure</w:t>
            </w:r>
            <w:proofErr w:type="gramEnd"/>
            <w:r w:rsidRPr="00FA6130">
              <w:rPr>
                <w:rFonts w:asciiTheme="majorHAnsi" w:hAnsiTheme="majorHAnsi"/>
                <w:color w:val="000000"/>
              </w:rPr>
              <w:t xml:space="preserve"> that decisions made related to the global technical coordination of the DNS are made in the public interest and are accountable and transparent; </w:t>
            </w:r>
          </w:p>
          <w:p w14:paraId="1B3C85B0" w14:textId="77777777" w:rsidR="00560F73" w:rsidRPr="00FA6130" w:rsidRDefault="00560F73" w:rsidP="008F5914">
            <w:pPr>
              <w:pStyle w:val="NormalWeb"/>
              <w:spacing w:before="120" w:beforeAutospacing="0" w:after="160" w:afterAutospacing="0"/>
              <w:ind w:left="270" w:firstLine="0"/>
              <w:rPr>
                <w:rFonts w:asciiTheme="majorHAnsi" w:hAnsiTheme="majorHAnsi"/>
              </w:rPr>
            </w:pPr>
            <w:r w:rsidRPr="00FA6130">
              <w:rPr>
                <w:rFonts w:asciiTheme="majorHAnsi" w:hAnsiTheme="majorHAnsi"/>
                <w:color w:val="000000"/>
              </w:rPr>
              <w:t xml:space="preserve">(b) </w:t>
            </w:r>
            <w:proofErr w:type="gramStart"/>
            <w:r w:rsidRPr="00FA6130">
              <w:rPr>
                <w:rFonts w:asciiTheme="majorHAnsi" w:hAnsiTheme="majorHAnsi"/>
                <w:color w:val="000000"/>
              </w:rPr>
              <w:t>preserve</w:t>
            </w:r>
            <w:proofErr w:type="gramEnd"/>
            <w:r w:rsidRPr="00FA6130">
              <w:rPr>
                <w:rFonts w:asciiTheme="majorHAnsi" w:hAnsiTheme="majorHAnsi"/>
                <w:color w:val="000000"/>
              </w:rPr>
              <w:t xml:space="preserve"> the security, stability and resiliency of the DNS; </w:t>
            </w:r>
          </w:p>
          <w:p w14:paraId="7BE1629D" w14:textId="77777777" w:rsidR="00560F73" w:rsidRPr="00FA6130" w:rsidRDefault="00560F73" w:rsidP="008F5914">
            <w:pPr>
              <w:pStyle w:val="NormalWeb"/>
              <w:spacing w:before="120" w:beforeAutospacing="0" w:after="160" w:afterAutospacing="0"/>
              <w:ind w:left="270" w:firstLine="0"/>
              <w:rPr>
                <w:rFonts w:asciiTheme="majorHAnsi" w:hAnsiTheme="majorHAnsi"/>
              </w:rPr>
            </w:pPr>
            <w:r w:rsidRPr="00FA6130">
              <w:rPr>
                <w:rFonts w:asciiTheme="majorHAnsi" w:hAnsiTheme="majorHAnsi"/>
                <w:color w:val="000000"/>
              </w:rPr>
              <w:t xml:space="preserve">(c) </w:t>
            </w:r>
            <w:proofErr w:type="gramStart"/>
            <w:r w:rsidRPr="00FA6130">
              <w:rPr>
                <w:rFonts w:asciiTheme="majorHAnsi" w:hAnsiTheme="majorHAnsi"/>
                <w:color w:val="000000"/>
              </w:rPr>
              <w:t>promote</w:t>
            </w:r>
            <w:proofErr w:type="gramEnd"/>
            <w:r w:rsidRPr="00FA6130">
              <w:rPr>
                <w:rFonts w:asciiTheme="majorHAnsi" w:hAnsiTheme="majorHAnsi"/>
                <w:color w:val="000000"/>
              </w:rPr>
              <w:t xml:space="preserve"> competition, consumer trust, and consumer choice in the DNS marketplace; and </w:t>
            </w:r>
          </w:p>
          <w:p w14:paraId="10910B49" w14:textId="77777777" w:rsidR="00560F73" w:rsidRPr="00FA6130" w:rsidRDefault="00560F73" w:rsidP="008F5914">
            <w:pPr>
              <w:pStyle w:val="NormalWeb"/>
              <w:spacing w:before="120" w:beforeAutospacing="0" w:afterAutospacing="0"/>
              <w:ind w:left="270" w:firstLine="0"/>
              <w:rPr>
                <w:rFonts w:asciiTheme="majorHAnsi" w:hAnsiTheme="majorHAnsi"/>
              </w:rPr>
            </w:pPr>
            <w:r w:rsidRPr="00FA6130">
              <w:rPr>
                <w:rFonts w:asciiTheme="majorHAnsi" w:hAnsiTheme="majorHAnsi"/>
                <w:color w:val="000000"/>
              </w:rPr>
              <w:t xml:space="preserve">(d) </w:t>
            </w:r>
            <w:proofErr w:type="gramStart"/>
            <w:r w:rsidRPr="00FA6130">
              <w:rPr>
                <w:rFonts w:asciiTheme="majorHAnsi" w:hAnsiTheme="majorHAnsi"/>
                <w:color w:val="000000"/>
              </w:rPr>
              <w:t>facilitate</w:t>
            </w:r>
            <w:proofErr w:type="gramEnd"/>
            <w:r w:rsidRPr="00FA6130">
              <w:rPr>
                <w:rFonts w:asciiTheme="majorHAnsi" w:hAnsiTheme="majorHAnsi"/>
                <w:color w:val="000000"/>
              </w:rPr>
              <w:t xml:space="preserve"> international participation in DNS technical coordination.</w:t>
            </w:r>
          </w:p>
        </w:tc>
        <w:tc>
          <w:tcPr>
            <w:tcW w:w="4636" w:type="dxa"/>
            <w:tcMar>
              <w:top w:w="105" w:type="dxa"/>
              <w:left w:w="105" w:type="dxa"/>
              <w:bottom w:w="105" w:type="dxa"/>
              <w:right w:w="105" w:type="dxa"/>
            </w:tcMar>
            <w:hideMark/>
          </w:tcPr>
          <w:p w14:paraId="426DB9A9" w14:textId="77777777" w:rsidR="002F54EC" w:rsidRPr="0036523A" w:rsidRDefault="002F54EC" w:rsidP="002F54EC">
            <w:pPr>
              <w:pStyle w:val="NormalWeb"/>
              <w:spacing w:before="120" w:beforeAutospacing="0" w:after="160" w:afterAutospacing="0"/>
              <w:rPr>
                <w:rFonts w:asciiTheme="majorHAnsi" w:hAnsiTheme="majorHAnsi"/>
                <w:i/>
                <w:color w:val="000000"/>
              </w:rPr>
            </w:pPr>
            <w:r w:rsidRPr="0036523A">
              <w:rPr>
                <w:rFonts w:asciiTheme="majorHAnsi" w:hAnsiTheme="majorHAnsi"/>
                <w:i/>
                <w:color w:val="000000"/>
              </w:rPr>
              <w:t>Proposed revision to ICANN Core Values:</w:t>
            </w:r>
          </w:p>
          <w:p w14:paraId="5D6EB0D6" w14:textId="77777777" w:rsidR="00560F73" w:rsidRDefault="002F54EC" w:rsidP="002F54EC">
            <w:pPr>
              <w:pStyle w:val="NormalWeb"/>
              <w:spacing w:before="120" w:beforeAutospacing="0" w:after="160" w:afterAutospacing="0"/>
              <w:ind w:left="90" w:firstLine="0"/>
              <w:rPr>
                <w:rFonts w:asciiTheme="majorHAnsi" w:hAnsiTheme="majorHAnsi"/>
                <w:color w:val="000000"/>
              </w:rPr>
            </w:pPr>
            <w:r w:rsidRPr="001232EC">
              <w:rPr>
                <w:rFonts w:asciiTheme="majorHAnsi" w:hAnsiTheme="majorHAnsi"/>
                <w:color w:val="000000"/>
              </w:rPr>
              <w:t xml:space="preserve">Seeking and supporting broad, informed participation reflecting the functional, geographic, and cultural diversity of the Internet at all levels of policy development and decision-making </w:t>
            </w:r>
            <w:r w:rsidRPr="0036523A">
              <w:rPr>
                <w:rFonts w:asciiTheme="majorHAnsi" w:hAnsiTheme="majorHAnsi"/>
                <w:b/>
                <w:color w:val="000000"/>
                <w:u w:val="single"/>
              </w:rPr>
              <w:t>to ensure that the bottom-up, multistakeholder policy development process is used to ascertain the global public interest and that those processes are accountable and transparent</w:t>
            </w:r>
            <w:r w:rsidRPr="0036523A">
              <w:rPr>
                <w:rFonts w:asciiTheme="majorHAnsi" w:hAnsiTheme="majorHAnsi"/>
                <w:b/>
                <w:color w:val="000000"/>
              </w:rPr>
              <w:t>;</w:t>
            </w:r>
          </w:p>
          <w:p w14:paraId="7A82DD87" w14:textId="04523B7B" w:rsidR="002F54EC" w:rsidRPr="0036523A" w:rsidRDefault="002F54EC" w:rsidP="002F54EC">
            <w:pPr>
              <w:pStyle w:val="NormalWeb"/>
              <w:tabs>
                <w:tab w:val="left" w:pos="16"/>
              </w:tabs>
              <w:spacing w:before="120" w:beforeAutospacing="0" w:after="160" w:afterAutospacing="0"/>
              <w:ind w:left="90" w:firstLine="0"/>
              <w:rPr>
                <w:rFonts w:asciiTheme="majorHAnsi" w:hAnsiTheme="majorHAnsi"/>
                <w:i/>
                <w:color w:val="000000"/>
              </w:rPr>
            </w:pPr>
            <w:r w:rsidRPr="0036523A">
              <w:rPr>
                <w:rFonts w:asciiTheme="majorHAnsi" w:hAnsiTheme="majorHAnsi"/>
                <w:i/>
                <w:color w:val="000000"/>
              </w:rPr>
              <w:t xml:space="preserve">Proposed </w:t>
            </w:r>
            <w:r w:rsidR="007311CA">
              <w:rPr>
                <w:rFonts w:asciiTheme="majorHAnsi" w:hAnsiTheme="majorHAnsi"/>
                <w:i/>
                <w:color w:val="000000"/>
              </w:rPr>
              <w:t>bylaw</w:t>
            </w:r>
            <w:r w:rsidRPr="0036523A">
              <w:rPr>
                <w:rFonts w:asciiTheme="majorHAnsi" w:hAnsiTheme="majorHAnsi"/>
                <w:i/>
                <w:color w:val="000000"/>
              </w:rPr>
              <w:t xml:space="preserve"> requiring AoC review of Promoting Competition, Consumer Trust, and Consumer Choice:</w:t>
            </w:r>
          </w:p>
          <w:p w14:paraId="0CCDA1A2" w14:textId="0F86BBA2" w:rsidR="002F54EC" w:rsidRPr="0036523A" w:rsidRDefault="002F54EC" w:rsidP="002F54EC">
            <w:pPr>
              <w:pStyle w:val="NormalWeb"/>
              <w:spacing w:before="120" w:beforeAutospacing="0" w:after="160" w:afterAutospacing="0"/>
              <w:ind w:left="90" w:firstLine="0"/>
              <w:rPr>
                <w:rFonts w:asciiTheme="majorHAnsi" w:hAnsiTheme="majorHAnsi"/>
                <w:b/>
                <w:color w:val="000000"/>
                <w:u w:val="single"/>
              </w:rPr>
            </w:pPr>
            <w:r w:rsidRPr="0036523A">
              <w:rPr>
                <w:rFonts w:asciiTheme="majorHAnsi" w:hAnsiTheme="majorHAnsi"/>
                <w:b/>
                <w:color w:val="000000"/>
                <w:u w:val="single"/>
              </w:rPr>
              <w:t>ICANN will ensure that as it expands the Top-Level Domain (TLD) space, it will adequately address issues of competition, consumer protection, security, stability and resiliency, malicious abuse issues, sovereignty concerns, and rights protection.</w:t>
            </w:r>
          </w:p>
        </w:tc>
      </w:tr>
      <w:tr w:rsidR="00560F73" w:rsidRPr="00FA6130" w14:paraId="3DBE6504" w14:textId="77777777" w:rsidTr="00FA77E7">
        <w:tc>
          <w:tcPr>
            <w:tcW w:w="4214" w:type="dxa"/>
            <w:tcMar>
              <w:top w:w="105" w:type="dxa"/>
              <w:left w:w="105" w:type="dxa"/>
              <w:bottom w:w="105" w:type="dxa"/>
              <w:right w:w="105" w:type="dxa"/>
            </w:tcMar>
            <w:hideMark/>
          </w:tcPr>
          <w:p w14:paraId="6FD5301E" w14:textId="09797171" w:rsidR="00560F73" w:rsidRPr="00FA6130" w:rsidRDefault="00560F73" w:rsidP="008F5914">
            <w:pPr>
              <w:pStyle w:val="NormalWeb"/>
              <w:spacing w:before="120" w:beforeAutospacing="0" w:afterAutospacing="0"/>
              <w:ind w:left="90" w:firstLine="0"/>
              <w:rPr>
                <w:rFonts w:asciiTheme="majorHAnsi" w:hAnsiTheme="majorHAnsi"/>
              </w:rPr>
            </w:pPr>
            <w:r w:rsidRPr="00FA6130">
              <w:rPr>
                <w:rFonts w:asciiTheme="majorHAnsi" w:hAnsiTheme="majorHAnsi"/>
                <w:color w:val="000000"/>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636" w:type="dxa"/>
            <w:tcMar>
              <w:top w:w="105" w:type="dxa"/>
              <w:left w:w="105" w:type="dxa"/>
              <w:bottom w:w="105" w:type="dxa"/>
              <w:right w:w="105" w:type="dxa"/>
            </w:tcMar>
            <w:hideMark/>
          </w:tcPr>
          <w:p w14:paraId="0A8BDC0B" w14:textId="5103F507" w:rsidR="00560F73" w:rsidRPr="00FA6130" w:rsidRDefault="008A6978" w:rsidP="008F5914">
            <w:pPr>
              <w:pStyle w:val="NormalWeb"/>
              <w:spacing w:before="120" w:beforeAutospacing="0" w:after="160" w:afterAutospacing="0"/>
              <w:ind w:left="79" w:firstLine="0"/>
              <w:rPr>
                <w:rFonts w:asciiTheme="majorHAnsi" w:hAnsiTheme="majorHAnsi"/>
              </w:rPr>
            </w:pPr>
            <w:r>
              <w:rPr>
                <w:rFonts w:asciiTheme="majorHAnsi" w:hAnsiTheme="majorHAnsi"/>
                <w:i/>
                <w:iCs/>
                <w:color w:val="000000"/>
              </w:rPr>
              <w:t>Proposed new Section 8</w:t>
            </w:r>
            <w:r w:rsidR="00560F73" w:rsidRPr="00FA6130">
              <w:rPr>
                <w:rFonts w:asciiTheme="majorHAnsi" w:hAnsiTheme="majorHAnsi"/>
                <w:i/>
                <w:iCs/>
                <w:color w:val="000000"/>
              </w:rPr>
              <w:t xml:space="preserve"> in Bylaws Article III Transparency</w:t>
            </w:r>
            <w:r w:rsidR="0036523A">
              <w:rPr>
                <w:rFonts w:asciiTheme="majorHAnsi" w:hAnsiTheme="majorHAnsi"/>
                <w:color w:val="000000"/>
              </w:rPr>
              <w:t>:</w:t>
            </w:r>
          </w:p>
          <w:p w14:paraId="32854540" w14:textId="77777777" w:rsidR="00560F73" w:rsidRPr="0036523A" w:rsidRDefault="00560F73" w:rsidP="008F5914">
            <w:pPr>
              <w:pStyle w:val="NormalWeb"/>
              <w:spacing w:before="120" w:beforeAutospacing="0" w:afterAutospacing="0"/>
              <w:ind w:left="79" w:firstLine="0"/>
              <w:rPr>
                <w:rFonts w:asciiTheme="majorHAnsi" w:hAnsiTheme="majorHAnsi"/>
                <w:b/>
                <w:u w:val="single"/>
              </w:rPr>
            </w:pPr>
            <w:r w:rsidRPr="0036523A">
              <w:rPr>
                <w:rFonts w:asciiTheme="majorHAnsi" w:hAnsiTheme="majorHAnsi"/>
                <w:b/>
                <w:color w:val="000000"/>
                <w:u w:val="single"/>
              </w:rPr>
              <w:t xml:space="preserve">ICANN shall perform and publish analyses of the positive and negative effects of its decisions on the public, including any financial </w:t>
            </w:r>
            <w:r w:rsidRPr="0036523A">
              <w:rPr>
                <w:rFonts w:asciiTheme="majorHAnsi" w:hAnsiTheme="majorHAnsi"/>
                <w:b/>
                <w:bCs/>
                <w:color w:val="000000"/>
                <w:u w:val="single"/>
              </w:rPr>
              <w:t>or non-financial</w:t>
            </w:r>
            <w:r w:rsidRPr="0036523A">
              <w:rPr>
                <w:rFonts w:asciiTheme="majorHAnsi" w:hAnsiTheme="majorHAnsi"/>
                <w:b/>
                <w:color w:val="000000"/>
                <w:u w:val="single"/>
              </w:rPr>
              <w:t xml:space="preserve"> impact on the public, and the positive or negative impact (if any) on the systemic security, stability and resiliency of the DNS.</w:t>
            </w:r>
          </w:p>
        </w:tc>
      </w:tr>
      <w:tr w:rsidR="00560F73" w:rsidRPr="00FA6130" w14:paraId="5BA03090" w14:textId="77777777" w:rsidTr="00FA77E7">
        <w:tc>
          <w:tcPr>
            <w:tcW w:w="4214" w:type="dxa"/>
            <w:tcMar>
              <w:top w:w="105" w:type="dxa"/>
              <w:left w:w="105" w:type="dxa"/>
              <w:bottom w:w="105" w:type="dxa"/>
              <w:right w:w="105" w:type="dxa"/>
            </w:tcMar>
            <w:hideMark/>
          </w:tcPr>
          <w:p w14:paraId="4C363035" w14:textId="77777777" w:rsidR="00560F73" w:rsidRPr="00FA6130" w:rsidRDefault="00560F73" w:rsidP="008F5914">
            <w:pPr>
              <w:pStyle w:val="NormalWeb"/>
              <w:spacing w:before="120" w:beforeAutospacing="0" w:afterAutospacing="0"/>
              <w:ind w:left="90" w:firstLine="0"/>
              <w:rPr>
                <w:rFonts w:asciiTheme="majorHAnsi" w:hAnsiTheme="majorHAnsi"/>
              </w:rPr>
            </w:pPr>
            <w:r w:rsidRPr="00FA6130">
              <w:rPr>
                <w:rFonts w:asciiTheme="majorHAnsi" w:hAnsiTheme="majorHAnsi"/>
                <w:color w:val="000000"/>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636" w:type="dxa"/>
            <w:tcMar>
              <w:top w:w="105" w:type="dxa"/>
              <w:left w:w="105" w:type="dxa"/>
              <w:bottom w:w="105" w:type="dxa"/>
              <w:right w:w="105" w:type="dxa"/>
            </w:tcMar>
            <w:hideMark/>
          </w:tcPr>
          <w:p w14:paraId="54EC4B8C" w14:textId="2C54CDCF" w:rsidR="001232EC" w:rsidRPr="0036523A" w:rsidRDefault="001232EC" w:rsidP="008F5914">
            <w:pPr>
              <w:pStyle w:val="NormalWeb"/>
              <w:spacing w:before="120" w:beforeAutospacing="0" w:after="160" w:afterAutospacing="0"/>
              <w:ind w:left="79" w:firstLine="0"/>
              <w:rPr>
                <w:rFonts w:asciiTheme="majorHAnsi" w:hAnsiTheme="majorHAnsi"/>
                <w:i/>
                <w:color w:val="000000"/>
              </w:rPr>
            </w:pPr>
            <w:r w:rsidRPr="0036523A">
              <w:rPr>
                <w:rFonts w:asciiTheme="majorHAnsi" w:hAnsiTheme="majorHAnsi"/>
                <w:i/>
                <w:color w:val="000000"/>
              </w:rPr>
              <w:t>Proposed revision to ICANN Commitments:</w:t>
            </w:r>
          </w:p>
          <w:p w14:paraId="565493DA" w14:textId="7112CE7A" w:rsidR="001232EC" w:rsidRDefault="001232EC" w:rsidP="008F5914">
            <w:pPr>
              <w:pStyle w:val="NormalWeb"/>
              <w:spacing w:before="120" w:beforeAutospacing="0" w:after="160" w:afterAutospacing="0"/>
              <w:ind w:left="79" w:firstLine="0"/>
              <w:rPr>
                <w:rFonts w:asciiTheme="majorHAnsi" w:hAnsiTheme="majorHAnsi"/>
                <w:color w:val="000000"/>
              </w:rPr>
            </w:pPr>
            <w:r w:rsidRPr="001232EC">
              <w:rPr>
                <w:rFonts w:asciiTheme="majorHAnsi" w:hAnsiTheme="majorHAnsi"/>
                <w:color w:val="000000"/>
              </w:rPr>
              <w:t>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p>
          <w:p w14:paraId="5097393B" w14:textId="77777777" w:rsidR="001232EC" w:rsidRPr="0036523A" w:rsidRDefault="001232EC" w:rsidP="001232EC">
            <w:pPr>
              <w:pStyle w:val="NormalWeb"/>
              <w:spacing w:before="120" w:beforeAutospacing="0" w:after="160" w:afterAutospacing="0"/>
              <w:rPr>
                <w:rFonts w:asciiTheme="majorHAnsi" w:hAnsiTheme="majorHAnsi"/>
                <w:i/>
                <w:color w:val="000000"/>
              </w:rPr>
            </w:pPr>
            <w:r w:rsidRPr="0036523A">
              <w:rPr>
                <w:rFonts w:asciiTheme="majorHAnsi" w:hAnsiTheme="majorHAnsi"/>
                <w:i/>
                <w:color w:val="000000"/>
              </w:rPr>
              <w:t>Proposed revision to ICANN Core Values:</w:t>
            </w:r>
          </w:p>
          <w:p w14:paraId="1F6DE1D1" w14:textId="557CCEC4" w:rsidR="001232EC" w:rsidRDefault="001232EC" w:rsidP="001232EC">
            <w:pPr>
              <w:pStyle w:val="NormalWeb"/>
              <w:spacing w:before="120" w:beforeAutospacing="0" w:after="160" w:afterAutospacing="0"/>
              <w:ind w:left="90" w:firstLine="0"/>
              <w:rPr>
                <w:rFonts w:asciiTheme="majorHAnsi" w:hAnsiTheme="majorHAnsi"/>
                <w:color w:val="000000"/>
              </w:rPr>
            </w:pPr>
            <w:r w:rsidRPr="001232EC">
              <w:rPr>
                <w:rFonts w:asciiTheme="majorHAnsi" w:hAnsiTheme="majorHAnsi"/>
                <w:color w:val="000000"/>
              </w:rP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14:paraId="70C45D2A" w14:textId="5FFD2631" w:rsidR="00560F73" w:rsidRPr="0036523A" w:rsidRDefault="001232EC" w:rsidP="008F5914">
            <w:pPr>
              <w:pStyle w:val="NormalWeb"/>
              <w:spacing w:before="120" w:beforeAutospacing="0" w:afterAutospacing="0"/>
              <w:ind w:left="79" w:firstLine="0"/>
              <w:rPr>
                <w:rFonts w:asciiTheme="majorHAnsi" w:hAnsiTheme="majorHAnsi"/>
                <w:i/>
              </w:rPr>
            </w:pPr>
            <w:r w:rsidRPr="0036523A">
              <w:rPr>
                <w:rFonts w:asciiTheme="majorHAnsi" w:hAnsiTheme="majorHAnsi"/>
                <w:i/>
              </w:rPr>
              <w:t xml:space="preserve">Proposed requirement for annual </w:t>
            </w:r>
            <w:r w:rsidR="003153DA" w:rsidRPr="0036523A">
              <w:rPr>
                <w:rFonts w:asciiTheme="majorHAnsi" w:hAnsiTheme="majorHAnsi"/>
                <w:i/>
              </w:rPr>
              <w:t>report, to be included in bylaws section on required reviews.</w:t>
            </w:r>
          </w:p>
          <w:p w14:paraId="403B93BD" w14:textId="77777777" w:rsidR="001232EC" w:rsidRDefault="001232EC" w:rsidP="008A6978">
            <w:pPr>
              <w:pStyle w:val="NormalWeb"/>
              <w:spacing w:before="120"/>
              <w:ind w:left="106" w:hanging="90"/>
              <w:rPr>
                <w:rFonts w:asciiTheme="majorHAnsi" w:hAnsiTheme="majorHAnsi"/>
              </w:rPr>
            </w:pPr>
            <w:r w:rsidRPr="001232EC">
              <w:rPr>
                <w:rFonts w:asciiTheme="majorHAnsi" w:hAnsiTheme="majorHAnsi"/>
              </w:rPr>
              <w:t>ICANN will produce an annual report on the state of improvements to Accountability and Transparency.</w:t>
            </w:r>
            <w:r w:rsidR="008A6978">
              <w:rPr>
                <w:rFonts w:asciiTheme="majorHAnsi" w:hAnsiTheme="majorHAnsi"/>
              </w:rPr>
              <w:t xml:space="preserve">  </w:t>
            </w:r>
            <w:r w:rsidRPr="001232EC">
              <w:rPr>
                <w:rFonts w:asciiTheme="majorHAnsi" w:hAnsiTheme="majorHAnsi"/>
              </w:rPr>
              <w:t>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p>
          <w:p w14:paraId="489FA375" w14:textId="781AF715" w:rsidR="008A6978" w:rsidRPr="00FA6130" w:rsidRDefault="008A6978" w:rsidP="008A6978">
            <w:pPr>
              <w:pStyle w:val="NormalWeb"/>
              <w:spacing w:before="120" w:beforeAutospacing="0" w:after="160" w:afterAutospacing="0"/>
              <w:ind w:left="79" w:firstLine="0"/>
              <w:rPr>
                <w:rFonts w:asciiTheme="majorHAnsi" w:hAnsiTheme="majorHAnsi"/>
              </w:rPr>
            </w:pPr>
            <w:r>
              <w:rPr>
                <w:rFonts w:asciiTheme="majorHAnsi" w:hAnsiTheme="majorHAnsi"/>
                <w:i/>
                <w:iCs/>
                <w:color w:val="000000"/>
              </w:rPr>
              <w:t>Proposed new Section 9</w:t>
            </w:r>
            <w:r w:rsidRPr="00FA6130">
              <w:rPr>
                <w:rFonts w:asciiTheme="majorHAnsi" w:hAnsiTheme="majorHAnsi"/>
                <w:i/>
                <w:iCs/>
                <w:color w:val="000000"/>
              </w:rPr>
              <w:t xml:space="preserve"> in Bylaws Article III Transparency</w:t>
            </w:r>
            <w:r>
              <w:rPr>
                <w:rFonts w:asciiTheme="majorHAnsi" w:hAnsiTheme="majorHAnsi"/>
                <w:color w:val="000000"/>
              </w:rPr>
              <w:t>:</w:t>
            </w:r>
          </w:p>
          <w:p w14:paraId="75E7E098" w14:textId="776B83EA" w:rsidR="008A6978" w:rsidRPr="00FA6130" w:rsidRDefault="008A6978" w:rsidP="008A6978">
            <w:pPr>
              <w:pStyle w:val="NormalWeb"/>
              <w:spacing w:before="120"/>
              <w:ind w:left="106" w:hanging="90"/>
              <w:rPr>
                <w:rFonts w:asciiTheme="majorHAnsi" w:hAnsiTheme="majorHAnsi"/>
              </w:rPr>
            </w:pPr>
            <w:r w:rsidRPr="008A6978">
              <w:rPr>
                <w:rFonts w:asciiTheme="majorHAnsi" w:hAnsiTheme="majorHAnsi"/>
              </w:rPr>
              <w:t>ICANN shall adhere to transparent and accountable budgeting processes, providing advance notice to facilitate stakeholder engagement in policy decision-making,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w:t>
            </w:r>
          </w:p>
        </w:tc>
      </w:tr>
    </w:tbl>
    <w:p w14:paraId="0DAEFF91" w14:textId="10A3BFDC" w:rsidR="00530A19" w:rsidRDefault="00530A19"/>
    <w:p w14:paraId="75040DCC" w14:textId="77777777" w:rsidR="00530A19" w:rsidRDefault="00530A19">
      <w:pPr>
        <w:spacing w:before="0" w:after="0"/>
      </w:pPr>
      <w:r>
        <w:br w:type="page"/>
      </w:r>
    </w:p>
    <w:p w14:paraId="230BA41D" w14:textId="77777777" w:rsidR="003153DA" w:rsidRDefault="003153DA"/>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116"/>
        <w:gridCol w:w="4734"/>
      </w:tblGrid>
      <w:tr w:rsidR="00FA6130" w:rsidRPr="00FA6130" w14:paraId="1552813A" w14:textId="77777777" w:rsidTr="00FA77E7">
        <w:trPr>
          <w:tblHeader/>
        </w:trPr>
        <w:tc>
          <w:tcPr>
            <w:tcW w:w="4116" w:type="dxa"/>
            <w:shd w:val="clear" w:color="auto" w:fill="D9D9D9" w:themeFill="background1" w:themeFillShade="D9"/>
            <w:tcMar>
              <w:top w:w="105" w:type="dxa"/>
              <w:left w:w="105" w:type="dxa"/>
              <w:bottom w:w="105" w:type="dxa"/>
              <w:right w:w="105" w:type="dxa"/>
            </w:tcMar>
            <w:hideMark/>
          </w:tcPr>
          <w:p w14:paraId="2CF0A3A5" w14:textId="38370BD8" w:rsidR="00FA6130" w:rsidRPr="00FA6130" w:rsidRDefault="00FA6130" w:rsidP="008F5914">
            <w:pPr>
              <w:pStyle w:val="Heading4"/>
              <w:spacing w:before="120" w:after="120"/>
              <w:ind w:left="90"/>
              <w:rPr>
                <w:rFonts w:eastAsia="Times New Roman"/>
                <w:i w:val="0"/>
                <w:iCs w:val="0"/>
                <w:sz w:val="20"/>
                <w:szCs w:val="20"/>
              </w:rPr>
            </w:pPr>
            <w:r w:rsidRPr="00FA6130">
              <w:rPr>
                <w:rFonts w:eastAsia="Times New Roman"/>
                <w:i w:val="0"/>
                <w:iCs w:val="0"/>
                <w:color w:val="000000"/>
                <w:sz w:val="20"/>
                <w:szCs w:val="20"/>
              </w:rPr>
              <w:t>ICANN Commitments in the AoC</w:t>
            </w:r>
          </w:p>
        </w:tc>
        <w:tc>
          <w:tcPr>
            <w:tcW w:w="4734" w:type="dxa"/>
            <w:shd w:val="clear" w:color="auto" w:fill="D9D9D9" w:themeFill="background1" w:themeFillShade="D9"/>
            <w:tcMar>
              <w:top w:w="105" w:type="dxa"/>
              <w:left w:w="105" w:type="dxa"/>
              <w:bottom w:w="105" w:type="dxa"/>
              <w:right w:w="105" w:type="dxa"/>
            </w:tcMar>
            <w:hideMark/>
          </w:tcPr>
          <w:p w14:paraId="26C2AC23" w14:textId="77777777" w:rsidR="00FA6130" w:rsidRPr="00FA6130" w:rsidRDefault="00FA6130" w:rsidP="008F5914">
            <w:pPr>
              <w:pStyle w:val="Heading4"/>
              <w:spacing w:before="120" w:after="120"/>
              <w:ind w:left="79"/>
              <w:rPr>
                <w:rFonts w:eastAsia="Times New Roman"/>
                <w:i w:val="0"/>
                <w:iCs w:val="0"/>
                <w:sz w:val="20"/>
                <w:szCs w:val="20"/>
              </w:rPr>
            </w:pPr>
            <w:r w:rsidRPr="00FA6130">
              <w:rPr>
                <w:rFonts w:eastAsia="Times New Roman"/>
                <w:i w:val="0"/>
                <w:iCs w:val="0"/>
                <w:color w:val="000000"/>
                <w:sz w:val="20"/>
                <w:szCs w:val="20"/>
              </w:rPr>
              <w:t>As expressed in ICANN Bylaws</w:t>
            </w:r>
          </w:p>
        </w:tc>
      </w:tr>
      <w:tr w:rsidR="00FA6130" w:rsidRPr="00FA6130" w14:paraId="52CB87A5" w14:textId="77777777" w:rsidTr="00FA77E7">
        <w:tc>
          <w:tcPr>
            <w:tcW w:w="4116" w:type="dxa"/>
            <w:tcMar>
              <w:top w:w="105" w:type="dxa"/>
              <w:left w:w="105" w:type="dxa"/>
              <w:bottom w:w="105" w:type="dxa"/>
              <w:right w:w="105" w:type="dxa"/>
            </w:tcMar>
            <w:hideMark/>
          </w:tcPr>
          <w:p w14:paraId="351638E0" w14:textId="77777777" w:rsidR="00560F73" w:rsidRPr="00FA6130" w:rsidRDefault="00560F73" w:rsidP="008F5914">
            <w:pPr>
              <w:pStyle w:val="NormalWeb"/>
              <w:spacing w:before="120" w:beforeAutospacing="0" w:after="160" w:afterAutospacing="0"/>
              <w:ind w:left="90" w:firstLine="0"/>
              <w:rPr>
                <w:rFonts w:asciiTheme="majorHAnsi" w:hAnsiTheme="majorHAnsi"/>
                <w:color w:val="000000"/>
              </w:rPr>
            </w:pPr>
            <w:r w:rsidRPr="00FA6130">
              <w:rPr>
                <w:rFonts w:asciiTheme="majorHAnsi" w:hAnsiTheme="majorHAnsi"/>
                <w:color w:val="000000"/>
              </w:rPr>
              <w:t xml:space="preserve">8. ICANN affirms its commitments to: </w:t>
            </w:r>
          </w:p>
          <w:p w14:paraId="3090B906" w14:textId="77777777" w:rsidR="00560F73" w:rsidRPr="00FA6130" w:rsidRDefault="00560F73" w:rsidP="008F5914">
            <w:pPr>
              <w:pStyle w:val="NormalWeb"/>
              <w:spacing w:before="120" w:beforeAutospacing="0" w:after="160" w:afterAutospacing="0"/>
              <w:ind w:left="90" w:firstLine="0"/>
              <w:rPr>
                <w:rFonts w:asciiTheme="majorHAnsi" w:hAnsiTheme="majorHAnsi"/>
                <w:color w:val="000000"/>
              </w:rPr>
            </w:pPr>
            <w:r w:rsidRPr="00FA6130">
              <w:rPr>
                <w:rFonts w:asciiTheme="majorHAnsi" w:hAnsiTheme="majorHAnsi"/>
                <w:color w:val="000000"/>
              </w:rPr>
              <w:t xml:space="preserve">(a) </w:t>
            </w:r>
            <w:proofErr w:type="gramStart"/>
            <w:r w:rsidRPr="00FA6130">
              <w:rPr>
                <w:rFonts w:asciiTheme="majorHAnsi" w:hAnsiTheme="majorHAnsi"/>
                <w:color w:val="000000"/>
              </w:rPr>
              <w:t>maintain</w:t>
            </w:r>
            <w:proofErr w:type="gramEnd"/>
            <w:r w:rsidRPr="00FA6130">
              <w:rPr>
                <w:rFonts w:asciiTheme="majorHAnsi" w:hAnsiTheme="majorHAnsi"/>
                <w:color w:val="000000"/>
              </w:rPr>
              <w:t xml:space="preserve"> the capacity and ability to coordinate the Internet DNS at the overall level and to work for the maintenance of a single, interoperable Internet; </w:t>
            </w:r>
          </w:p>
          <w:p w14:paraId="3B16F83E" w14:textId="77777777" w:rsidR="00560F73" w:rsidRPr="00FA6130" w:rsidRDefault="00560F73" w:rsidP="008F5914">
            <w:pPr>
              <w:pStyle w:val="NormalWeb"/>
              <w:spacing w:before="120" w:beforeAutospacing="0" w:afterAutospacing="0"/>
              <w:ind w:left="90" w:firstLine="0"/>
              <w:rPr>
                <w:rFonts w:asciiTheme="majorHAnsi" w:hAnsiTheme="majorHAnsi"/>
                <w:color w:val="000000"/>
              </w:rPr>
            </w:pPr>
          </w:p>
        </w:tc>
        <w:tc>
          <w:tcPr>
            <w:tcW w:w="4734" w:type="dxa"/>
            <w:tcMar>
              <w:top w:w="105" w:type="dxa"/>
              <w:left w:w="105" w:type="dxa"/>
              <w:bottom w:w="105" w:type="dxa"/>
              <w:right w:w="105" w:type="dxa"/>
            </w:tcMar>
            <w:hideMark/>
          </w:tcPr>
          <w:p w14:paraId="32BE2368" w14:textId="5903BE5C" w:rsidR="005A2561" w:rsidRPr="0036523A" w:rsidRDefault="005A2561" w:rsidP="005A2561">
            <w:pPr>
              <w:pStyle w:val="NormalWeb"/>
              <w:spacing w:before="120" w:beforeAutospacing="0" w:after="160" w:afterAutospacing="0"/>
              <w:rPr>
                <w:rFonts w:asciiTheme="majorHAnsi" w:hAnsiTheme="majorHAnsi"/>
                <w:i/>
                <w:color w:val="000000"/>
              </w:rPr>
            </w:pPr>
            <w:r w:rsidRPr="0036523A">
              <w:rPr>
                <w:rFonts w:asciiTheme="majorHAnsi" w:hAnsiTheme="majorHAnsi"/>
                <w:i/>
                <w:color w:val="000000"/>
              </w:rPr>
              <w:t>Proposed revisio</w:t>
            </w:r>
            <w:r>
              <w:rPr>
                <w:rFonts w:asciiTheme="majorHAnsi" w:hAnsiTheme="majorHAnsi"/>
                <w:i/>
                <w:color w:val="000000"/>
              </w:rPr>
              <w:t>ns to ICANN Commitments</w:t>
            </w:r>
            <w:r w:rsidRPr="0036523A">
              <w:rPr>
                <w:rFonts w:asciiTheme="majorHAnsi" w:hAnsiTheme="majorHAnsi"/>
                <w:i/>
                <w:color w:val="000000"/>
              </w:rPr>
              <w:t>:</w:t>
            </w:r>
          </w:p>
          <w:p w14:paraId="66FC507C" w14:textId="77777777" w:rsidR="005A2561" w:rsidRPr="005A2561" w:rsidRDefault="005A2561" w:rsidP="005A2561">
            <w:pPr>
              <w:pStyle w:val="NormalWeb"/>
              <w:spacing w:after="160"/>
              <w:ind w:left="79" w:firstLine="18"/>
              <w:rPr>
                <w:rFonts w:asciiTheme="majorHAnsi" w:hAnsiTheme="majorHAnsi"/>
                <w:color w:val="000000"/>
              </w:rPr>
            </w:pPr>
            <w:r w:rsidRPr="005A2561">
              <w:rPr>
                <w:rFonts w:asciiTheme="majorHAnsi" w:hAnsiTheme="majorHAnsi"/>
                <w:color w:val="000000"/>
              </w:rPr>
              <w:t xml:space="preserve">2.  Preserve and enhance </w:t>
            </w:r>
            <w:r w:rsidRPr="005A2561">
              <w:rPr>
                <w:rFonts w:asciiTheme="majorHAnsi" w:hAnsiTheme="majorHAnsi"/>
                <w:b/>
                <w:color w:val="000000"/>
                <w:u w:val="single"/>
              </w:rPr>
              <w:t>the neutral and judgment free operation of the DNS, and the operational stability, reliability, security, global interoperability, resilience, and openness of the DNS and the Internet</w:t>
            </w:r>
            <w:r w:rsidRPr="005A2561">
              <w:rPr>
                <w:rFonts w:asciiTheme="majorHAnsi" w:hAnsiTheme="majorHAnsi"/>
                <w:color w:val="000000"/>
              </w:rPr>
              <w:t xml:space="preserve">; </w:t>
            </w:r>
          </w:p>
          <w:p w14:paraId="29FC656B" w14:textId="7FAAA25D" w:rsidR="00560F73" w:rsidRPr="005A2561" w:rsidRDefault="005A2561" w:rsidP="005A2561">
            <w:pPr>
              <w:pStyle w:val="NormalWeb"/>
              <w:spacing w:after="160"/>
              <w:ind w:left="79" w:firstLine="18"/>
              <w:rPr>
                <w:rFonts w:asciiTheme="majorHAnsi" w:hAnsiTheme="majorHAnsi"/>
                <w:b/>
                <w:color w:val="000000"/>
                <w:u w:val="single"/>
              </w:rPr>
            </w:pPr>
            <w:r w:rsidRPr="005A2561">
              <w:rPr>
                <w:rFonts w:asciiTheme="majorHAnsi" w:hAnsiTheme="majorHAnsi"/>
                <w:b/>
                <w:color w:val="000000"/>
                <w:u w:val="single"/>
              </w:rPr>
              <w:t xml:space="preserve">3.  Maintain the capacity and ability to coordinate the DNS at the overall level and to work for the maintenance of a single, interoperable Internet; </w:t>
            </w:r>
          </w:p>
        </w:tc>
      </w:tr>
      <w:tr w:rsidR="00560F73" w:rsidRPr="00FA6130" w14:paraId="361DA87F" w14:textId="77777777" w:rsidTr="00FA77E7">
        <w:tc>
          <w:tcPr>
            <w:tcW w:w="4116" w:type="dxa"/>
            <w:tcMar>
              <w:top w:w="105" w:type="dxa"/>
              <w:left w:w="105" w:type="dxa"/>
              <w:bottom w:w="105" w:type="dxa"/>
              <w:right w:w="105" w:type="dxa"/>
            </w:tcMar>
            <w:hideMark/>
          </w:tcPr>
          <w:p w14:paraId="651FB39C" w14:textId="77777777" w:rsidR="00560F73" w:rsidRPr="00FA6130" w:rsidRDefault="00560F73" w:rsidP="008F5914">
            <w:pPr>
              <w:pStyle w:val="NormalWeb"/>
              <w:spacing w:before="120" w:beforeAutospacing="0" w:after="160" w:afterAutospacing="0"/>
              <w:ind w:left="90" w:firstLine="0"/>
              <w:rPr>
                <w:rFonts w:asciiTheme="majorHAnsi" w:hAnsiTheme="majorHAnsi"/>
                <w:color w:val="000000"/>
              </w:rPr>
            </w:pPr>
            <w:r w:rsidRPr="00FA6130">
              <w:rPr>
                <w:rFonts w:asciiTheme="majorHAnsi" w:hAnsiTheme="majorHAnsi"/>
                <w:color w:val="000000"/>
              </w:rPr>
              <w:t xml:space="preserve">(b) </w:t>
            </w:r>
            <w:proofErr w:type="gramStart"/>
            <w:r w:rsidRPr="00FA6130">
              <w:rPr>
                <w:rFonts w:asciiTheme="majorHAnsi" w:hAnsiTheme="majorHAnsi"/>
                <w:color w:val="000000"/>
              </w:rPr>
              <w:t>remain</w:t>
            </w:r>
            <w:proofErr w:type="gramEnd"/>
            <w:r w:rsidRPr="00FA6130">
              <w:rPr>
                <w:rFonts w:asciiTheme="majorHAnsi" w:hAnsiTheme="majorHAnsi"/>
                <w:color w:val="000000"/>
              </w:rPr>
              <w:t xml:space="preserve"> a not for profit corporation, headquartered in the United States of America with offices around the world to meet the needs of a global community; and </w:t>
            </w:r>
          </w:p>
          <w:p w14:paraId="0C3A4C61" w14:textId="77777777" w:rsidR="00560F73" w:rsidRPr="00FA6130" w:rsidRDefault="00560F73" w:rsidP="008F5914">
            <w:pPr>
              <w:pStyle w:val="NormalWeb"/>
              <w:spacing w:before="120" w:beforeAutospacing="0" w:afterAutospacing="0"/>
              <w:ind w:left="90" w:firstLine="0"/>
              <w:rPr>
                <w:rFonts w:asciiTheme="majorHAnsi" w:hAnsiTheme="majorHAnsi"/>
                <w:color w:val="000000"/>
              </w:rPr>
            </w:pPr>
          </w:p>
        </w:tc>
        <w:tc>
          <w:tcPr>
            <w:tcW w:w="4734" w:type="dxa"/>
            <w:tcMar>
              <w:top w:w="105" w:type="dxa"/>
              <w:left w:w="105" w:type="dxa"/>
              <w:bottom w:w="105" w:type="dxa"/>
              <w:right w:w="105" w:type="dxa"/>
            </w:tcMar>
            <w:hideMark/>
          </w:tcPr>
          <w:p w14:paraId="3390DD83" w14:textId="77777777" w:rsidR="00560F73" w:rsidRPr="00FA6130" w:rsidRDefault="00560F73" w:rsidP="008F5914">
            <w:pPr>
              <w:pStyle w:val="NormalWeb"/>
              <w:spacing w:before="120" w:beforeAutospacing="0" w:after="160" w:afterAutospacing="0"/>
              <w:ind w:left="79" w:firstLine="0"/>
              <w:rPr>
                <w:rFonts w:asciiTheme="majorHAnsi" w:hAnsiTheme="majorHAnsi"/>
                <w:color w:val="000000"/>
              </w:rPr>
            </w:pPr>
            <w:r w:rsidRPr="00FA6130">
              <w:rPr>
                <w:rFonts w:asciiTheme="majorHAnsi" w:hAnsiTheme="majorHAnsi"/>
                <w:color w:val="000000"/>
              </w:rPr>
              <w:t>The nonprofit commitment in 8b is reflected in ICANN’s ARTICLES OF INCORPORATION:</w:t>
            </w:r>
          </w:p>
          <w:p w14:paraId="578EADE0" w14:textId="77777777" w:rsidR="00560F73" w:rsidRPr="00FA6130" w:rsidRDefault="00560F73" w:rsidP="008F5914">
            <w:pPr>
              <w:pStyle w:val="NormalWeb"/>
              <w:spacing w:before="120" w:beforeAutospacing="0" w:after="160" w:afterAutospacing="0"/>
              <w:ind w:left="79" w:firstLine="0"/>
              <w:rPr>
                <w:rFonts w:asciiTheme="majorHAnsi" w:hAnsiTheme="majorHAnsi"/>
                <w:color w:val="000000"/>
              </w:rPr>
            </w:pPr>
            <w:r w:rsidRPr="00FA6130">
              <w:rPr>
                <w:rFonts w:asciiTheme="majorHAnsi" w:hAnsiTheme="majorHAnsi"/>
                <w:color w:val="000000"/>
              </w:rPr>
              <w:t>“3. This Corporation is a nonprofit public benefit corporation and is not organized for the private gain of any person. It is organized under the California Nonprofit Public Benefit Corporation Law for charitable and public purposes. "</w:t>
            </w:r>
          </w:p>
          <w:p w14:paraId="17B14890" w14:textId="77777777" w:rsidR="00560F73" w:rsidRPr="00FA6130" w:rsidRDefault="00560F73" w:rsidP="008F5914">
            <w:pPr>
              <w:pStyle w:val="NormalWeb"/>
              <w:spacing w:before="120" w:beforeAutospacing="0" w:after="160" w:afterAutospacing="0"/>
              <w:ind w:left="79" w:firstLine="0"/>
              <w:rPr>
                <w:rFonts w:asciiTheme="majorHAnsi" w:hAnsiTheme="majorHAnsi"/>
                <w:color w:val="000000"/>
              </w:rPr>
            </w:pPr>
            <w:r w:rsidRPr="00FA6130">
              <w:rPr>
                <w:rFonts w:asciiTheme="majorHAnsi" w:hAnsiTheme="majorHAnsi"/>
                <w:color w:val="000000"/>
              </w:rPr>
              <w:t xml:space="preserve">A change to the Articles would require 2/3 vote of the Board and 2/3 </w:t>
            </w:r>
            <w:proofErr w:type="gramStart"/>
            <w:r w:rsidRPr="00FA6130">
              <w:rPr>
                <w:rFonts w:asciiTheme="majorHAnsi" w:hAnsiTheme="majorHAnsi"/>
                <w:color w:val="000000"/>
              </w:rPr>
              <w:t>vote</w:t>
            </w:r>
            <w:proofErr w:type="gramEnd"/>
            <w:r w:rsidRPr="00FA6130">
              <w:rPr>
                <w:rFonts w:asciiTheme="majorHAnsi" w:hAnsiTheme="majorHAnsi"/>
                <w:color w:val="000000"/>
              </w:rPr>
              <w:t xml:space="preserve"> of the Members.</w:t>
            </w:r>
          </w:p>
          <w:p w14:paraId="07397C28" w14:textId="77777777" w:rsidR="00560F73" w:rsidRPr="00FA6130" w:rsidRDefault="00560F73" w:rsidP="008F5914">
            <w:pPr>
              <w:pStyle w:val="NormalWeb"/>
              <w:spacing w:before="120" w:beforeAutospacing="0" w:after="160" w:afterAutospacing="0"/>
              <w:ind w:left="79" w:firstLine="0"/>
              <w:rPr>
                <w:rFonts w:asciiTheme="majorHAnsi" w:hAnsiTheme="majorHAnsi"/>
                <w:color w:val="000000"/>
              </w:rPr>
            </w:pPr>
            <w:r w:rsidRPr="00FA6130">
              <w:rPr>
                <w:rFonts w:asciiTheme="majorHAnsi" w:hAnsiTheme="majorHAnsi"/>
                <w:color w:val="000000"/>
              </w:rPr>
              <w:t>The ‘headquartered” commitment in 8b is already in current ICANN Bylaws, at Article XVIII Section 1:</w:t>
            </w:r>
          </w:p>
          <w:p w14:paraId="435CB4B7" w14:textId="77777777" w:rsidR="00560F73" w:rsidRPr="00FA6130" w:rsidRDefault="00560F73" w:rsidP="008F5914">
            <w:pPr>
              <w:pStyle w:val="NormalWeb"/>
              <w:spacing w:before="120" w:beforeAutospacing="0" w:after="160" w:afterAutospacing="0"/>
              <w:ind w:left="79" w:firstLine="0"/>
              <w:rPr>
                <w:rFonts w:asciiTheme="majorHAnsi" w:hAnsiTheme="majorHAnsi"/>
                <w:color w:val="000000"/>
              </w:rPr>
            </w:pPr>
            <w:r w:rsidRPr="00FA6130">
              <w:rPr>
                <w:rFonts w:asciiTheme="majorHAnsi" w:hAnsiTheme="majorHAnsi"/>
                <w:color w:val="000000"/>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568DB46F" w14:textId="56684C8B" w:rsidR="00560F73" w:rsidRPr="00FA6130" w:rsidRDefault="00560F73" w:rsidP="008F5914">
            <w:pPr>
              <w:pStyle w:val="NormalWeb"/>
              <w:spacing w:before="120" w:beforeAutospacing="0" w:after="160" w:afterAutospacing="0"/>
              <w:ind w:left="79" w:firstLine="0"/>
              <w:rPr>
                <w:rFonts w:asciiTheme="majorHAnsi" w:hAnsiTheme="majorHAnsi"/>
                <w:color w:val="000000"/>
              </w:rPr>
            </w:pPr>
            <w:r w:rsidRPr="00FA6130">
              <w:rPr>
                <w:rFonts w:asciiTheme="majorHAnsi" w:hAnsiTheme="majorHAnsi"/>
                <w:color w:val="000000"/>
              </w:rPr>
              <w:t>While the Board could propose a change to this Bylaws provision, Members</w:t>
            </w:r>
            <w:r w:rsidR="00FA6130">
              <w:rPr>
                <w:rFonts w:asciiTheme="majorHAnsi" w:hAnsiTheme="majorHAnsi"/>
                <w:color w:val="000000"/>
              </w:rPr>
              <w:t xml:space="preserve"> or </w:t>
            </w:r>
            <w:r w:rsidRPr="00FA6130">
              <w:rPr>
                <w:rFonts w:asciiTheme="majorHAnsi" w:hAnsiTheme="majorHAnsi"/>
                <w:color w:val="000000"/>
              </w:rPr>
              <w:t xml:space="preserve">Designators could block the proposed change (75% vote). </w:t>
            </w:r>
          </w:p>
          <w:p w14:paraId="154FEC01" w14:textId="512A1C66" w:rsidR="00560F73" w:rsidRPr="00FA6130" w:rsidRDefault="00560F73" w:rsidP="008F5914">
            <w:pPr>
              <w:pStyle w:val="NormalWeb"/>
              <w:spacing w:before="120" w:beforeAutospacing="0" w:after="160" w:afterAutospacing="0"/>
              <w:ind w:left="79" w:firstLine="0"/>
              <w:rPr>
                <w:rFonts w:asciiTheme="majorHAnsi" w:hAnsiTheme="majorHAnsi"/>
                <w:color w:val="000000"/>
              </w:rPr>
            </w:pPr>
            <w:r w:rsidRPr="00FA6130">
              <w:rPr>
                <w:rFonts w:asciiTheme="majorHAnsi" w:hAnsiTheme="majorHAnsi"/>
                <w:color w:val="000000"/>
              </w:rPr>
              <w:t xml:space="preserve">The CCWG-Accountability </w:t>
            </w:r>
            <w:r w:rsidR="00FA6130">
              <w:rPr>
                <w:rFonts w:asciiTheme="majorHAnsi" w:hAnsiTheme="majorHAnsi"/>
                <w:color w:val="000000"/>
              </w:rPr>
              <w:t>proposes that</w:t>
            </w:r>
            <w:r w:rsidRPr="00FA6130">
              <w:rPr>
                <w:rFonts w:asciiTheme="majorHAnsi" w:hAnsiTheme="majorHAnsi"/>
                <w:color w:val="000000"/>
              </w:rPr>
              <w:t xml:space="preserve"> Bylaws Article 18 Section 1 should </w:t>
            </w:r>
            <w:r w:rsidR="00FA6130">
              <w:rPr>
                <w:rFonts w:asciiTheme="majorHAnsi" w:hAnsiTheme="majorHAnsi"/>
                <w:color w:val="000000"/>
              </w:rPr>
              <w:t>be a regular bylaw, subject to the community power to block any change to regular bylaws</w:t>
            </w:r>
            <w:r w:rsidRPr="00FA6130">
              <w:rPr>
                <w:rFonts w:asciiTheme="majorHAnsi" w:hAnsiTheme="majorHAnsi"/>
                <w:color w:val="000000"/>
              </w:rPr>
              <w:t>.</w:t>
            </w:r>
          </w:p>
        </w:tc>
      </w:tr>
      <w:tr w:rsidR="00560F73" w:rsidRPr="00FA6130" w14:paraId="76969F2D" w14:textId="77777777" w:rsidTr="00FA77E7">
        <w:tc>
          <w:tcPr>
            <w:tcW w:w="4116" w:type="dxa"/>
            <w:tcMar>
              <w:top w:w="105" w:type="dxa"/>
              <w:left w:w="105" w:type="dxa"/>
              <w:bottom w:w="105" w:type="dxa"/>
              <w:right w:w="105" w:type="dxa"/>
            </w:tcMar>
            <w:hideMark/>
          </w:tcPr>
          <w:p w14:paraId="2AD5EA94" w14:textId="77777777" w:rsidR="00560F73" w:rsidRPr="00FA6130" w:rsidRDefault="00560F73" w:rsidP="008F5914">
            <w:pPr>
              <w:pStyle w:val="NormalWeb"/>
              <w:spacing w:before="120" w:beforeAutospacing="0" w:afterAutospacing="0"/>
              <w:ind w:left="90" w:firstLine="0"/>
              <w:rPr>
                <w:rFonts w:asciiTheme="majorHAnsi" w:hAnsiTheme="majorHAnsi"/>
                <w:color w:val="000000"/>
              </w:rPr>
            </w:pPr>
            <w:r w:rsidRPr="00FA6130">
              <w:rPr>
                <w:rFonts w:asciiTheme="majorHAnsi" w:hAnsiTheme="majorHAnsi"/>
                <w:color w:val="000000"/>
              </w:rPr>
              <w:t xml:space="preserve">(c) </w:t>
            </w:r>
            <w:proofErr w:type="gramStart"/>
            <w:r w:rsidRPr="00FA6130">
              <w:rPr>
                <w:rFonts w:asciiTheme="majorHAnsi" w:hAnsiTheme="majorHAnsi"/>
                <w:color w:val="000000"/>
              </w:rPr>
              <w:t>to</w:t>
            </w:r>
            <w:proofErr w:type="gramEnd"/>
            <w:r w:rsidRPr="00FA6130">
              <w:rPr>
                <w:rFonts w:asciiTheme="majorHAnsi" w:hAnsiTheme="majorHAnsi"/>
                <w:color w:val="000000"/>
              </w:rPr>
              <w:t xml:space="preserve">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4734" w:type="dxa"/>
            <w:tcMar>
              <w:top w:w="105" w:type="dxa"/>
              <w:left w:w="105" w:type="dxa"/>
              <w:bottom w:w="105" w:type="dxa"/>
              <w:right w:w="105" w:type="dxa"/>
            </w:tcMar>
            <w:hideMark/>
          </w:tcPr>
          <w:p w14:paraId="572448F5" w14:textId="260FBA32" w:rsidR="00901161" w:rsidRPr="0036523A" w:rsidRDefault="00901161" w:rsidP="00901161">
            <w:pPr>
              <w:pStyle w:val="NormalWeb"/>
              <w:spacing w:before="120" w:beforeAutospacing="0" w:after="160" w:afterAutospacing="0"/>
              <w:rPr>
                <w:rFonts w:asciiTheme="majorHAnsi" w:hAnsiTheme="majorHAnsi"/>
                <w:i/>
                <w:color w:val="000000"/>
              </w:rPr>
            </w:pPr>
            <w:r w:rsidRPr="0036523A">
              <w:rPr>
                <w:rFonts w:asciiTheme="majorHAnsi" w:hAnsiTheme="majorHAnsi"/>
                <w:i/>
                <w:color w:val="000000"/>
              </w:rPr>
              <w:t>Proposed revisio</w:t>
            </w:r>
            <w:r>
              <w:rPr>
                <w:rFonts w:asciiTheme="majorHAnsi" w:hAnsiTheme="majorHAnsi"/>
                <w:i/>
                <w:color w:val="000000"/>
              </w:rPr>
              <w:t>n to ICANN Commitments</w:t>
            </w:r>
            <w:r w:rsidRPr="0036523A">
              <w:rPr>
                <w:rFonts w:asciiTheme="majorHAnsi" w:hAnsiTheme="majorHAnsi"/>
                <w:i/>
                <w:color w:val="000000"/>
              </w:rPr>
              <w:t>:</w:t>
            </w:r>
          </w:p>
          <w:p w14:paraId="4B40234A" w14:textId="1E5F27BE" w:rsidR="00560F73" w:rsidRPr="00FA6130" w:rsidRDefault="00901161" w:rsidP="00901161">
            <w:pPr>
              <w:pStyle w:val="NormalWeb"/>
              <w:spacing w:before="120" w:beforeAutospacing="0" w:afterAutospacing="0"/>
              <w:ind w:left="79" w:firstLine="0"/>
              <w:rPr>
                <w:rFonts w:asciiTheme="majorHAnsi" w:hAnsiTheme="majorHAnsi"/>
                <w:color w:val="000000"/>
              </w:rPr>
            </w:pPr>
            <w:r w:rsidRPr="00901161">
              <w:rPr>
                <w:rFonts w:asciiTheme="majorHAnsi" w:hAnsiTheme="majorHAnsi"/>
                <w:color w:val="000000"/>
              </w:rPr>
              <w:t xml:space="preserve">Employ open, transparent </w:t>
            </w:r>
            <w:r w:rsidRPr="00901161">
              <w:rPr>
                <w:rFonts w:asciiTheme="majorHAnsi" w:hAnsiTheme="majorHAnsi"/>
                <w:b/>
                <w:color w:val="000000"/>
                <w:u w:val="single"/>
              </w:rPr>
              <w:t>and bottom-up, multistakeholder policy development processes, including business stakeholders, civil society, the technical community, academia, and end users that (</w:t>
            </w:r>
            <w:proofErr w:type="spellStart"/>
            <w:r w:rsidRPr="00901161">
              <w:rPr>
                <w:rFonts w:asciiTheme="majorHAnsi" w:hAnsiTheme="majorHAnsi"/>
                <w:b/>
                <w:color w:val="000000"/>
                <w:u w:val="single"/>
              </w:rPr>
              <w:t>i</w:t>
            </w:r>
            <w:proofErr w:type="spellEnd"/>
            <w:r w:rsidRPr="00901161">
              <w:rPr>
                <w:rFonts w:asciiTheme="majorHAnsi" w:hAnsiTheme="majorHAnsi"/>
                <w:b/>
                <w:color w:val="000000"/>
                <w:u w:val="single"/>
              </w:rPr>
              <w:t xml:space="preserve">) seek input from the public, for whose benefit ICANN shall in all events act, </w:t>
            </w:r>
          </w:p>
        </w:tc>
      </w:tr>
    </w:tbl>
    <w:p w14:paraId="4FBFDB06" w14:textId="77777777" w:rsidR="00560F73" w:rsidRDefault="00560F73" w:rsidP="00465389">
      <w:pPr>
        <w:pStyle w:val="Numbering"/>
        <w:numPr>
          <w:ilvl w:val="0"/>
          <w:numId w:val="0"/>
        </w:numPr>
        <w:ind w:left="-160"/>
      </w:pPr>
    </w:p>
    <w:tbl>
      <w:tblPr>
        <w:tblW w:w="0" w:type="auto"/>
        <w:tblCellMar>
          <w:top w:w="15" w:type="dxa"/>
          <w:left w:w="15" w:type="dxa"/>
          <w:bottom w:w="15" w:type="dxa"/>
          <w:right w:w="15" w:type="dxa"/>
        </w:tblCellMar>
        <w:tblLook w:val="04A0" w:firstRow="1" w:lastRow="0" w:firstColumn="1" w:lastColumn="0" w:noHBand="0" w:noVBand="1"/>
      </w:tblPr>
      <w:tblGrid>
        <w:gridCol w:w="4455"/>
        <w:gridCol w:w="4395"/>
      </w:tblGrid>
      <w:tr w:rsidR="00FA6130" w:rsidRPr="00FA6130" w14:paraId="0AFA3E10" w14:textId="77777777" w:rsidTr="00FA6130">
        <w:trPr>
          <w:tblHeader/>
        </w:trPr>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19343EA0" w14:textId="77777777" w:rsidR="00FA6130" w:rsidRPr="00FA6130" w:rsidRDefault="00FA6130" w:rsidP="00FA6130">
            <w:pPr>
              <w:pStyle w:val="Heading4"/>
              <w:spacing w:before="120" w:after="120"/>
              <w:ind w:left="360"/>
              <w:rPr>
                <w:rFonts w:eastAsia="Times New Roman"/>
                <w:i w:val="0"/>
                <w:iCs w:val="0"/>
                <w:sz w:val="20"/>
                <w:szCs w:val="20"/>
              </w:rPr>
            </w:pPr>
            <w:r w:rsidRPr="00FA6130">
              <w:rPr>
                <w:rFonts w:eastAsia="Times New Roman"/>
                <w:i w:val="0"/>
                <w:iCs w:val="0"/>
                <w:color w:val="000000"/>
                <w:sz w:val="20"/>
                <w:szCs w:val="20"/>
              </w:rPr>
              <w:t>ICANN Commitments in the AoC</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04534E94" w14:textId="77777777" w:rsidR="00FA6130" w:rsidRPr="00FA6130" w:rsidRDefault="00FA6130" w:rsidP="00FA6130">
            <w:pPr>
              <w:pStyle w:val="Heading4"/>
              <w:spacing w:before="120" w:after="120"/>
              <w:ind w:left="360"/>
              <w:rPr>
                <w:rFonts w:eastAsia="Times New Roman"/>
                <w:i w:val="0"/>
                <w:iCs w:val="0"/>
                <w:sz w:val="20"/>
                <w:szCs w:val="20"/>
              </w:rPr>
            </w:pPr>
            <w:r w:rsidRPr="00FA6130">
              <w:rPr>
                <w:rFonts w:eastAsia="Times New Roman"/>
                <w:i w:val="0"/>
                <w:iCs w:val="0"/>
                <w:color w:val="000000"/>
                <w:sz w:val="20"/>
                <w:szCs w:val="20"/>
              </w:rPr>
              <w:t>As expressed in ICANN Bylaws</w:t>
            </w:r>
          </w:p>
        </w:tc>
      </w:tr>
      <w:tr w:rsidR="00560F73" w:rsidRPr="00FA6130" w14:paraId="773179BC" w14:textId="77777777" w:rsidTr="00FA6130">
        <w:tc>
          <w:tcPr>
            <w:tcW w:w="5026"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19D0E03" w14:textId="77777777" w:rsidR="00560F73" w:rsidRPr="00FA6130" w:rsidRDefault="00560F73" w:rsidP="00FA6130">
            <w:pPr>
              <w:pStyle w:val="NormalWeb"/>
              <w:spacing w:before="120" w:beforeAutospacing="0" w:afterAutospacing="0"/>
              <w:ind w:left="0" w:firstLine="0"/>
              <w:rPr>
                <w:rFonts w:asciiTheme="majorHAnsi" w:hAnsiTheme="majorHAnsi"/>
              </w:rPr>
            </w:pPr>
            <w:r w:rsidRPr="00FA6130">
              <w:rPr>
                <w:rFonts w:asciiTheme="majorHAnsi" w:hAnsiTheme="majorHAnsi"/>
                <w:color w:val="000000"/>
              </w:rPr>
              <w:t xml:space="preserve">9. Recognizing that ICANN will evolve and adapt to fulfill its limited, but important technical mission of coordinating the DNS, ICANN further commits to take the following specific actions together with ongoing commitment reviews specified below: </w:t>
            </w:r>
          </w:p>
        </w:tc>
        <w:tc>
          <w:tcPr>
            <w:tcW w:w="5024"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12F85EB" w14:textId="1DF06C16" w:rsidR="00560F73" w:rsidRPr="00F35347" w:rsidRDefault="00F35347" w:rsidP="00F35347">
            <w:pPr>
              <w:pStyle w:val="NormalWeb"/>
              <w:spacing w:before="120" w:beforeAutospacing="0" w:afterAutospacing="0"/>
              <w:ind w:left="0" w:firstLine="0"/>
              <w:rPr>
                <w:rFonts w:asciiTheme="majorHAnsi" w:hAnsiTheme="majorHAnsi"/>
                <w:i/>
              </w:rPr>
            </w:pPr>
            <w:r w:rsidRPr="00F35347">
              <w:rPr>
                <w:rFonts w:asciiTheme="majorHAnsi" w:hAnsiTheme="majorHAnsi"/>
                <w:i/>
                <w:color w:val="000000"/>
              </w:rPr>
              <w:t>See next section for proposed bylaws to</w:t>
            </w:r>
            <w:r w:rsidR="00560F73" w:rsidRPr="00F35347">
              <w:rPr>
                <w:rFonts w:asciiTheme="majorHAnsi" w:hAnsiTheme="majorHAnsi"/>
                <w:i/>
                <w:color w:val="000000"/>
              </w:rPr>
              <w:t xml:space="preserve"> preserve </w:t>
            </w:r>
            <w:r w:rsidRPr="00F35347">
              <w:rPr>
                <w:rFonts w:asciiTheme="majorHAnsi" w:hAnsiTheme="majorHAnsi"/>
                <w:i/>
                <w:color w:val="000000"/>
              </w:rPr>
              <w:t xml:space="preserve">ICANN </w:t>
            </w:r>
            <w:r w:rsidR="00560F73" w:rsidRPr="00F35347">
              <w:rPr>
                <w:rFonts w:asciiTheme="majorHAnsi" w:hAnsiTheme="majorHAnsi"/>
                <w:i/>
                <w:color w:val="000000"/>
              </w:rPr>
              <w:t xml:space="preserve">commitments to perform </w:t>
            </w:r>
            <w:r w:rsidRPr="00F35347">
              <w:rPr>
                <w:rFonts w:asciiTheme="majorHAnsi" w:hAnsiTheme="majorHAnsi"/>
                <w:i/>
                <w:color w:val="000000"/>
              </w:rPr>
              <w:t>the AoC</w:t>
            </w:r>
            <w:r w:rsidR="00560F73" w:rsidRPr="00F35347">
              <w:rPr>
                <w:rFonts w:asciiTheme="majorHAnsi" w:hAnsiTheme="majorHAnsi"/>
                <w:i/>
                <w:color w:val="000000"/>
              </w:rPr>
              <w:t xml:space="preserve"> </w:t>
            </w:r>
            <w:r w:rsidRPr="00F35347">
              <w:rPr>
                <w:rFonts w:asciiTheme="majorHAnsi" w:hAnsiTheme="majorHAnsi"/>
                <w:i/>
                <w:color w:val="000000"/>
              </w:rPr>
              <w:t>regular</w:t>
            </w:r>
            <w:r w:rsidR="00560F73" w:rsidRPr="00F35347">
              <w:rPr>
                <w:rFonts w:asciiTheme="majorHAnsi" w:hAnsiTheme="majorHAnsi"/>
                <w:i/>
                <w:color w:val="000000"/>
              </w:rPr>
              <w:t xml:space="preserve"> reviews.</w:t>
            </w:r>
          </w:p>
        </w:tc>
      </w:tr>
    </w:tbl>
    <w:p w14:paraId="0E426760" w14:textId="77777777" w:rsidR="00560F73" w:rsidRDefault="00560F73" w:rsidP="00465389">
      <w:pPr>
        <w:pStyle w:val="Numbering"/>
        <w:numPr>
          <w:ilvl w:val="0"/>
          <w:numId w:val="0"/>
        </w:numPr>
        <w:ind w:left="-160"/>
      </w:pPr>
    </w:p>
    <w:p w14:paraId="2DD41AF9" w14:textId="77777777" w:rsidR="00914893" w:rsidRDefault="00914893" w:rsidP="00465389">
      <w:pPr>
        <w:pStyle w:val="Numbering"/>
        <w:numPr>
          <w:ilvl w:val="0"/>
          <w:numId w:val="0"/>
        </w:numPr>
        <w:ind w:left="-160"/>
      </w:pPr>
      <w:r>
        <w:t>Suggestions gathered during comment periods in 2014 on ICANN accountability and the IANA Stewardship Transition suggested several ways the AoC Reviews should be adjusted as part of incorporating them into ICANN’s Bylaws:</w:t>
      </w:r>
    </w:p>
    <w:p w14:paraId="3D1B91F5" w14:textId="77777777" w:rsidR="00914893" w:rsidRDefault="00914893" w:rsidP="00465389">
      <w:pPr>
        <w:ind w:left="360"/>
      </w:pPr>
      <w:r>
        <w:t xml:space="preserve">Ability to sunset reviews, </w:t>
      </w:r>
      <w:proofErr w:type="gramStart"/>
      <w:r>
        <w:t>amend</w:t>
      </w:r>
      <w:proofErr w:type="gramEnd"/>
      <w:r>
        <w:t xml:space="preserve"> reviews, and create new reviews.</w:t>
      </w:r>
    </w:p>
    <w:p w14:paraId="65BB3320" w14:textId="77777777" w:rsidR="00914893" w:rsidRDefault="00914893" w:rsidP="00465389">
      <w:pPr>
        <w:ind w:left="360"/>
      </w:pPr>
      <w:r>
        <w:t>Community stakeholder groups should appoint their own representatives to review teams.</w:t>
      </w:r>
    </w:p>
    <w:p w14:paraId="59A54BA2" w14:textId="77777777" w:rsidR="00914893" w:rsidRDefault="00914893" w:rsidP="00465389">
      <w:pPr>
        <w:ind w:left="360"/>
      </w:pPr>
      <w:r>
        <w:t>Give review teams access to ICANN internal documents.</w:t>
      </w:r>
    </w:p>
    <w:p w14:paraId="35536D1B" w14:textId="77777777" w:rsidR="00914893" w:rsidRDefault="00914893" w:rsidP="00465389">
      <w:pPr>
        <w:ind w:left="360"/>
      </w:pPr>
      <w:r>
        <w:t>Require the ICANN Board to consider approval and begin implementation of review team recommendations, including from previous reviews. The CCWG-Accountability concluded that some review team recommendations could be rejected or modified by ICANN, for reasons such as feasibility, time, or cost. If the community disagreed with the Board’s decision on implementation, it could invoke a Reconsideration or IRP to challenge that decision, with a binding result in the case of an IRP. In addition, CCWG-Accountability independent legal counsel advised that ICANN Bylaws could not require the Board to implement review team recommendations because that could conflict with fiduciary duties or other Bylaws obligations.</w:t>
      </w:r>
    </w:p>
    <w:p w14:paraId="5C8D63D2" w14:textId="77777777" w:rsidR="00914893" w:rsidRDefault="00914893" w:rsidP="00465389">
      <w:pPr>
        <w:ind w:left="360"/>
      </w:pPr>
      <w:r>
        <w:t>In Bylaws Article IV, add a new section for Periodic Review of ICANN Execution of Key Commitments, with an overarching framework for the way these reviews are conducted and then one subsection for each of the four current AoC Reviews.</w:t>
      </w:r>
    </w:p>
    <w:p w14:paraId="373B6647" w14:textId="77777777" w:rsidR="00914893" w:rsidRDefault="00914893" w:rsidP="00465389">
      <w:pPr>
        <w:ind w:left="1080"/>
      </w:pPr>
      <w:r w:rsidRPr="00FB31D9">
        <w:t>Note</w:t>
      </w:r>
      <w:r w:rsidRPr="00465389">
        <w:rPr>
          <w:b/>
          <w:i/>
        </w:rPr>
        <w:t xml:space="preserve">: </w:t>
      </w:r>
      <w:r>
        <w:t xml:space="preserve">Legal counsel has not reviewed the underlying proposed Bylaw revisions at this stage. The proposed language for Bylaw revisions is conceptual in nature at this stage; once there is consensus about direction developed through this comment process, the </w:t>
      </w:r>
      <w:proofErr w:type="gramStart"/>
      <w:r>
        <w:t>legal</w:t>
      </w:r>
      <w:proofErr w:type="gramEnd"/>
      <w:r>
        <w:t xml:space="preserve"> team will need time to draft appropriate proposed language for revisions to the Articles of Incorporation and Bylaws.</w:t>
      </w:r>
    </w:p>
    <w:p w14:paraId="20BAC757" w14:textId="0A76024C" w:rsidR="007277CE" w:rsidRDefault="007277CE" w:rsidP="007277CE">
      <w:pPr>
        <w:pStyle w:val="Numbering"/>
        <w:numPr>
          <w:ilvl w:val="0"/>
          <w:numId w:val="0"/>
        </w:numPr>
        <w:ind w:left="-160"/>
      </w:pPr>
      <w:r>
        <w:t>N</w:t>
      </w:r>
      <w:r w:rsidRPr="007277CE">
        <w:t>ew review rules will prevail as soon as the bylaws have been changed</w:t>
      </w:r>
      <w:r>
        <w:t>, but care should be taken when terminating the AoC to not disrupt any AoC Reviews that may be in process at that time.</w:t>
      </w:r>
      <w:r w:rsidRPr="007277CE">
        <w:t xml:space="preserve"> </w:t>
      </w:r>
      <w:r>
        <w:t xml:space="preserve"> </w:t>
      </w:r>
      <w:r w:rsidRPr="007277CE">
        <w:t xml:space="preserve">Any in-progress reviews will adopt the new rules to the extent practical.  </w:t>
      </w:r>
      <w:r>
        <w:t xml:space="preserve">Any </w:t>
      </w:r>
      <w:r w:rsidRPr="007277CE">
        <w:t xml:space="preserve">planned </w:t>
      </w:r>
      <w:r>
        <w:t xml:space="preserve">AoC </w:t>
      </w:r>
      <w:r w:rsidRPr="007277CE">
        <w:t xml:space="preserve">review should not be deferred </w:t>
      </w:r>
      <w:r>
        <w:t>simply</w:t>
      </w:r>
      <w:r w:rsidRPr="007277CE">
        <w:t xml:space="preserve"> because the new rules allow up to 5 years between </w:t>
      </w:r>
      <w:r>
        <w:t>review cycles</w:t>
      </w:r>
      <w:r w:rsidRPr="007277CE">
        <w:t xml:space="preserve">. </w:t>
      </w:r>
      <w:proofErr w:type="gramStart"/>
      <w:r w:rsidRPr="007277CE">
        <w:t xml:space="preserve">If the community </w:t>
      </w:r>
      <w:r>
        <w:t>prefers</w:t>
      </w:r>
      <w:r w:rsidRPr="007277CE">
        <w:t xml:space="preserve"> to do a review sooner than 5 years from the previous review, that is allowed under new rules.</w:t>
      </w:r>
      <w:proofErr w:type="gramEnd"/>
    </w:p>
    <w:p w14:paraId="5C6CF2DE" w14:textId="2541905D" w:rsidR="007277CE" w:rsidRDefault="007277CE">
      <w:pPr>
        <w:spacing w:before="0" w:after="0"/>
        <w:rPr>
          <w:rStyle w:val="NumberingforHeading2"/>
        </w:rPr>
      </w:pPr>
    </w:p>
    <w:p w14:paraId="3DFC3C41" w14:textId="6C42DEDF" w:rsidR="00914893" w:rsidRPr="002A00D8" w:rsidRDefault="00914893" w:rsidP="00465389">
      <w:pPr>
        <w:pStyle w:val="Numbering"/>
        <w:numPr>
          <w:ilvl w:val="0"/>
          <w:numId w:val="0"/>
        </w:numPr>
        <w:ind w:left="-160"/>
        <w:rPr>
          <w:rStyle w:val="NumberingforHeading2"/>
        </w:rPr>
      </w:pPr>
      <w:r w:rsidRPr="002A00D8">
        <w:rPr>
          <w:rStyle w:val="NumberingforHeading2"/>
        </w:rPr>
        <w:t>Bylaw That Provides a Framework for All Periodic Reviews</w:t>
      </w:r>
    </w:p>
    <w:p w14:paraId="10A05046" w14:textId="6520FE13" w:rsidR="00914893" w:rsidRDefault="00914893" w:rsidP="00465389">
      <w:pPr>
        <w:pStyle w:val="Numbering"/>
        <w:numPr>
          <w:ilvl w:val="0"/>
          <w:numId w:val="0"/>
        </w:numPr>
        <w:ind w:left="-160"/>
      </w:pPr>
      <w:r>
        <w:t xml:space="preserve">All of the reviews listed in this Section would be governed by </w:t>
      </w:r>
      <w:r w:rsidR="00F35347">
        <w:t xml:space="preserve">a general </w:t>
      </w:r>
      <w:r>
        <w:t>Bylaw:</w:t>
      </w:r>
      <w:r>
        <w:br/>
      </w:r>
    </w:p>
    <w:tbl>
      <w:tblPr>
        <w:tblStyle w:val="TableGrid"/>
        <w:tblW w:w="9990" w:type="dxa"/>
        <w:tblInd w:w="110" w:type="dxa"/>
        <w:tblCellMar>
          <w:left w:w="200" w:type="dxa"/>
        </w:tblCellMar>
        <w:tblLook w:val="04A0" w:firstRow="1" w:lastRow="0" w:firstColumn="1" w:lastColumn="0" w:noHBand="0" w:noVBand="1"/>
      </w:tblPr>
      <w:tblGrid>
        <w:gridCol w:w="5759"/>
        <w:gridCol w:w="361"/>
        <w:gridCol w:w="3870"/>
      </w:tblGrid>
      <w:tr w:rsidR="00914893" w14:paraId="134D9909" w14:textId="77777777" w:rsidTr="00CE6870">
        <w:trPr>
          <w:cantSplit/>
          <w:tblHeader/>
        </w:trPr>
        <w:tc>
          <w:tcPr>
            <w:tcW w:w="5759" w:type="dxa"/>
            <w:shd w:val="clear" w:color="auto" w:fill="D9D9D9" w:themeFill="background1" w:themeFillShade="D9"/>
          </w:tcPr>
          <w:p w14:paraId="71344BEB" w14:textId="77777777" w:rsidR="00914893" w:rsidRPr="0054048F" w:rsidRDefault="00914893" w:rsidP="00465389">
            <w:pPr>
              <w:pStyle w:val="TableHeading"/>
            </w:pPr>
            <w:r w:rsidRPr="0054048F">
              <w:t>PROPOSED BYLAW TEXT</w:t>
            </w:r>
          </w:p>
        </w:tc>
        <w:tc>
          <w:tcPr>
            <w:tcW w:w="4231" w:type="dxa"/>
            <w:gridSpan w:val="2"/>
            <w:shd w:val="clear" w:color="auto" w:fill="D9D9D9" w:themeFill="background1" w:themeFillShade="D9"/>
          </w:tcPr>
          <w:p w14:paraId="7E5162F0" w14:textId="77777777" w:rsidR="00914893" w:rsidRPr="0054048F" w:rsidRDefault="00914893" w:rsidP="00465389">
            <w:pPr>
              <w:pStyle w:val="TableHeading"/>
            </w:pPr>
            <w:r w:rsidRPr="0054048F">
              <w:t>COMMENT</w:t>
            </w:r>
          </w:p>
        </w:tc>
      </w:tr>
      <w:tr w:rsidR="00914893" w14:paraId="7E095D2D" w14:textId="77777777" w:rsidTr="00CE6870">
        <w:trPr>
          <w:tblHeader/>
        </w:trPr>
        <w:tc>
          <w:tcPr>
            <w:tcW w:w="5759" w:type="dxa"/>
          </w:tcPr>
          <w:p w14:paraId="22F4ADE3" w14:textId="77777777" w:rsidR="00914893" w:rsidRPr="00F370BA" w:rsidRDefault="00914893" w:rsidP="00465389">
            <w:pPr>
              <w:pStyle w:val="Numbering"/>
              <w:numPr>
                <w:ilvl w:val="0"/>
                <w:numId w:val="0"/>
              </w:numPr>
              <w:ind w:left="-160"/>
              <w:rPr>
                <w:sz w:val="20"/>
                <w:szCs w:val="20"/>
              </w:rPr>
            </w:pPr>
            <w:r w:rsidRPr="00F370BA">
              <w:rPr>
                <w:sz w:val="20"/>
                <w:szCs w:val="20"/>
              </w:rPr>
              <w:t>ICANN will produce an annual report on the state of improvements to Accountability and Transparency.</w:t>
            </w:r>
          </w:p>
          <w:p w14:paraId="1FBF991C" w14:textId="77777777" w:rsidR="00914893" w:rsidRPr="00F370BA" w:rsidRDefault="00914893" w:rsidP="00465389">
            <w:pPr>
              <w:pStyle w:val="Numbering"/>
              <w:numPr>
                <w:ilvl w:val="0"/>
                <w:numId w:val="0"/>
              </w:numPr>
              <w:ind w:left="-160"/>
              <w:rPr>
                <w:sz w:val="20"/>
                <w:szCs w:val="20"/>
              </w:rPr>
            </w:pPr>
            <w:r w:rsidRPr="00F370BA">
              <w:rPr>
                <w:sz w:val="20"/>
                <w:szCs w:val="20"/>
              </w:rPr>
              <w:t>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p>
        </w:tc>
        <w:tc>
          <w:tcPr>
            <w:tcW w:w="4231" w:type="dxa"/>
            <w:gridSpan w:val="2"/>
          </w:tcPr>
          <w:p w14:paraId="14619121" w14:textId="77777777" w:rsidR="00914893" w:rsidRPr="00F370BA" w:rsidRDefault="00914893" w:rsidP="00465389">
            <w:pPr>
              <w:pStyle w:val="Numbering"/>
              <w:numPr>
                <w:ilvl w:val="0"/>
                <w:numId w:val="0"/>
              </w:numPr>
              <w:ind w:left="-160"/>
              <w:rPr>
                <w:sz w:val="20"/>
                <w:szCs w:val="20"/>
              </w:rPr>
            </w:pPr>
            <w:r w:rsidRPr="00F370BA">
              <w:rPr>
                <w:sz w:val="20"/>
                <w:szCs w:val="20"/>
              </w:rPr>
              <w:t>This is a new recommendation based on one in ATRT2 and is more important as reviews are spread further apart.</w:t>
            </w:r>
          </w:p>
        </w:tc>
      </w:tr>
      <w:tr w:rsidR="00914893" w14:paraId="1CDA6113" w14:textId="77777777" w:rsidTr="00CE6870">
        <w:trPr>
          <w:tblHeader/>
        </w:trPr>
        <w:tc>
          <w:tcPr>
            <w:tcW w:w="5759" w:type="dxa"/>
          </w:tcPr>
          <w:p w14:paraId="48487E69" w14:textId="477FE47E" w:rsidR="00914893" w:rsidRPr="00F370BA" w:rsidRDefault="00914893" w:rsidP="00F70C08">
            <w:pPr>
              <w:pStyle w:val="Numbering"/>
              <w:numPr>
                <w:ilvl w:val="0"/>
                <w:numId w:val="0"/>
              </w:numPr>
              <w:ind w:left="-160"/>
              <w:rPr>
                <w:sz w:val="20"/>
                <w:szCs w:val="20"/>
              </w:rPr>
            </w:pPr>
            <w:r w:rsidRPr="00F370BA">
              <w:rPr>
                <w:sz w:val="20"/>
                <w:szCs w:val="20"/>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w:t>
            </w:r>
            <w:r w:rsidR="00F70C08" w:rsidRPr="00F370BA">
              <w:rPr>
                <w:sz w:val="20"/>
                <w:szCs w:val="20"/>
              </w:rPr>
              <w:t xml:space="preserve"> allocating at least 3 members from each participating SO and AC that suggests 3 or more prospective members</w:t>
            </w:r>
            <w:r w:rsidRPr="00F370BA">
              <w:rPr>
                <w:sz w:val="20"/>
                <w:szCs w:val="20"/>
              </w:rPr>
              <w:t>. In addition, the ICANN Board may designate one director as a member of the Review Team.</w:t>
            </w:r>
          </w:p>
        </w:tc>
        <w:tc>
          <w:tcPr>
            <w:tcW w:w="4231" w:type="dxa"/>
            <w:gridSpan w:val="2"/>
          </w:tcPr>
          <w:p w14:paraId="20264DC0" w14:textId="77777777" w:rsidR="00914893" w:rsidRPr="00F370BA" w:rsidRDefault="00914893" w:rsidP="00465389">
            <w:pPr>
              <w:pStyle w:val="Numbering"/>
              <w:numPr>
                <w:ilvl w:val="0"/>
                <w:numId w:val="0"/>
              </w:numPr>
              <w:ind w:left="-160"/>
              <w:rPr>
                <w:sz w:val="20"/>
                <w:szCs w:val="20"/>
              </w:rPr>
            </w:pPr>
            <w:r w:rsidRPr="00F370BA">
              <w:rPr>
                <w:sz w:val="20"/>
                <w:szCs w:val="20"/>
              </w:rPr>
              <w:t>The AoC has no specific requirements for number of members from each SO and AC.</w:t>
            </w:r>
          </w:p>
          <w:p w14:paraId="78817CCA" w14:textId="77777777" w:rsidR="00914893" w:rsidRPr="00F370BA" w:rsidRDefault="00914893" w:rsidP="00465389">
            <w:pPr>
              <w:pStyle w:val="Numbering"/>
              <w:numPr>
                <w:ilvl w:val="0"/>
                <w:numId w:val="0"/>
              </w:numPr>
              <w:ind w:left="-160"/>
              <w:rPr>
                <w:sz w:val="20"/>
                <w:szCs w:val="20"/>
              </w:rPr>
            </w:pPr>
            <w:r w:rsidRPr="00F370BA">
              <w:rPr>
                <w:sz w:val="20"/>
                <w:szCs w:val="20"/>
              </w:rPr>
              <w:t>The AoC lets the Board and GAC Chairs designate Review Team members, and has no diversity requirement.</w:t>
            </w:r>
          </w:p>
          <w:p w14:paraId="1A9D3A83" w14:textId="77777777" w:rsidR="00914893" w:rsidRPr="00F370BA" w:rsidRDefault="00914893" w:rsidP="00465389">
            <w:pPr>
              <w:pStyle w:val="Numbering"/>
              <w:numPr>
                <w:ilvl w:val="0"/>
                <w:numId w:val="0"/>
              </w:numPr>
              <w:ind w:left="200"/>
              <w:rPr>
                <w:sz w:val="20"/>
                <w:szCs w:val="20"/>
              </w:rPr>
            </w:pPr>
          </w:p>
        </w:tc>
      </w:tr>
      <w:tr w:rsidR="00914893" w14:paraId="3E2076B6" w14:textId="77777777" w:rsidTr="00CE6870">
        <w:trPr>
          <w:tblHeader/>
        </w:trPr>
        <w:tc>
          <w:tcPr>
            <w:tcW w:w="5759" w:type="dxa"/>
          </w:tcPr>
          <w:p w14:paraId="00CAD333" w14:textId="77777777" w:rsidR="00914893" w:rsidRPr="00F370BA" w:rsidRDefault="00914893" w:rsidP="00465389">
            <w:pPr>
              <w:pStyle w:val="Numbering"/>
              <w:numPr>
                <w:ilvl w:val="0"/>
                <w:numId w:val="0"/>
              </w:numPr>
              <w:ind w:left="-160"/>
              <w:rPr>
                <w:sz w:val="20"/>
                <w:szCs w:val="20"/>
              </w:rPr>
            </w:pPr>
            <w:r w:rsidRPr="00F370BA">
              <w:rPr>
                <w:sz w:val="20"/>
                <w:szCs w:val="20"/>
              </w:rPr>
              <w:t>If consensus cannot be reached among the participants, consensus will be sought among the members. In the event a consensus cannot be found among the members, a majority vote of the members may be taken. In this case both a majority recommendation and a minority response should be provided in the final report of the Review Team.</w:t>
            </w:r>
          </w:p>
        </w:tc>
        <w:tc>
          <w:tcPr>
            <w:tcW w:w="4231" w:type="dxa"/>
            <w:gridSpan w:val="2"/>
          </w:tcPr>
          <w:p w14:paraId="0014EEF9" w14:textId="77777777" w:rsidR="00914893" w:rsidRPr="00F370BA" w:rsidRDefault="00914893" w:rsidP="00465389">
            <w:pPr>
              <w:pStyle w:val="Numbering"/>
              <w:numPr>
                <w:ilvl w:val="0"/>
                <w:numId w:val="0"/>
              </w:numPr>
              <w:ind w:left="-160"/>
              <w:rPr>
                <w:sz w:val="20"/>
                <w:szCs w:val="20"/>
              </w:rPr>
            </w:pPr>
            <w:r w:rsidRPr="00F370BA">
              <w:rPr>
                <w:sz w:val="20"/>
                <w:szCs w:val="20"/>
              </w:rPr>
              <w:t>While showing a preference for consensus, a resolution procedure should be defined. It is important to avoid both tyranny of the majority and capture by a minority.</w:t>
            </w:r>
          </w:p>
        </w:tc>
      </w:tr>
      <w:tr w:rsidR="00914893" w14:paraId="2E55CEDC" w14:textId="77777777" w:rsidTr="00CE6870">
        <w:trPr>
          <w:tblHeader/>
        </w:trPr>
        <w:tc>
          <w:tcPr>
            <w:tcW w:w="5759" w:type="dxa"/>
          </w:tcPr>
          <w:p w14:paraId="7E77088E" w14:textId="77777777" w:rsidR="00914893" w:rsidRPr="00F370BA" w:rsidRDefault="00914893" w:rsidP="00465389">
            <w:pPr>
              <w:pStyle w:val="Numbering"/>
              <w:numPr>
                <w:ilvl w:val="0"/>
                <w:numId w:val="0"/>
              </w:numPr>
              <w:ind w:left="-160"/>
              <w:rPr>
                <w:sz w:val="20"/>
                <w:szCs w:val="20"/>
              </w:rPr>
            </w:pPr>
            <w:r w:rsidRPr="00F370BA">
              <w:rPr>
                <w:sz w:val="20"/>
                <w:szCs w:val="20"/>
              </w:rPr>
              <w:t>Review Teams may also solicit and select independent experts to render advice as requested by the Review Team, and the review team may choose to accept or reject all or part of this advice.</w:t>
            </w:r>
          </w:p>
        </w:tc>
        <w:tc>
          <w:tcPr>
            <w:tcW w:w="4231" w:type="dxa"/>
            <w:gridSpan w:val="2"/>
          </w:tcPr>
          <w:p w14:paraId="37901A82" w14:textId="77777777" w:rsidR="00914893" w:rsidRPr="00F370BA" w:rsidRDefault="00914893" w:rsidP="00465389">
            <w:pPr>
              <w:pStyle w:val="Numbering"/>
              <w:numPr>
                <w:ilvl w:val="0"/>
                <w:numId w:val="0"/>
              </w:numPr>
              <w:ind w:left="-160"/>
              <w:rPr>
                <w:sz w:val="20"/>
                <w:szCs w:val="20"/>
              </w:rPr>
            </w:pPr>
            <w:r w:rsidRPr="00F370BA">
              <w:rPr>
                <w:sz w:val="20"/>
                <w:szCs w:val="20"/>
              </w:rPr>
              <w:t>This was not stated in the AoC, but experts have been appointed to some AoC Review Teams.</w:t>
            </w:r>
          </w:p>
        </w:tc>
      </w:tr>
      <w:tr w:rsidR="00CE6870" w14:paraId="6D6BA9BB" w14:textId="77777777" w:rsidTr="00CE6870">
        <w:trPr>
          <w:tblHeader/>
        </w:trPr>
        <w:tc>
          <w:tcPr>
            <w:tcW w:w="5759" w:type="dxa"/>
          </w:tcPr>
          <w:p w14:paraId="6CC48631" w14:textId="3C73BA22" w:rsidR="00CE6870" w:rsidRPr="00F370BA" w:rsidRDefault="00CE6870" w:rsidP="00825BA8">
            <w:pPr>
              <w:pStyle w:val="Numbering"/>
              <w:numPr>
                <w:ilvl w:val="0"/>
                <w:numId w:val="0"/>
              </w:numPr>
              <w:ind w:left="-160"/>
              <w:rPr>
                <w:sz w:val="20"/>
                <w:szCs w:val="20"/>
              </w:rPr>
            </w:pPr>
            <w:r w:rsidRPr="00F370BA">
              <w:rPr>
                <w:sz w:val="20"/>
                <w:szCs w:val="20"/>
              </w:rPr>
              <w:t>Each Review Team may recommend termination or amendment of its respective review</w:t>
            </w:r>
            <w:r w:rsidR="00825BA8" w:rsidRPr="00F370BA">
              <w:rPr>
                <w:sz w:val="20"/>
                <w:szCs w:val="20"/>
              </w:rPr>
              <w:t>.</w:t>
            </w:r>
          </w:p>
        </w:tc>
        <w:tc>
          <w:tcPr>
            <w:tcW w:w="4231" w:type="dxa"/>
            <w:gridSpan w:val="2"/>
          </w:tcPr>
          <w:p w14:paraId="4A5D03E8" w14:textId="20FD4DB0" w:rsidR="00CE6870" w:rsidRPr="00F370BA" w:rsidRDefault="00CE6870" w:rsidP="00825BA8">
            <w:pPr>
              <w:pStyle w:val="Numbering"/>
              <w:numPr>
                <w:ilvl w:val="0"/>
                <w:numId w:val="0"/>
              </w:numPr>
              <w:ind w:left="-160"/>
              <w:rPr>
                <w:sz w:val="20"/>
                <w:szCs w:val="20"/>
              </w:rPr>
            </w:pPr>
            <w:r w:rsidRPr="00F370BA">
              <w:rPr>
                <w:sz w:val="20"/>
                <w:szCs w:val="20"/>
              </w:rPr>
              <w:t>This is new. A recommendation to amend or terminate an existing Review would be subject to public comment</w:t>
            </w:r>
            <w:r w:rsidR="00825BA8" w:rsidRPr="00F370BA">
              <w:rPr>
                <w:sz w:val="20"/>
                <w:szCs w:val="20"/>
              </w:rPr>
              <w:t>, a</w:t>
            </w:r>
            <w:r w:rsidRPr="00F370BA">
              <w:rPr>
                <w:sz w:val="20"/>
                <w:szCs w:val="20"/>
              </w:rPr>
              <w:t>nd the</w:t>
            </w:r>
            <w:r w:rsidR="00825BA8" w:rsidRPr="00F370BA">
              <w:rPr>
                <w:sz w:val="20"/>
                <w:szCs w:val="20"/>
              </w:rPr>
              <w:t xml:space="preserve"> community would have power to block a change to the bylaws.</w:t>
            </w:r>
          </w:p>
        </w:tc>
      </w:tr>
      <w:tr w:rsidR="00F370BA" w14:paraId="030602D9" w14:textId="77777777" w:rsidTr="00F370BA">
        <w:trPr>
          <w:cantSplit/>
          <w:tblHeader/>
        </w:trPr>
        <w:tc>
          <w:tcPr>
            <w:tcW w:w="6120" w:type="dxa"/>
            <w:gridSpan w:val="2"/>
            <w:shd w:val="clear" w:color="auto" w:fill="D9D9D9" w:themeFill="background1" w:themeFillShade="D9"/>
          </w:tcPr>
          <w:p w14:paraId="13FBF614" w14:textId="5F4BF56F" w:rsidR="00F370BA" w:rsidRPr="0054048F" w:rsidRDefault="00F370BA" w:rsidP="0025590E">
            <w:pPr>
              <w:pStyle w:val="TableHeading"/>
              <w:ind w:left="70"/>
            </w:pPr>
            <w:r>
              <w:br w:type="page"/>
            </w:r>
            <w:r w:rsidRPr="0054048F">
              <w:t>PROPOSED BYLAW TEXT</w:t>
            </w:r>
          </w:p>
        </w:tc>
        <w:tc>
          <w:tcPr>
            <w:tcW w:w="3870" w:type="dxa"/>
            <w:shd w:val="clear" w:color="auto" w:fill="D9D9D9" w:themeFill="background1" w:themeFillShade="D9"/>
          </w:tcPr>
          <w:p w14:paraId="441C0C05" w14:textId="77777777" w:rsidR="00F370BA" w:rsidRPr="0054048F" w:rsidRDefault="00F370BA" w:rsidP="00313498">
            <w:pPr>
              <w:pStyle w:val="TableHeading"/>
            </w:pPr>
            <w:r w:rsidRPr="0054048F">
              <w:t>COMMENT</w:t>
            </w:r>
          </w:p>
        </w:tc>
      </w:tr>
      <w:tr w:rsidR="00914893" w14:paraId="779988C9" w14:textId="77777777" w:rsidTr="00F370BA">
        <w:tc>
          <w:tcPr>
            <w:tcW w:w="6120" w:type="dxa"/>
            <w:gridSpan w:val="2"/>
          </w:tcPr>
          <w:p w14:paraId="2CED9B66" w14:textId="6297C967" w:rsidR="00914893" w:rsidRPr="00F370BA" w:rsidRDefault="00914893" w:rsidP="0025590E">
            <w:pPr>
              <w:pStyle w:val="Numbering"/>
              <w:numPr>
                <w:ilvl w:val="0"/>
                <w:numId w:val="0"/>
              </w:numPr>
              <w:ind w:left="70"/>
              <w:rPr>
                <w:sz w:val="20"/>
                <w:szCs w:val="20"/>
              </w:rPr>
            </w:pPr>
            <w:r w:rsidRPr="00F370BA">
              <w:rPr>
                <w:sz w:val="20"/>
                <w:szCs w:val="20"/>
              </w:rPr>
              <w:t>Confidential Disclosure to Review Teams:</w:t>
            </w:r>
          </w:p>
          <w:p w14:paraId="326F6ADA" w14:textId="77777777" w:rsidR="00914893" w:rsidRPr="00F370BA" w:rsidRDefault="00914893" w:rsidP="0025590E">
            <w:pPr>
              <w:pStyle w:val="Numbering"/>
              <w:numPr>
                <w:ilvl w:val="0"/>
                <w:numId w:val="0"/>
              </w:numPr>
              <w:ind w:left="70"/>
              <w:rPr>
                <w:sz w:val="20"/>
                <w:szCs w:val="20"/>
              </w:rPr>
            </w:pPr>
            <w:r w:rsidRPr="00F370BA">
              <w:rPr>
                <w:sz w:val="20"/>
                <w:szCs w:val="20"/>
              </w:rPr>
              <w:t>To facilitate transparency and openness regarding ICANN's deliberations and operations, the Review Teams, or a subset thereof, shall have access to ICANN internal information and documents. If ICANN refuses to reveal documents or information requested by the Review Team, ICANN must provide a justification to the Review Team. If the Review Team is not satisfied with ICANN’s justification, it can appeal to the Ombudsman and/or the ICANN Board for a ruling on the disclosure request.</w:t>
            </w:r>
          </w:p>
          <w:p w14:paraId="7762FC04" w14:textId="77777777" w:rsidR="00914893" w:rsidRPr="00F370BA" w:rsidRDefault="00914893" w:rsidP="0025590E">
            <w:pPr>
              <w:pStyle w:val="Numbering"/>
              <w:numPr>
                <w:ilvl w:val="0"/>
                <w:numId w:val="0"/>
              </w:numPr>
              <w:ind w:left="70"/>
              <w:rPr>
                <w:sz w:val="20"/>
                <w:szCs w:val="20"/>
              </w:rPr>
            </w:pPr>
            <w:r w:rsidRPr="00F370BA">
              <w:rPr>
                <w:sz w:val="20"/>
                <w:szCs w:val="20"/>
              </w:rPr>
              <w:t>For documents and information that ICANN does disclose to the Review Team, ICANN may designate certain documents and information as not for disclosure by the Review Team, either in its report or otherwise. If the Review Team is not satisfied with ICANN’s designation of non-</w:t>
            </w:r>
            <w:proofErr w:type="spellStart"/>
            <w:r w:rsidRPr="00F370BA">
              <w:rPr>
                <w:sz w:val="20"/>
                <w:szCs w:val="20"/>
              </w:rPr>
              <w:t>disclosable</w:t>
            </w:r>
            <w:proofErr w:type="spellEnd"/>
            <w:r w:rsidRPr="00F370BA">
              <w:rPr>
                <w:sz w:val="20"/>
                <w:szCs w:val="20"/>
              </w:rPr>
              <w:t xml:space="preserve"> documents or information, it can appeal to the Ombudsman and/or the ICANN Board for a ruling on the non-disclosure designation.</w:t>
            </w:r>
          </w:p>
          <w:p w14:paraId="2B6B28F4" w14:textId="77777777" w:rsidR="00914893" w:rsidRPr="00F370BA" w:rsidRDefault="00914893" w:rsidP="0025590E">
            <w:pPr>
              <w:pStyle w:val="Numbering"/>
              <w:numPr>
                <w:ilvl w:val="0"/>
                <w:numId w:val="0"/>
              </w:numPr>
              <w:ind w:left="70"/>
              <w:rPr>
                <w:sz w:val="20"/>
                <w:szCs w:val="20"/>
              </w:rPr>
            </w:pPr>
            <w:r w:rsidRPr="00F370BA">
              <w:rPr>
                <w:sz w:val="20"/>
                <w:szCs w:val="20"/>
              </w:rPr>
              <w:t>A confidential disclosure framework shall be published by ICANN. The confidential disclosure framework shall describe the process by which documents and information are classified, including a description of the levels of classification that documents or information may be subject to, and the classes of persons who may access such documents and information.</w:t>
            </w:r>
          </w:p>
          <w:p w14:paraId="490EEA16" w14:textId="77777777" w:rsidR="00914893" w:rsidRPr="00F370BA" w:rsidRDefault="00914893" w:rsidP="0025590E">
            <w:pPr>
              <w:pStyle w:val="Numbering"/>
              <w:numPr>
                <w:ilvl w:val="0"/>
                <w:numId w:val="0"/>
              </w:numPr>
              <w:ind w:left="70"/>
              <w:rPr>
                <w:sz w:val="20"/>
                <w:szCs w:val="20"/>
              </w:rPr>
            </w:pPr>
            <w:r w:rsidRPr="00F370BA">
              <w:rPr>
                <w:sz w:val="20"/>
                <w:szCs w:val="20"/>
              </w:rPr>
              <w:t>The confidential disclosure framework shall describe the process by which a Review Team may request access to documents and information that are designated as classified or restricted access.</w:t>
            </w:r>
          </w:p>
          <w:p w14:paraId="5C3738D7" w14:textId="77777777" w:rsidR="00914893" w:rsidRPr="00F370BA" w:rsidRDefault="00914893" w:rsidP="0025590E">
            <w:pPr>
              <w:pStyle w:val="Numbering"/>
              <w:numPr>
                <w:ilvl w:val="0"/>
                <w:numId w:val="0"/>
              </w:numPr>
              <w:ind w:left="70"/>
              <w:rPr>
                <w:sz w:val="20"/>
                <w:szCs w:val="20"/>
              </w:rPr>
            </w:pPr>
            <w:r w:rsidRPr="00F370BA">
              <w:rPr>
                <w:sz w:val="20"/>
                <w:szCs w:val="20"/>
              </w:rPr>
              <w:t>The confidential disclosure framework shall also describe the provisions of any non-disclosure agreement that members of a Review Team may be asked to sign.</w:t>
            </w:r>
          </w:p>
          <w:p w14:paraId="4D8C6AB1" w14:textId="77777777" w:rsidR="00914893" w:rsidRPr="00F370BA" w:rsidRDefault="00914893" w:rsidP="0025590E">
            <w:pPr>
              <w:pStyle w:val="Numbering"/>
              <w:numPr>
                <w:ilvl w:val="0"/>
                <w:numId w:val="0"/>
              </w:numPr>
              <w:ind w:left="70"/>
              <w:rPr>
                <w:sz w:val="20"/>
                <w:szCs w:val="20"/>
              </w:rPr>
            </w:pPr>
            <w:r w:rsidRPr="00F370BA">
              <w:rPr>
                <w:sz w:val="20"/>
                <w:szCs w:val="20"/>
              </w:rPr>
              <w:t>The confidential disclosure framework must provide a mechanism to escalate and/or appeal the refusal to release documents and information to duly recognized Review Teams.</w:t>
            </w:r>
          </w:p>
        </w:tc>
        <w:tc>
          <w:tcPr>
            <w:tcW w:w="3870" w:type="dxa"/>
          </w:tcPr>
          <w:p w14:paraId="1EE5F94C" w14:textId="77777777" w:rsidR="00914893" w:rsidRPr="00F370BA" w:rsidRDefault="00914893" w:rsidP="00465389">
            <w:pPr>
              <w:pStyle w:val="Numbering"/>
              <w:numPr>
                <w:ilvl w:val="0"/>
                <w:numId w:val="0"/>
              </w:numPr>
              <w:ind w:left="-160"/>
              <w:rPr>
                <w:sz w:val="20"/>
                <w:szCs w:val="20"/>
              </w:rPr>
            </w:pPr>
            <w:r w:rsidRPr="00F370BA">
              <w:rPr>
                <w:sz w:val="20"/>
                <w:szCs w:val="20"/>
              </w:rPr>
              <w:t>New ability to access internal documents, with non-disclosure provisions.</w:t>
            </w:r>
          </w:p>
        </w:tc>
      </w:tr>
      <w:tr w:rsidR="00914893" w14:paraId="0EA81EDA" w14:textId="77777777" w:rsidTr="00F370BA">
        <w:tc>
          <w:tcPr>
            <w:tcW w:w="6120" w:type="dxa"/>
            <w:gridSpan w:val="2"/>
          </w:tcPr>
          <w:p w14:paraId="58217F5A" w14:textId="77777777" w:rsidR="00914893" w:rsidRPr="00F370BA" w:rsidRDefault="00914893" w:rsidP="0025590E">
            <w:pPr>
              <w:pStyle w:val="Numbering"/>
              <w:numPr>
                <w:ilvl w:val="0"/>
                <w:numId w:val="0"/>
              </w:numPr>
              <w:ind w:left="70"/>
              <w:rPr>
                <w:sz w:val="20"/>
                <w:szCs w:val="20"/>
              </w:rPr>
            </w:pPr>
            <w:r w:rsidRPr="00F370BA">
              <w:rPr>
                <w:sz w:val="20"/>
                <w:szCs w:val="20"/>
              </w:rPr>
              <w:t>The draft report of the Review Team should describe the degree of consensus reached by the Review Team.</w:t>
            </w:r>
          </w:p>
        </w:tc>
        <w:tc>
          <w:tcPr>
            <w:tcW w:w="3870" w:type="dxa"/>
          </w:tcPr>
          <w:p w14:paraId="181F951C" w14:textId="68ADE0D7" w:rsidR="00914893" w:rsidRPr="00F370BA" w:rsidRDefault="00930E4E" w:rsidP="00465389">
            <w:pPr>
              <w:pStyle w:val="Numbering"/>
              <w:numPr>
                <w:ilvl w:val="0"/>
                <w:numId w:val="0"/>
              </w:numPr>
              <w:ind w:left="-160"/>
              <w:rPr>
                <w:sz w:val="20"/>
                <w:szCs w:val="20"/>
              </w:rPr>
            </w:pPr>
            <w:r>
              <w:rPr>
                <w:sz w:val="20"/>
                <w:szCs w:val="20"/>
              </w:rPr>
              <w:t>From public comments</w:t>
            </w:r>
            <w:bookmarkStart w:id="1" w:name="_GoBack"/>
            <w:bookmarkEnd w:id="1"/>
          </w:p>
        </w:tc>
      </w:tr>
      <w:tr w:rsidR="00914893" w14:paraId="50C23E56" w14:textId="77777777" w:rsidTr="00F370BA">
        <w:tc>
          <w:tcPr>
            <w:tcW w:w="6120" w:type="dxa"/>
            <w:gridSpan w:val="2"/>
          </w:tcPr>
          <w:p w14:paraId="62B45634" w14:textId="77777777" w:rsidR="00914893" w:rsidRPr="00F370BA" w:rsidRDefault="00914893" w:rsidP="0025590E">
            <w:pPr>
              <w:pStyle w:val="Numbering"/>
              <w:numPr>
                <w:ilvl w:val="0"/>
                <w:numId w:val="0"/>
              </w:numPr>
              <w:ind w:left="70"/>
              <w:rPr>
                <w:sz w:val="20"/>
                <w:szCs w:val="20"/>
              </w:rPr>
            </w:pPr>
            <w:r w:rsidRPr="00F370BA">
              <w:rPr>
                <w:sz w:val="20"/>
                <w:szCs w:val="20"/>
              </w:rPr>
              <w:t>The Review Team should attempt to assign priorities to its recommendations.</w:t>
            </w:r>
          </w:p>
        </w:tc>
        <w:tc>
          <w:tcPr>
            <w:tcW w:w="3870" w:type="dxa"/>
          </w:tcPr>
          <w:p w14:paraId="3B5BEDE5" w14:textId="77777777" w:rsidR="00914893" w:rsidRPr="00F370BA" w:rsidRDefault="00914893" w:rsidP="00465389">
            <w:pPr>
              <w:pStyle w:val="Numbering"/>
              <w:numPr>
                <w:ilvl w:val="0"/>
                <w:numId w:val="0"/>
              </w:numPr>
              <w:ind w:left="-160"/>
              <w:rPr>
                <w:sz w:val="20"/>
                <w:szCs w:val="20"/>
              </w:rPr>
            </w:pPr>
            <w:r w:rsidRPr="00F370BA">
              <w:rPr>
                <w:sz w:val="20"/>
                <w:szCs w:val="20"/>
              </w:rPr>
              <w:t>Board requested prioritization of recommendations</w:t>
            </w:r>
          </w:p>
        </w:tc>
      </w:tr>
      <w:tr w:rsidR="00914893" w14:paraId="270F0059" w14:textId="77777777" w:rsidTr="00F370BA">
        <w:tc>
          <w:tcPr>
            <w:tcW w:w="6120" w:type="dxa"/>
            <w:gridSpan w:val="2"/>
          </w:tcPr>
          <w:p w14:paraId="46DE4268" w14:textId="77777777" w:rsidR="00914893" w:rsidRPr="00F370BA" w:rsidRDefault="00914893" w:rsidP="0025590E">
            <w:pPr>
              <w:pStyle w:val="Numbering"/>
              <w:numPr>
                <w:ilvl w:val="0"/>
                <w:numId w:val="0"/>
              </w:numPr>
              <w:ind w:left="70"/>
              <w:rPr>
                <w:sz w:val="20"/>
                <w:szCs w:val="20"/>
              </w:rPr>
            </w:pPr>
            <w:r w:rsidRPr="00F370BA">
              <w:rPr>
                <w:sz w:val="20"/>
                <w:szCs w:val="20"/>
              </w:rPr>
              <w:t xml:space="preserve">The draft report of the Review will be published for public comment. The Review Team will consider such public comment and amend the </w:t>
            </w:r>
            <w:proofErr w:type="gramStart"/>
            <w:r w:rsidRPr="00F370BA">
              <w:rPr>
                <w:sz w:val="20"/>
                <w:szCs w:val="20"/>
              </w:rPr>
              <w:t>Review</w:t>
            </w:r>
            <w:proofErr w:type="gramEnd"/>
            <w:r w:rsidRPr="00F370BA">
              <w:rPr>
                <w:sz w:val="20"/>
                <w:szCs w:val="20"/>
              </w:rPr>
              <w:t xml:space="preserve"> as it deems appropriate before issuing its final report and forwarding the recommendations to the Board.</w:t>
            </w:r>
          </w:p>
        </w:tc>
        <w:tc>
          <w:tcPr>
            <w:tcW w:w="3870" w:type="dxa"/>
          </w:tcPr>
          <w:p w14:paraId="57A66F77" w14:textId="77777777" w:rsidR="00914893" w:rsidRPr="00F370BA" w:rsidRDefault="00914893" w:rsidP="00465389">
            <w:pPr>
              <w:pStyle w:val="Numbering"/>
              <w:numPr>
                <w:ilvl w:val="0"/>
                <w:numId w:val="0"/>
              </w:numPr>
              <w:ind w:left="200"/>
              <w:rPr>
                <w:sz w:val="20"/>
                <w:szCs w:val="20"/>
              </w:rPr>
            </w:pPr>
          </w:p>
        </w:tc>
      </w:tr>
      <w:tr w:rsidR="00914893" w14:paraId="1411214B" w14:textId="77777777" w:rsidTr="00F370BA">
        <w:tc>
          <w:tcPr>
            <w:tcW w:w="6120" w:type="dxa"/>
            <w:gridSpan w:val="2"/>
          </w:tcPr>
          <w:p w14:paraId="058D2130" w14:textId="3C423E39" w:rsidR="00914893" w:rsidRPr="00F370BA" w:rsidRDefault="00914893" w:rsidP="0025590E">
            <w:pPr>
              <w:pStyle w:val="Numbering"/>
              <w:numPr>
                <w:ilvl w:val="0"/>
                <w:numId w:val="0"/>
              </w:numPr>
              <w:ind w:left="70"/>
              <w:rPr>
                <w:sz w:val="20"/>
                <w:szCs w:val="20"/>
              </w:rPr>
            </w:pPr>
            <w:r w:rsidRPr="00F370BA">
              <w:rPr>
                <w:sz w:val="20"/>
                <w:szCs w:val="20"/>
              </w:rPr>
              <w:t xml:space="preserve">The final output of all Reviews will be published for public comment. </w:t>
            </w:r>
            <w:r w:rsidR="00CE6870" w:rsidRPr="00F370BA">
              <w:rPr>
                <w:sz w:val="20"/>
                <w:szCs w:val="20"/>
              </w:rPr>
              <w:t xml:space="preserve">The final report should include an explanation of how public comments were considered. </w:t>
            </w:r>
            <w:r w:rsidRPr="00F370BA">
              <w:rPr>
                <w:sz w:val="20"/>
                <w:szCs w:val="20"/>
              </w:rPr>
              <w:t>The Board shall consider approval and begin implementation within six months of receipt of the recommendations.</w:t>
            </w:r>
          </w:p>
        </w:tc>
        <w:tc>
          <w:tcPr>
            <w:tcW w:w="3870" w:type="dxa"/>
          </w:tcPr>
          <w:p w14:paraId="123EF386" w14:textId="23FF446F" w:rsidR="00914893" w:rsidRPr="00F370BA" w:rsidRDefault="00914893" w:rsidP="007277CE">
            <w:pPr>
              <w:pStyle w:val="Numbering"/>
              <w:numPr>
                <w:ilvl w:val="0"/>
                <w:numId w:val="0"/>
              </w:numPr>
              <w:ind w:left="-160"/>
              <w:rPr>
                <w:sz w:val="20"/>
                <w:szCs w:val="20"/>
              </w:rPr>
            </w:pPr>
            <w:r w:rsidRPr="00F370BA">
              <w:rPr>
                <w:sz w:val="20"/>
                <w:szCs w:val="20"/>
              </w:rPr>
              <w:t>AoC requires Board t</w:t>
            </w:r>
            <w:r w:rsidR="007277CE" w:rsidRPr="00F370BA">
              <w:rPr>
                <w:sz w:val="20"/>
                <w:szCs w:val="20"/>
              </w:rPr>
              <w:t>o ‘take action’ within 6 months.  In practice, the board has considered review recommendations and either approved or explained why it would not approve each recommendation.</w:t>
            </w:r>
          </w:p>
        </w:tc>
      </w:tr>
    </w:tbl>
    <w:p w14:paraId="36D59494" w14:textId="77777777" w:rsidR="00E60CA5" w:rsidRDefault="00E60CA5" w:rsidP="00465389">
      <w:pPr>
        <w:pStyle w:val="Text"/>
      </w:pPr>
    </w:p>
    <w:p w14:paraId="525B81A7" w14:textId="127B0729" w:rsidR="0019126B" w:rsidRDefault="00E60CA5" w:rsidP="00465389">
      <w:pPr>
        <w:pStyle w:val="Text"/>
      </w:pPr>
      <w:r>
        <w:t>ICANN staff has committed to provide Operational Standards for workable reviews.</w:t>
      </w:r>
    </w:p>
    <w:p w14:paraId="106D893F" w14:textId="57DE8C8B" w:rsidR="00F70C08" w:rsidRDefault="00F70C08" w:rsidP="00465389">
      <w:pPr>
        <w:pStyle w:val="Text"/>
      </w:pPr>
      <w:r>
        <w:t xml:space="preserve">Regarding composition and size of review teams, </w:t>
      </w:r>
      <w:r w:rsidR="00E60CA5">
        <w:t xml:space="preserve">some </w:t>
      </w:r>
      <w:r>
        <w:t xml:space="preserve">CCWG participants requested publication of ICANN staff summary of </w:t>
      </w:r>
      <w:r w:rsidR="0019126B">
        <w:t>composition</w:t>
      </w:r>
      <w:r>
        <w:t xml:space="preserve"> of prior AoC Rev</w:t>
      </w:r>
      <w:r w:rsidR="00E60CA5">
        <w:t>iew Teams, partly to indicate that 21 review team members from AC/SOs could be more than needed.</w:t>
      </w:r>
    </w:p>
    <w:tbl>
      <w:tblPr>
        <w:tblStyle w:val="TableGrid"/>
        <w:tblW w:w="0" w:type="auto"/>
        <w:tblInd w:w="468" w:type="dxa"/>
        <w:tblLook w:val="04A0" w:firstRow="1" w:lastRow="0" w:firstColumn="1" w:lastColumn="0" w:noHBand="0" w:noVBand="1"/>
      </w:tblPr>
      <w:tblGrid>
        <w:gridCol w:w="4055"/>
        <w:gridCol w:w="4333"/>
      </w:tblGrid>
      <w:tr w:rsidR="00F70C08" w:rsidRPr="00F70C08" w14:paraId="15A82654" w14:textId="77777777" w:rsidTr="00F70C08">
        <w:tc>
          <w:tcPr>
            <w:tcW w:w="4320" w:type="dxa"/>
          </w:tcPr>
          <w:p w14:paraId="31F2962D" w14:textId="2AF4A0E8" w:rsidR="00F70C08" w:rsidRPr="00F70C08" w:rsidRDefault="00F70C08" w:rsidP="00F70C08">
            <w:pPr>
              <w:spacing w:before="60" w:after="0"/>
              <w:rPr>
                <w:sz w:val="20"/>
                <w:szCs w:val="20"/>
              </w:rPr>
            </w:pPr>
            <w:r w:rsidRPr="00F70C08">
              <w:rPr>
                <w:b/>
                <w:sz w:val="20"/>
                <w:szCs w:val="20"/>
              </w:rPr>
              <w:t>ATRT1</w:t>
            </w:r>
            <w:r w:rsidR="00C579EC">
              <w:rPr>
                <w:sz w:val="20"/>
                <w:szCs w:val="20"/>
              </w:rPr>
              <w:t xml:space="preserve"> (14</w:t>
            </w:r>
            <w:r w:rsidRPr="00F70C08">
              <w:rPr>
                <w:sz w:val="20"/>
                <w:szCs w:val="20"/>
              </w:rPr>
              <w:t xml:space="preserve"> people</w:t>
            </w:r>
            <w:r w:rsidR="00C579EC">
              <w:rPr>
                <w:sz w:val="20"/>
                <w:szCs w:val="20"/>
              </w:rPr>
              <w:t>; 12</w:t>
            </w:r>
            <w:r>
              <w:rPr>
                <w:sz w:val="20"/>
                <w:szCs w:val="20"/>
              </w:rPr>
              <w:t xml:space="preserve"> from AC/SOs</w:t>
            </w:r>
            <w:r w:rsidRPr="00F70C08">
              <w:rPr>
                <w:sz w:val="20"/>
                <w:szCs w:val="20"/>
              </w:rPr>
              <w:t xml:space="preserve">): </w:t>
            </w:r>
          </w:p>
          <w:p w14:paraId="4277F90A" w14:textId="5E4AE875" w:rsidR="00F70C08" w:rsidRPr="00F70C08" w:rsidRDefault="00F70C08" w:rsidP="00F70C08">
            <w:pPr>
              <w:spacing w:before="60" w:after="0"/>
              <w:ind w:left="252"/>
              <w:rPr>
                <w:sz w:val="20"/>
                <w:szCs w:val="20"/>
              </w:rPr>
            </w:pPr>
            <w:r w:rsidRPr="00F70C08">
              <w:rPr>
                <w:sz w:val="20"/>
                <w:szCs w:val="20"/>
              </w:rPr>
              <w:t>1 ALAC</w:t>
            </w:r>
          </w:p>
          <w:p w14:paraId="0F99D36C" w14:textId="7AC4B834" w:rsidR="00F70C08" w:rsidRPr="00F70C08" w:rsidRDefault="00F70C08" w:rsidP="00F70C08">
            <w:pPr>
              <w:spacing w:before="60" w:after="0"/>
              <w:ind w:left="252"/>
              <w:rPr>
                <w:sz w:val="20"/>
                <w:szCs w:val="20"/>
              </w:rPr>
            </w:pPr>
            <w:r w:rsidRPr="00F70C08">
              <w:rPr>
                <w:sz w:val="20"/>
                <w:szCs w:val="20"/>
              </w:rPr>
              <w:t>2 GAC</w:t>
            </w:r>
          </w:p>
          <w:p w14:paraId="1B508119" w14:textId="67DB8BB7" w:rsidR="00F70C08" w:rsidRPr="00F70C08" w:rsidRDefault="00F70C08" w:rsidP="00F70C08">
            <w:pPr>
              <w:spacing w:before="60" w:after="0"/>
              <w:ind w:left="252"/>
              <w:rPr>
                <w:sz w:val="20"/>
                <w:szCs w:val="20"/>
              </w:rPr>
            </w:pPr>
            <w:r w:rsidRPr="00F70C08">
              <w:rPr>
                <w:sz w:val="20"/>
                <w:szCs w:val="20"/>
              </w:rPr>
              <w:t>1 ASO</w:t>
            </w:r>
          </w:p>
          <w:p w14:paraId="7A754BA9" w14:textId="6C8BC9D0" w:rsidR="00F70C08" w:rsidRPr="00F70C08" w:rsidRDefault="00F70C08" w:rsidP="00F70C08">
            <w:pPr>
              <w:spacing w:before="60" w:after="0"/>
              <w:ind w:left="252"/>
              <w:rPr>
                <w:sz w:val="20"/>
                <w:szCs w:val="20"/>
              </w:rPr>
            </w:pPr>
            <w:r w:rsidRPr="00F70C08">
              <w:rPr>
                <w:sz w:val="20"/>
                <w:szCs w:val="20"/>
              </w:rPr>
              <w:t>3 ccNSO</w:t>
            </w:r>
          </w:p>
          <w:p w14:paraId="00E4795A" w14:textId="6AEED5D8" w:rsidR="00F70C08" w:rsidRPr="00F70C08" w:rsidRDefault="00F70C08" w:rsidP="00F70C08">
            <w:pPr>
              <w:spacing w:before="60" w:after="0"/>
              <w:ind w:left="252"/>
              <w:rPr>
                <w:sz w:val="20"/>
                <w:szCs w:val="20"/>
              </w:rPr>
            </w:pPr>
            <w:r w:rsidRPr="00F70C08">
              <w:rPr>
                <w:sz w:val="20"/>
                <w:szCs w:val="20"/>
              </w:rPr>
              <w:t>5 GNSO</w:t>
            </w:r>
          </w:p>
          <w:p w14:paraId="7C01F697" w14:textId="6853B2B6" w:rsidR="00F70C08" w:rsidRPr="00F70C08" w:rsidRDefault="00F70C08" w:rsidP="00F70C08">
            <w:pPr>
              <w:spacing w:before="60" w:after="0"/>
              <w:ind w:left="252"/>
              <w:rPr>
                <w:sz w:val="20"/>
                <w:szCs w:val="20"/>
              </w:rPr>
            </w:pPr>
            <w:r w:rsidRPr="00F70C08">
              <w:rPr>
                <w:sz w:val="20"/>
                <w:szCs w:val="20"/>
              </w:rPr>
              <w:t>ICANN Board Chair or designee</w:t>
            </w:r>
          </w:p>
          <w:p w14:paraId="725DEB80" w14:textId="6DFBE873" w:rsidR="00F70C08" w:rsidRPr="00F70C08" w:rsidRDefault="00F70C08" w:rsidP="00F70C08">
            <w:pPr>
              <w:spacing w:before="60" w:after="0"/>
              <w:ind w:left="252"/>
              <w:rPr>
                <w:sz w:val="20"/>
                <w:szCs w:val="20"/>
              </w:rPr>
            </w:pPr>
            <w:r w:rsidRPr="00F70C08">
              <w:rPr>
                <w:sz w:val="20"/>
                <w:szCs w:val="20"/>
              </w:rPr>
              <w:t>Assistant Secretary for NTIA</w:t>
            </w:r>
          </w:p>
          <w:p w14:paraId="18207607" w14:textId="77777777" w:rsidR="00F70C08" w:rsidRPr="00F70C08" w:rsidRDefault="00F70C08" w:rsidP="00F70C08">
            <w:pPr>
              <w:spacing w:before="60" w:after="0"/>
              <w:rPr>
                <w:sz w:val="20"/>
                <w:szCs w:val="20"/>
              </w:rPr>
            </w:pPr>
          </w:p>
        </w:tc>
        <w:tc>
          <w:tcPr>
            <w:tcW w:w="4590" w:type="dxa"/>
          </w:tcPr>
          <w:p w14:paraId="305CAD01" w14:textId="7D257D93" w:rsidR="00F70C08" w:rsidRPr="00F70C08" w:rsidRDefault="00F70C08" w:rsidP="00F70C08">
            <w:pPr>
              <w:spacing w:before="60" w:after="0"/>
              <w:ind w:left="72"/>
              <w:rPr>
                <w:sz w:val="20"/>
                <w:szCs w:val="20"/>
              </w:rPr>
            </w:pPr>
            <w:r w:rsidRPr="00F70C08">
              <w:rPr>
                <w:b/>
                <w:sz w:val="20"/>
                <w:szCs w:val="20"/>
              </w:rPr>
              <w:t>ATRT2</w:t>
            </w:r>
            <w:r w:rsidR="00C579EC">
              <w:rPr>
                <w:sz w:val="20"/>
                <w:szCs w:val="20"/>
              </w:rPr>
              <w:t xml:space="preserve"> (15</w:t>
            </w:r>
            <w:r w:rsidRPr="00F70C08">
              <w:rPr>
                <w:sz w:val="20"/>
                <w:szCs w:val="20"/>
              </w:rPr>
              <w:t xml:space="preserve"> people</w:t>
            </w:r>
            <w:r w:rsidR="00C579EC">
              <w:rPr>
                <w:sz w:val="20"/>
                <w:szCs w:val="20"/>
              </w:rPr>
              <w:t>; 11</w:t>
            </w:r>
            <w:r>
              <w:rPr>
                <w:sz w:val="20"/>
                <w:szCs w:val="20"/>
              </w:rPr>
              <w:t xml:space="preserve"> from AC/SOs)</w:t>
            </w:r>
          </w:p>
          <w:p w14:paraId="6E65DD9F" w14:textId="665DD519" w:rsidR="00F70C08" w:rsidRPr="00F70C08" w:rsidRDefault="00F70C08" w:rsidP="00F70C08">
            <w:pPr>
              <w:spacing w:before="60" w:after="0"/>
              <w:ind w:left="342"/>
              <w:rPr>
                <w:sz w:val="20"/>
                <w:szCs w:val="20"/>
              </w:rPr>
            </w:pPr>
            <w:r w:rsidRPr="00F70C08">
              <w:rPr>
                <w:sz w:val="20"/>
                <w:szCs w:val="20"/>
              </w:rPr>
              <w:t>2 ALAC</w:t>
            </w:r>
          </w:p>
          <w:p w14:paraId="54F409EE" w14:textId="38C51EC9" w:rsidR="00F70C08" w:rsidRPr="00F70C08" w:rsidRDefault="00F70C08" w:rsidP="00F70C08">
            <w:pPr>
              <w:spacing w:before="60" w:after="0"/>
              <w:ind w:left="342"/>
              <w:rPr>
                <w:sz w:val="20"/>
                <w:szCs w:val="20"/>
              </w:rPr>
            </w:pPr>
            <w:r w:rsidRPr="00F70C08">
              <w:rPr>
                <w:sz w:val="20"/>
                <w:szCs w:val="20"/>
              </w:rPr>
              <w:t xml:space="preserve">3 GAC </w:t>
            </w:r>
          </w:p>
          <w:p w14:paraId="312DE254" w14:textId="7D3AE4C6" w:rsidR="00F70C08" w:rsidRPr="00F70C08" w:rsidRDefault="00F70C08" w:rsidP="00F70C08">
            <w:pPr>
              <w:spacing w:before="60" w:after="0"/>
              <w:ind w:left="342"/>
              <w:rPr>
                <w:sz w:val="20"/>
                <w:szCs w:val="20"/>
              </w:rPr>
            </w:pPr>
            <w:r w:rsidRPr="00F70C08">
              <w:rPr>
                <w:sz w:val="20"/>
                <w:szCs w:val="20"/>
              </w:rPr>
              <w:t>1 SSAC</w:t>
            </w:r>
          </w:p>
          <w:p w14:paraId="48507573" w14:textId="57678560" w:rsidR="00F70C08" w:rsidRPr="00F70C08" w:rsidRDefault="00F70C08" w:rsidP="00F70C08">
            <w:pPr>
              <w:spacing w:before="60" w:after="0"/>
              <w:ind w:left="342"/>
              <w:rPr>
                <w:sz w:val="20"/>
                <w:szCs w:val="20"/>
              </w:rPr>
            </w:pPr>
            <w:r w:rsidRPr="00F70C08">
              <w:rPr>
                <w:sz w:val="20"/>
                <w:szCs w:val="20"/>
              </w:rPr>
              <w:t>1 ASO</w:t>
            </w:r>
          </w:p>
          <w:p w14:paraId="51B69AD0" w14:textId="3974A10C" w:rsidR="00F70C08" w:rsidRPr="00F70C08" w:rsidRDefault="00F70C08" w:rsidP="00F70C08">
            <w:pPr>
              <w:spacing w:before="60" w:after="0"/>
              <w:ind w:left="342"/>
              <w:rPr>
                <w:sz w:val="20"/>
                <w:szCs w:val="20"/>
              </w:rPr>
            </w:pPr>
            <w:r w:rsidRPr="00F70C08">
              <w:rPr>
                <w:sz w:val="20"/>
                <w:szCs w:val="20"/>
              </w:rPr>
              <w:t>2 ccNSO</w:t>
            </w:r>
          </w:p>
          <w:p w14:paraId="655DF5D3" w14:textId="4A5315C9" w:rsidR="00F70C08" w:rsidRPr="00F70C08" w:rsidRDefault="00F70C08" w:rsidP="00F70C08">
            <w:pPr>
              <w:spacing w:before="60" w:after="0"/>
              <w:ind w:left="342"/>
              <w:rPr>
                <w:sz w:val="20"/>
                <w:szCs w:val="20"/>
              </w:rPr>
            </w:pPr>
            <w:r w:rsidRPr="00F70C08">
              <w:rPr>
                <w:sz w:val="20"/>
                <w:szCs w:val="20"/>
              </w:rPr>
              <w:t>2 GNSO</w:t>
            </w:r>
          </w:p>
          <w:p w14:paraId="15F494D5" w14:textId="77777777" w:rsidR="00F70C08" w:rsidRPr="00F70C08" w:rsidRDefault="00F70C08" w:rsidP="00F70C08">
            <w:pPr>
              <w:spacing w:before="60" w:after="0"/>
              <w:ind w:left="342"/>
              <w:rPr>
                <w:sz w:val="20"/>
                <w:szCs w:val="20"/>
              </w:rPr>
            </w:pPr>
            <w:r w:rsidRPr="00F70C08">
              <w:rPr>
                <w:sz w:val="20"/>
                <w:szCs w:val="20"/>
              </w:rPr>
              <w:t>2 Experts</w:t>
            </w:r>
          </w:p>
          <w:p w14:paraId="32EDF45B" w14:textId="55F9AF73" w:rsidR="00F70C08" w:rsidRPr="00F70C08" w:rsidRDefault="00F70C08" w:rsidP="00F70C08">
            <w:pPr>
              <w:spacing w:before="60" w:after="0"/>
              <w:ind w:left="342"/>
              <w:rPr>
                <w:sz w:val="20"/>
                <w:szCs w:val="20"/>
              </w:rPr>
            </w:pPr>
            <w:r w:rsidRPr="00F70C08">
              <w:rPr>
                <w:sz w:val="20"/>
                <w:szCs w:val="20"/>
              </w:rPr>
              <w:t>ICANN Board Chairman or designee</w:t>
            </w:r>
          </w:p>
          <w:p w14:paraId="6DC41009" w14:textId="66CCB906" w:rsidR="00F70C08" w:rsidRPr="00F70C08" w:rsidRDefault="00F70C08" w:rsidP="00F70C08">
            <w:pPr>
              <w:spacing w:before="60" w:after="0"/>
              <w:ind w:left="342"/>
              <w:rPr>
                <w:sz w:val="20"/>
                <w:szCs w:val="20"/>
              </w:rPr>
            </w:pPr>
            <w:r w:rsidRPr="00F70C08">
              <w:rPr>
                <w:sz w:val="20"/>
                <w:szCs w:val="20"/>
              </w:rPr>
              <w:t>Assistant Secretary for NTIA</w:t>
            </w:r>
          </w:p>
        </w:tc>
      </w:tr>
      <w:tr w:rsidR="00F70C08" w:rsidRPr="00F70C08" w14:paraId="5DF8C158" w14:textId="77777777" w:rsidTr="00F70C08">
        <w:trPr>
          <w:cantSplit/>
        </w:trPr>
        <w:tc>
          <w:tcPr>
            <w:tcW w:w="4320" w:type="dxa"/>
          </w:tcPr>
          <w:p w14:paraId="6ED31E22" w14:textId="1E401909" w:rsidR="00F70C08" w:rsidRPr="00F70C08" w:rsidRDefault="00F70C08" w:rsidP="00F70C08">
            <w:pPr>
              <w:spacing w:before="60" w:after="0"/>
              <w:rPr>
                <w:sz w:val="20"/>
                <w:szCs w:val="20"/>
              </w:rPr>
            </w:pPr>
            <w:r w:rsidRPr="00F70C08">
              <w:rPr>
                <w:b/>
                <w:sz w:val="20"/>
                <w:szCs w:val="20"/>
              </w:rPr>
              <w:t xml:space="preserve">SSR </w:t>
            </w:r>
            <w:r w:rsidRPr="00F70C08">
              <w:rPr>
                <w:sz w:val="20"/>
                <w:szCs w:val="20"/>
              </w:rPr>
              <w:t>(1</w:t>
            </w:r>
            <w:r w:rsidR="00C579EC">
              <w:rPr>
                <w:sz w:val="20"/>
                <w:szCs w:val="20"/>
              </w:rPr>
              <w:t>5</w:t>
            </w:r>
            <w:r w:rsidRPr="00F70C08">
              <w:rPr>
                <w:sz w:val="20"/>
                <w:szCs w:val="20"/>
              </w:rPr>
              <w:t xml:space="preserve"> people</w:t>
            </w:r>
            <w:r w:rsidR="00C579EC">
              <w:rPr>
                <w:sz w:val="20"/>
                <w:szCs w:val="20"/>
              </w:rPr>
              <w:t>; 12</w:t>
            </w:r>
            <w:r>
              <w:rPr>
                <w:sz w:val="20"/>
                <w:szCs w:val="20"/>
              </w:rPr>
              <w:t xml:space="preserve"> from AC/SOs</w:t>
            </w:r>
            <w:r w:rsidRPr="00F70C08">
              <w:rPr>
                <w:sz w:val="20"/>
                <w:szCs w:val="20"/>
              </w:rPr>
              <w:t xml:space="preserve">): </w:t>
            </w:r>
          </w:p>
          <w:p w14:paraId="3437F257" w14:textId="62FE7E20" w:rsidR="00F70C08" w:rsidRPr="00F70C08" w:rsidRDefault="00F70C08" w:rsidP="00C579EC">
            <w:pPr>
              <w:spacing w:before="60" w:after="0"/>
              <w:ind w:left="252"/>
              <w:rPr>
                <w:sz w:val="20"/>
                <w:szCs w:val="20"/>
              </w:rPr>
            </w:pPr>
            <w:r w:rsidRPr="00F70C08">
              <w:rPr>
                <w:sz w:val="20"/>
                <w:szCs w:val="20"/>
              </w:rPr>
              <w:t>1 ALAC</w:t>
            </w:r>
          </w:p>
          <w:p w14:paraId="6158D456" w14:textId="58398E28" w:rsidR="00F70C08" w:rsidRPr="00F70C08" w:rsidRDefault="00F70C08" w:rsidP="00C579EC">
            <w:pPr>
              <w:spacing w:before="60" w:after="0"/>
              <w:ind w:left="252"/>
              <w:rPr>
                <w:sz w:val="20"/>
                <w:szCs w:val="20"/>
              </w:rPr>
            </w:pPr>
            <w:r w:rsidRPr="00F70C08">
              <w:rPr>
                <w:sz w:val="20"/>
                <w:szCs w:val="20"/>
              </w:rPr>
              <w:t>1 GAC</w:t>
            </w:r>
          </w:p>
          <w:p w14:paraId="27D6D431" w14:textId="330F6A07" w:rsidR="00F70C08" w:rsidRPr="00F70C08" w:rsidRDefault="00F70C08" w:rsidP="00C579EC">
            <w:pPr>
              <w:spacing w:before="60" w:after="0"/>
              <w:ind w:left="252"/>
              <w:rPr>
                <w:sz w:val="20"/>
                <w:szCs w:val="20"/>
              </w:rPr>
            </w:pPr>
            <w:r w:rsidRPr="00F70C08">
              <w:rPr>
                <w:sz w:val="20"/>
                <w:szCs w:val="20"/>
              </w:rPr>
              <w:t>2 SSAC</w:t>
            </w:r>
          </w:p>
          <w:p w14:paraId="77971352" w14:textId="71634BAF" w:rsidR="00F70C08" w:rsidRPr="00F70C08" w:rsidRDefault="00F70C08" w:rsidP="00C579EC">
            <w:pPr>
              <w:spacing w:before="60" w:after="0"/>
              <w:ind w:left="252"/>
              <w:rPr>
                <w:sz w:val="20"/>
                <w:szCs w:val="20"/>
              </w:rPr>
            </w:pPr>
            <w:r w:rsidRPr="00F70C08">
              <w:rPr>
                <w:sz w:val="20"/>
                <w:szCs w:val="20"/>
              </w:rPr>
              <w:t>1 RSSAC</w:t>
            </w:r>
          </w:p>
          <w:p w14:paraId="79CD217A" w14:textId="095B5ACF" w:rsidR="00F70C08" w:rsidRPr="00F70C08" w:rsidRDefault="00F70C08" w:rsidP="00C579EC">
            <w:pPr>
              <w:spacing w:before="60" w:after="0"/>
              <w:ind w:left="252"/>
              <w:rPr>
                <w:sz w:val="20"/>
                <w:szCs w:val="20"/>
              </w:rPr>
            </w:pPr>
            <w:r w:rsidRPr="00F70C08">
              <w:rPr>
                <w:sz w:val="20"/>
                <w:szCs w:val="20"/>
              </w:rPr>
              <w:t>2 ASO</w:t>
            </w:r>
          </w:p>
          <w:p w14:paraId="4D8A4CB7" w14:textId="10B76FC6" w:rsidR="00F70C08" w:rsidRPr="00F70C08" w:rsidRDefault="00F70C08" w:rsidP="00C579EC">
            <w:pPr>
              <w:spacing w:before="60" w:after="0"/>
              <w:ind w:left="252"/>
              <w:rPr>
                <w:sz w:val="20"/>
                <w:szCs w:val="20"/>
              </w:rPr>
            </w:pPr>
            <w:r w:rsidRPr="00F70C08">
              <w:rPr>
                <w:sz w:val="20"/>
                <w:szCs w:val="20"/>
              </w:rPr>
              <w:t>3 ccNSO</w:t>
            </w:r>
          </w:p>
          <w:p w14:paraId="4DADEB03" w14:textId="6847B7B9" w:rsidR="00F70C08" w:rsidRPr="00F70C08" w:rsidRDefault="00F70C08" w:rsidP="00C579EC">
            <w:pPr>
              <w:spacing w:before="60" w:after="0"/>
              <w:ind w:left="252"/>
              <w:rPr>
                <w:sz w:val="20"/>
                <w:szCs w:val="20"/>
              </w:rPr>
            </w:pPr>
            <w:r w:rsidRPr="00F70C08">
              <w:rPr>
                <w:sz w:val="20"/>
                <w:szCs w:val="20"/>
              </w:rPr>
              <w:t>2 GNSO</w:t>
            </w:r>
          </w:p>
          <w:p w14:paraId="241DA676" w14:textId="12974894" w:rsidR="00F70C08" w:rsidRPr="00F70C08" w:rsidRDefault="00F70C08" w:rsidP="00C579EC">
            <w:pPr>
              <w:spacing w:before="60" w:after="0"/>
              <w:ind w:left="252"/>
              <w:rPr>
                <w:sz w:val="20"/>
                <w:szCs w:val="20"/>
              </w:rPr>
            </w:pPr>
            <w:r w:rsidRPr="00F70C08">
              <w:rPr>
                <w:sz w:val="20"/>
                <w:szCs w:val="20"/>
              </w:rPr>
              <w:t>2 Experts</w:t>
            </w:r>
          </w:p>
          <w:p w14:paraId="138D0EBA" w14:textId="1ACBAC22" w:rsidR="00F70C08" w:rsidRPr="00F70C08" w:rsidRDefault="00F70C08" w:rsidP="00C579EC">
            <w:pPr>
              <w:spacing w:before="60" w:after="0"/>
              <w:ind w:left="252"/>
              <w:rPr>
                <w:sz w:val="20"/>
                <w:szCs w:val="20"/>
              </w:rPr>
            </w:pPr>
            <w:r w:rsidRPr="00F70C08">
              <w:rPr>
                <w:sz w:val="20"/>
                <w:szCs w:val="20"/>
              </w:rPr>
              <w:t>ICANN CEO or designee</w:t>
            </w:r>
          </w:p>
        </w:tc>
        <w:tc>
          <w:tcPr>
            <w:tcW w:w="4590" w:type="dxa"/>
          </w:tcPr>
          <w:p w14:paraId="257AA873" w14:textId="0F67C0C7" w:rsidR="00F70C08" w:rsidRPr="00F70C08" w:rsidRDefault="00F70C08" w:rsidP="00F70C08">
            <w:pPr>
              <w:spacing w:before="60" w:after="0"/>
              <w:ind w:left="72"/>
              <w:rPr>
                <w:sz w:val="20"/>
                <w:szCs w:val="20"/>
              </w:rPr>
            </w:pPr>
            <w:r w:rsidRPr="00F70C08">
              <w:rPr>
                <w:b/>
                <w:sz w:val="20"/>
                <w:szCs w:val="20"/>
              </w:rPr>
              <w:t>WHOIS</w:t>
            </w:r>
            <w:r w:rsidR="00C579EC">
              <w:rPr>
                <w:sz w:val="20"/>
                <w:szCs w:val="20"/>
              </w:rPr>
              <w:t xml:space="preserve"> (13</w:t>
            </w:r>
            <w:r w:rsidRPr="00F70C08">
              <w:rPr>
                <w:sz w:val="20"/>
                <w:szCs w:val="20"/>
              </w:rPr>
              <w:t xml:space="preserve"> people</w:t>
            </w:r>
            <w:r>
              <w:rPr>
                <w:sz w:val="20"/>
                <w:szCs w:val="20"/>
              </w:rPr>
              <w:t xml:space="preserve">; </w:t>
            </w:r>
            <w:r w:rsidR="00C579EC">
              <w:rPr>
                <w:sz w:val="20"/>
                <w:szCs w:val="20"/>
              </w:rPr>
              <w:t>9 from AC/SOs</w:t>
            </w:r>
            <w:r w:rsidRPr="00F70C08">
              <w:rPr>
                <w:sz w:val="20"/>
                <w:szCs w:val="20"/>
              </w:rPr>
              <w:t xml:space="preserve">): </w:t>
            </w:r>
          </w:p>
          <w:p w14:paraId="6D9D0410" w14:textId="27F664C5" w:rsidR="00F70C08" w:rsidRPr="00F70C08" w:rsidRDefault="00F70C08" w:rsidP="00C579EC">
            <w:pPr>
              <w:spacing w:before="60" w:after="0"/>
              <w:ind w:left="342"/>
              <w:rPr>
                <w:sz w:val="20"/>
                <w:szCs w:val="20"/>
              </w:rPr>
            </w:pPr>
            <w:r w:rsidRPr="00F70C08">
              <w:rPr>
                <w:sz w:val="20"/>
                <w:szCs w:val="20"/>
              </w:rPr>
              <w:t>2 ALAC</w:t>
            </w:r>
          </w:p>
          <w:p w14:paraId="3BB1D42C" w14:textId="263FC156" w:rsidR="00F70C08" w:rsidRPr="00F70C08" w:rsidRDefault="00F70C08" w:rsidP="00C579EC">
            <w:pPr>
              <w:spacing w:before="60" w:after="0"/>
              <w:ind w:left="342"/>
              <w:rPr>
                <w:sz w:val="20"/>
                <w:szCs w:val="20"/>
              </w:rPr>
            </w:pPr>
            <w:r w:rsidRPr="00F70C08">
              <w:rPr>
                <w:sz w:val="20"/>
                <w:szCs w:val="20"/>
              </w:rPr>
              <w:t>1 GAC</w:t>
            </w:r>
          </w:p>
          <w:p w14:paraId="3025674A" w14:textId="76E8CD7D" w:rsidR="00F70C08" w:rsidRPr="00F70C08" w:rsidRDefault="00F70C08" w:rsidP="00C579EC">
            <w:pPr>
              <w:spacing w:before="60" w:after="0"/>
              <w:ind w:left="342"/>
              <w:rPr>
                <w:sz w:val="20"/>
                <w:szCs w:val="20"/>
              </w:rPr>
            </w:pPr>
            <w:r w:rsidRPr="00F70C08">
              <w:rPr>
                <w:sz w:val="20"/>
                <w:szCs w:val="20"/>
              </w:rPr>
              <w:t>1 SSAC</w:t>
            </w:r>
          </w:p>
          <w:p w14:paraId="25F84A6A" w14:textId="5C203F07" w:rsidR="00F70C08" w:rsidRPr="00F70C08" w:rsidRDefault="00F70C08" w:rsidP="00C579EC">
            <w:pPr>
              <w:spacing w:before="60" w:after="0"/>
              <w:ind w:left="342"/>
              <w:rPr>
                <w:sz w:val="20"/>
                <w:szCs w:val="20"/>
              </w:rPr>
            </w:pPr>
            <w:r w:rsidRPr="00F70C08">
              <w:rPr>
                <w:sz w:val="20"/>
                <w:szCs w:val="20"/>
              </w:rPr>
              <w:t>1 ASO</w:t>
            </w:r>
          </w:p>
          <w:p w14:paraId="414B97C1" w14:textId="5C1ECAE1" w:rsidR="00F70C08" w:rsidRPr="00F70C08" w:rsidRDefault="00F70C08" w:rsidP="00C579EC">
            <w:pPr>
              <w:spacing w:before="60" w:after="0"/>
              <w:ind w:left="342"/>
              <w:rPr>
                <w:sz w:val="20"/>
                <w:szCs w:val="20"/>
              </w:rPr>
            </w:pPr>
            <w:r w:rsidRPr="00F70C08">
              <w:rPr>
                <w:sz w:val="20"/>
                <w:szCs w:val="20"/>
              </w:rPr>
              <w:t>1 ccNSO</w:t>
            </w:r>
          </w:p>
          <w:p w14:paraId="0C099963" w14:textId="245A03B0" w:rsidR="00F70C08" w:rsidRPr="00F70C08" w:rsidRDefault="00F70C08" w:rsidP="00C579EC">
            <w:pPr>
              <w:spacing w:before="60" w:after="0"/>
              <w:ind w:left="342"/>
              <w:rPr>
                <w:sz w:val="20"/>
                <w:szCs w:val="20"/>
              </w:rPr>
            </w:pPr>
            <w:r w:rsidRPr="00F70C08">
              <w:rPr>
                <w:sz w:val="20"/>
                <w:szCs w:val="20"/>
              </w:rPr>
              <w:t>3 GNSO</w:t>
            </w:r>
          </w:p>
          <w:p w14:paraId="674E2F5F" w14:textId="05D7FE93" w:rsidR="00F70C08" w:rsidRPr="00F70C08" w:rsidRDefault="00F70C08" w:rsidP="00C579EC">
            <w:pPr>
              <w:spacing w:before="60" w:after="0"/>
              <w:ind w:left="342"/>
              <w:rPr>
                <w:sz w:val="20"/>
                <w:szCs w:val="20"/>
              </w:rPr>
            </w:pPr>
            <w:r w:rsidRPr="00F70C08">
              <w:rPr>
                <w:sz w:val="20"/>
                <w:szCs w:val="20"/>
              </w:rPr>
              <w:t xml:space="preserve">3 Experts / Law Enforcement </w:t>
            </w:r>
          </w:p>
          <w:p w14:paraId="641C5BE2" w14:textId="2C5996DD" w:rsidR="00F70C08" w:rsidRPr="00F70C08" w:rsidRDefault="00F70C08" w:rsidP="00C579EC">
            <w:pPr>
              <w:spacing w:before="60" w:after="0"/>
              <w:ind w:left="342"/>
              <w:rPr>
                <w:sz w:val="20"/>
                <w:szCs w:val="20"/>
              </w:rPr>
            </w:pPr>
            <w:r w:rsidRPr="00F70C08">
              <w:rPr>
                <w:sz w:val="20"/>
                <w:szCs w:val="20"/>
              </w:rPr>
              <w:t>ICANN CEO or designated nominee</w:t>
            </w:r>
          </w:p>
          <w:p w14:paraId="2EFDE9A2" w14:textId="77777777" w:rsidR="00F70C08" w:rsidRPr="00F70C08" w:rsidRDefault="00F70C08" w:rsidP="00F70C08">
            <w:pPr>
              <w:spacing w:before="60" w:after="0"/>
              <w:ind w:left="72"/>
              <w:rPr>
                <w:sz w:val="20"/>
                <w:szCs w:val="20"/>
              </w:rPr>
            </w:pPr>
          </w:p>
        </w:tc>
      </w:tr>
    </w:tbl>
    <w:p w14:paraId="1510ABB6" w14:textId="77777777" w:rsidR="00F70C08" w:rsidRDefault="00F70C08" w:rsidP="00465389">
      <w:pPr>
        <w:pStyle w:val="Text"/>
      </w:pPr>
    </w:p>
    <w:p w14:paraId="65473682" w14:textId="0DDB415A" w:rsidR="00F70C08" w:rsidRDefault="00F70C08">
      <w:pPr>
        <w:spacing w:before="0" w:after="0"/>
        <w:rPr>
          <w:szCs w:val="22"/>
        </w:rPr>
      </w:pPr>
      <w:r>
        <w:br w:type="page"/>
      </w:r>
    </w:p>
    <w:tbl>
      <w:tblPr>
        <w:tblStyle w:val="TableGrid"/>
        <w:tblW w:w="9990" w:type="dxa"/>
        <w:tblInd w:w="110" w:type="dxa"/>
        <w:tblCellMar>
          <w:left w:w="200" w:type="dxa"/>
        </w:tblCellMar>
        <w:tblLook w:val="04A0" w:firstRow="1" w:lastRow="0" w:firstColumn="1" w:lastColumn="0" w:noHBand="0" w:noVBand="1"/>
      </w:tblPr>
      <w:tblGrid>
        <w:gridCol w:w="5760"/>
        <w:gridCol w:w="4230"/>
      </w:tblGrid>
      <w:tr w:rsidR="00914893" w14:paraId="5C693D85" w14:textId="77777777" w:rsidTr="00FA6130">
        <w:trPr>
          <w:tblHeader/>
        </w:trPr>
        <w:tc>
          <w:tcPr>
            <w:tcW w:w="5760" w:type="dxa"/>
            <w:shd w:val="clear" w:color="auto" w:fill="D9D9D9" w:themeFill="background1" w:themeFillShade="D9"/>
          </w:tcPr>
          <w:p w14:paraId="04D214D3" w14:textId="77777777" w:rsidR="00914893" w:rsidRPr="00D254C6" w:rsidRDefault="00914893" w:rsidP="0025590E">
            <w:pPr>
              <w:pStyle w:val="TableHeading"/>
              <w:ind w:left="70"/>
            </w:pPr>
            <w:r w:rsidRPr="00D254C6">
              <w:t>PROPOSED BYLAWS TEXT FOR THIS AFFIRMATION OF COMMITMENTS REVIEW</w:t>
            </w:r>
          </w:p>
        </w:tc>
        <w:tc>
          <w:tcPr>
            <w:tcW w:w="4230" w:type="dxa"/>
            <w:shd w:val="clear" w:color="auto" w:fill="D9D9D9" w:themeFill="background1" w:themeFillShade="D9"/>
          </w:tcPr>
          <w:p w14:paraId="0A759888" w14:textId="77777777" w:rsidR="00914893" w:rsidRPr="00D254C6" w:rsidRDefault="00914893" w:rsidP="00465389">
            <w:pPr>
              <w:pStyle w:val="TableHeading"/>
            </w:pPr>
            <w:r w:rsidRPr="00D254C6">
              <w:t>NOTES</w:t>
            </w:r>
          </w:p>
        </w:tc>
      </w:tr>
      <w:tr w:rsidR="00914893" w14:paraId="69068669" w14:textId="77777777" w:rsidTr="00FA6130">
        <w:trPr>
          <w:tblHeader/>
        </w:trPr>
        <w:tc>
          <w:tcPr>
            <w:tcW w:w="5760" w:type="dxa"/>
          </w:tcPr>
          <w:p w14:paraId="4C6A0649" w14:textId="77777777" w:rsidR="00914893" w:rsidRPr="00F370BA" w:rsidRDefault="00914893" w:rsidP="0025590E">
            <w:pPr>
              <w:pStyle w:val="TableHeading"/>
              <w:ind w:left="70"/>
              <w:rPr>
                <w:sz w:val="20"/>
              </w:rPr>
            </w:pPr>
            <w:r w:rsidRPr="00F370BA">
              <w:rPr>
                <w:sz w:val="20"/>
              </w:rPr>
              <w:t xml:space="preserve">1. Accountability &amp; Transparency Review. </w:t>
            </w:r>
          </w:p>
          <w:p w14:paraId="1A7FF8BC" w14:textId="77777777" w:rsidR="00914893" w:rsidRPr="00F370BA" w:rsidRDefault="00914893" w:rsidP="0025590E">
            <w:pPr>
              <w:pStyle w:val="Numbering"/>
              <w:numPr>
                <w:ilvl w:val="0"/>
                <w:numId w:val="0"/>
              </w:numPr>
              <w:ind w:left="70"/>
              <w:rPr>
                <w:sz w:val="20"/>
              </w:rPr>
            </w:pPr>
            <w:r w:rsidRPr="00F370BA">
              <w:rPr>
                <w:sz w:val="20"/>
              </w:rPr>
              <w:t>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4230" w:type="dxa"/>
          </w:tcPr>
          <w:p w14:paraId="3A761273" w14:textId="77777777" w:rsidR="00914893" w:rsidRPr="00F370BA" w:rsidRDefault="00914893" w:rsidP="00465389">
            <w:pPr>
              <w:pStyle w:val="Numbering"/>
              <w:numPr>
                <w:ilvl w:val="0"/>
                <w:numId w:val="0"/>
              </w:numPr>
              <w:ind w:left="-160"/>
              <w:rPr>
                <w:sz w:val="20"/>
              </w:rPr>
            </w:pPr>
            <w:r w:rsidRPr="00F370BA">
              <w:rPr>
                <w:sz w:val="20"/>
              </w:rPr>
              <w:t>The commitment to do a Review now becomes part of ICANN Bylaws.</w:t>
            </w:r>
          </w:p>
          <w:p w14:paraId="5EAE8A8F" w14:textId="77777777" w:rsidR="00914893" w:rsidRPr="00F370BA" w:rsidRDefault="00914893" w:rsidP="00465389">
            <w:pPr>
              <w:pStyle w:val="Numbering"/>
              <w:numPr>
                <w:ilvl w:val="0"/>
                <w:numId w:val="0"/>
              </w:numPr>
              <w:ind w:left="-160"/>
              <w:rPr>
                <w:sz w:val="20"/>
              </w:rPr>
            </w:pPr>
            <w:r w:rsidRPr="00F370BA">
              <w:rPr>
                <w:sz w:val="20"/>
              </w:rPr>
              <w:t>The second part of this sentence (“its commitment to maintain…”) clarifies an ICANN commitment that would also become part of the Bylaws.</w:t>
            </w:r>
          </w:p>
        </w:tc>
      </w:tr>
      <w:tr w:rsidR="00914893" w14:paraId="656251B7" w14:textId="77777777" w:rsidTr="00FA6130">
        <w:trPr>
          <w:tblHeader/>
        </w:trPr>
        <w:tc>
          <w:tcPr>
            <w:tcW w:w="5760" w:type="dxa"/>
          </w:tcPr>
          <w:p w14:paraId="3A5F4AA7" w14:textId="77777777" w:rsidR="00914893" w:rsidRPr="00F370BA" w:rsidRDefault="00914893" w:rsidP="0025590E">
            <w:pPr>
              <w:pStyle w:val="Numbering"/>
              <w:numPr>
                <w:ilvl w:val="0"/>
                <w:numId w:val="0"/>
              </w:numPr>
              <w:ind w:left="70"/>
              <w:rPr>
                <w:sz w:val="20"/>
              </w:rPr>
            </w:pPr>
            <w:r w:rsidRPr="00F370BA">
              <w:rPr>
                <w:sz w:val="20"/>
              </w:rPr>
              <w:t>Issues that may merit attention in this Review include:</w:t>
            </w:r>
          </w:p>
          <w:p w14:paraId="74BFC0B5" w14:textId="77777777" w:rsidR="00914893" w:rsidRPr="00F370BA" w:rsidRDefault="00914893" w:rsidP="0025590E">
            <w:pPr>
              <w:pStyle w:val="Numbering"/>
              <w:numPr>
                <w:ilvl w:val="0"/>
                <w:numId w:val="0"/>
              </w:numPr>
              <w:ind w:left="70"/>
              <w:rPr>
                <w:sz w:val="20"/>
              </w:rPr>
            </w:pPr>
            <w:r w:rsidRPr="00F370BA">
              <w:rPr>
                <w:sz w:val="20"/>
              </w:rPr>
              <w:t xml:space="preserve">(a) </w:t>
            </w:r>
            <w:proofErr w:type="gramStart"/>
            <w:r w:rsidRPr="00F370BA">
              <w:rPr>
                <w:sz w:val="20"/>
              </w:rPr>
              <w:t>assessing</w:t>
            </w:r>
            <w:proofErr w:type="gramEnd"/>
            <w:r w:rsidRPr="00F370BA">
              <w:rPr>
                <w:sz w:val="20"/>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p>
        </w:tc>
        <w:tc>
          <w:tcPr>
            <w:tcW w:w="4230" w:type="dxa"/>
          </w:tcPr>
          <w:p w14:paraId="7B50CA00" w14:textId="77777777" w:rsidR="00914893" w:rsidRPr="00F370BA" w:rsidRDefault="00914893" w:rsidP="00465389">
            <w:pPr>
              <w:pStyle w:val="Numbering"/>
              <w:numPr>
                <w:ilvl w:val="0"/>
                <w:numId w:val="0"/>
              </w:numPr>
              <w:ind w:left="-160"/>
              <w:rPr>
                <w:sz w:val="20"/>
              </w:rPr>
            </w:pPr>
            <w:r w:rsidRPr="00F370BA">
              <w:rPr>
                <w:sz w:val="20"/>
              </w:rPr>
              <w:t xml:space="preserve">Public commenter suggested making this a suggestion instead of a mandated list </w:t>
            </w:r>
            <w:proofErr w:type="gramStart"/>
            <w:r w:rsidRPr="00F370BA">
              <w:rPr>
                <w:sz w:val="20"/>
              </w:rPr>
              <w:t>of  topics</w:t>
            </w:r>
            <w:proofErr w:type="gramEnd"/>
            <w:r w:rsidRPr="00F370BA">
              <w:rPr>
                <w:sz w:val="20"/>
              </w:rPr>
              <w:t>.</w:t>
            </w:r>
          </w:p>
        </w:tc>
      </w:tr>
      <w:tr w:rsidR="00914893" w14:paraId="79CE003F" w14:textId="77777777" w:rsidTr="00FA6130">
        <w:trPr>
          <w:tblHeader/>
        </w:trPr>
        <w:tc>
          <w:tcPr>
            <w:tcW w:w="5760" w:type="dxa"/>
          </w:tcPr>
          <w:p w14:paraId="07E5D318" w14:textId="77777777" w:rsidR="00914893" w:rsidRPr="00F370BA" w:rsidRDefault="00914893" w:rsidP="0025590E">
            <w:pPr>
              <w:pStyle w:val="Numbering"/>
              <w:numPr>
                <w:ilvl w:val="0"/>
                <w:numId w:val="0"/>
              </w:numPr>
              <w:ind w:left="70"/>
              <w:rPr>
                <w:sz w:val="20"/>
              </w:rPr>
            </w:pPr>
            <w:r w:rsidRPr="00F370BA">
              <w:rPr>
                <w:sz w:val="20"/>
              </w:rPr>
              <w:t xml:space="preserve">(b) </w:t>
            </w:r>
            <w:proofErr w:type="gramStart"/>
            <w:r w:rsidRPr="00F370BA">
              <w:rPr>
                <w:sz w:val="20"/>
              </w:rPr>
              <w:t>assessing</w:t>
            </w:r>
            <w:proofErr w:type="gramEnd"/>
            <w:r w:rsidRPr="00F370BA">
              <w:rPr>
                <w:sz w:val="20"/>
              </w:rPr>
              <w:t xml:space="preserve"> the role and effectiveness of GAC interaction with the Board and making recommendations for improvement to ensure effective consideration by ICANN of GAC input on the public policy aspects of the technical coordination of the DNS;</w:t>
            </w:r>
          </w:p>
          <w:p w14:paraId="16DFEBA1" w14:textId="77777777" w:rsidR="00914893" w:rsidRPr="00F370BA" w:rsidRDefault="00914893" w:rsidP="0025590E">
            <w:pPr>
              <w:pStyle w:val="Numbering"/>
              <w:numPr>
                <w:ilvl w:val="0"/>
                <w:numId w:val="0"/>
              </w:numPr>
              <w:ind w:left="70"/>
              <w:rPr>
                <w:sz w:val="20"/>
              </w:rPr>
            </w:pPr>
            <w:r w:rsidRPr="00F370BA">
              <w:rPr>
                <w:sz w:val="20"/>
              </w:rPr>
              <w:t xml:space="preserve">(c) </w:t>
            </w:r>
            <w:proofErr w:type="gramStart"/>
            <w:r w:rsidRPr="00F370BA">
              <w:rPr>
                <w:sz w:val="20"/>
              </w:rPr>
              <w:t>assessing</w:t>
            </w:r>
            <w:proofErr w:type="gramEnd"/>
            <w:r w:rsidRPr="00F370BA">
              <w:rPr>
                <w:sz w:val="20"/>
              </w:rPr>
              <w:t xml:space="preserve"> and improving the processes by which ICANN receives public input (including adequate explanation of decisions taken and the rationale thereof);</w:t>
            </w:r>
          </w:p>
          <w:p w14:paraId="275F43E6" w14:textId="77777777" w:rsidR="00914893" w:rsidRPr="00F370BA" w:rsidRDefault="00914893" w:rsidP="0025590E">
            <w:pPr>
              <w:pStyle w:val="Numbering"/>
              <w:numPr>
                <w:ilvl w:val="0"/>
                <w:numId w:val="0"/>
              </w:numPr>
              <w:ind w:left="70"/>
              <w:rPr>
                <w:sz w:val="20"/>
              </w:rPr>
            </w:pPr>
            <w:r w:rsidRPr="00F370BA">
              <w:rPr>
                <w:sz w:val="20"/>
              </w:rPr>
              <w:t xml:space="preserve">(d) </w:t>
            </w:r>
            <w:proofErr w:type="gramStart"/>
            <w:r w:rsidRPr="00F370BA">
              <w:rPr>
                <w:sz w:val="20"/>
              </w:rPr>
              <w:t>assessing</w:t>
            </w:r>
            <w:proofErr w:type="gramEnd"/>
            <w:r w:rsidRPr="00F370BA">
              <w:rPr>
                <w:sz w:val="20"/>
              </w:rPr>
              <w:t xml:space="preserve"> the extent to which ICANN's decisions are embraced, supported and accepted by the public and the Internet community; and</w:t>
            </w:r>
          </w:p>
          <w:p w14:paraId="0CBCA22E" w14:textId="77777777" w:rsidR="00914893" w:rsidRPr="00F370BA" w:rsidRDefault="00914893" w:rsidP="0025590E">
            <w:pPr>
              <w:pStyle w:val="Numbering"/>
              <w:numPr>
                <w:ilvl w:val="0"/>
                <w:numId w:val="0"/>
              </w:numPr>
              <w:ind w:left="70"/>
              <w:rPr>
                <w:sz w:val="20"/>
              </w:rPr>
            </w:pPr>
            <w:r w:rsidRPr="00F370BA">
              <w:rPr>
                <w:sz w:val="20"/>
              </w:rPr>
              <w:t xml:space="preserve">(e) </w:t>
            </w:r>
            <w:proofErr w:type="gramStart"/>
            <w:r w:rsidRPr="00F370BA">
              <w:rPr>
                <w:sz w:val="20"/>
              </w:rPr>
              <w:t>assessing</w:t>
            </w:r>
            <w:proofErr w:type="gramEnd"/>
            <w:r w:rsidRPr="00F370BA">
              <w:rPr>
                <w:sz w:val="20"/>
              </w:rPr>
              <w:t xml:space="preserve"> the policy development process to facilitate enhanced cross community deliberations, and effective and timely policy development.</w:t>
            </w:r>
          </w:p>
        </w:tc>
        <w:tc>
          <w:tcPr>
            <w:tcW w:w="4230" w:type="dxa"/>
          </w:tcPr>
          <w:p w14:paraId="3BA66719" w14:textId="77777777" w:rsidR="00914893" w:rsidRPr="00F370BA" w:rsidRDefault="00914893" w:rsidP="00465389">
            <w:pPr>
              <w:pStyle w:val="Numbering"/>
              <w:numPr>
                <w:ilvl w:val="0"/>
                <w:numId w:val="0"/>
              </w:numPr>
              <w:ind w:left="-160"/>
              <w:rPr>
                <w:sz w:val="20"/>
              </w:rPr>
            </w:pPr>
            <w:r w:rsidRPr="00F370BA">
              <w:rPr>
                <w:sz w:val="20"/>
              </w:rPr>
              <w:t>Rephrased to avoid implying a Review of GAC’s effectiveness.</w:t>
            </w:r>
          </w:p>
        </w:tc>
      </w:tr>
      <w:tr w:rsidR="00914893" w14:paraId="542F3538" w14:textId="77777777" w:rsidTr="00FA6130">
        <w:trPr>
          <w:tblHeader/>
        </w:trPr>
        <w:tc>
          <w:tcPr>
            <w:tcW w:w="5760" w:type="dxa"/>
          </w:tcPr>
          <w:p w14:paraId="6EEC6CBE" w14:textId="77777777" w:rsidR="00914893" w:rsidRPr="00F370BA" w:rsidRDefault="00914893" w:rsidP="0025590E">
            <w:pPr>
              <w:pStyle w:val="Numbering"/>
              <w:numPr>
                <w:ilvl w:val="0"/>
                <w:numId w:val="0"/>
              </w:numPr>
              <w:ind w:left="70"/>
              <w:rPr>
                <w:sz w:val="20"/>
              </w:rPr>
            </w:pPr>
            <w:r w:rsidRPr="00F370BA">
              <w:rPr>
                <w:sz w:val="20"/>
              </w:rPr>
              <w:t>The Review Team shall assess the extent to which prior Accountability and Transparency Review recommendations have been implemented.</w:t>
            </w:r>
          </w:p>
        </w:tc>
        <w:tc>
          <w:tcPr>
            <w:tcW w:w="4230" w:type="dxa"/>
          </w:tcPr>
          <w:p w14:paraId="7F14989A" w14:textId="77777777" w:rsidR="00914893" w:rsidRPr="00F370BA" w:rsidRDefault="00914893" w:rsidP="00465389">
            <w:pPr>
              <w:pStyle w:val="Numbering"/>
              <w:numPr>
                <w:ilvl w:val="0"/>
                <w:numId w:val="0"/>
              </w:numPr>
              <w:ind w:left="-160"/>
              <w:rPr>
                <w:sz w:val="20"/>
              </w:rPr>
            </w:pPr>
            <w:r w:rsidRPr="00F370BA">
              <w:rPr>
                <w:sz w:val="20"/>
              </w:rPr>
              <w:t>AoC required ATRT to assess all AoC Reviews.</w:t>
            </w:r>
          </w:p>
        </w:tc>
      </w:tr>
      <w:tr w:rsidR="00914893" w14:paraId="76F7F42F" w14:textId="77777777" w:rsidTr="00FA6130">
        <w:trPr>
          <w:tblHeader/>
        </w:trPr>
        <w:tc>
          <w:tcPr>
            <w:tcW w:w="5760" w:type="dxa"/>
          </w:tcPr>
          <w:p w14:paraId="32198720" w14:textId="77777777" w:rsidR="00914893" w:rsidRPr="00F370BA" w:rsidRDefault="00914893" w:rsidP="0025590E">
            <w:pPr>
              <w:pStyle w:val="Numbering"/>
              <w:numPr>
                <w:ilvl w:val="0"/>
                <w:numId w:val="0"/>
              </w:numPr>
              <w:ind w:left="70"/>
              <w:rPr>
                <w:sz w:val="20"/>
              </w:rPr>
            </w:pPr>
            <w:r w:rsidRPr="00F370BA">
              <w:rPr>
                <w:sz w:val="20"/>
              </w:rPr>
              <w:t>The Review Team may recommend termination or amendment of other periodic Reviews required by this section, and may recommend additional periodic Reviews.</w:t>
            </w:r>
          </w:p>
        </w:tc>
        <w:tc>
          <w:tcPr>
            <w:tcW w:w="4230" w:type="dxa"/>
          </w:tcPr>
          <w:p w14:paraId="1861B20A" w14:textId="77777777" w:rsidR="00914893" w:rsidRPr="00F370BA" w:rsidRDefault="00914893" w:rsidP="00465389">
            <w:pPr>
              <w:pStyle w:val="Numbering"/>
              <w:numPr>
                <w:ilvl w:val="0"/>
                <w:numId w:val="0"/>
              </w:numPr>
              <w:ind w:left="-160"/>
              <w:rPr>
                <w:sz w:val="20"/>
              </w:rPr>
            </w:pPr>
            <w:r w:rsidRPr="00F370BA">
              <w:rPr>
                <w:sz w:val="20"/>
              </w:rPr>
              <w:t>This is new. A recommendation to amend or terminate an existing Review would be subject to public comment. And the subsequent Bylaws change would be subject to IRP challenge.</w:t>
            </w:r>
          </w:p>
        </w:tc>
      </w:tr>
      <w:tr w:rsidR="00914893" w14:paraId="53ACAB57" w14:textId="77777777" w:rsidTr="00FA6130">
        <w:trPr>
          <w:tblHeader/>
        </w:trPr>
        <w:tc>
          <w:tcPr>
            <w:tcW w:w="5760" w:type="dxa"/>
          </w:tcPr>
          <w:p w14:paraId="215FA503" w14:textId="77777777" w:rsidR="00914893" w:rsidRPr="00F370BA" w:rsidRDefault="00914893" w:rsidP="0025590E">
            <w:pPr>
              <w:pStyle w:val="Numbering"/>
              <w:numPr>
                <w:ilvl w:val="0"/>
                <w:numId w:val="0"/>
              </w:numPr>
              <w:ind w:left="70"/>
              <w:rPr>
                <w:sz w:val="20"/>
              </w:rPr>
            </w:pPr>
            <w:r w:rsidRPr="00F370BA">
              <w:rPr>
                <w:sz w:val="20"/>
              </w:rPr>
              <w:t>This Review Team should complete its review within one year of convening its first meeting.</w:t>
            </w:r>
          </w:p>
        </w:tc>
        <w:tc>
          <w:tcPr>
            <w:tcW w:w="4230" w:type="dxa"/>
          </w:tcPr>
          <w:p w14:paraId="6D4A3A54" w14:textId="77777777" w:rsidR="00914893" w:rsidRPr="00F370BA" w:rsidRDefault="00914893" w:rsidP="00465389">
            <w:pPr>
              <w:pStyle w:val="Numbering"/>
              <w:numPr>
                <w:ilvl w:val="0"/>
                <w:numId w:val="0"/>
              </w:numPr>
              <w:ind w:left="-160"/>
              <w:rPr>
                <w:sz w:val="20"/>
              </w:rPr>
            </w:pPr>
            <w:r w:rsidRPr="00F370BA">
              <w:rPr>
                <w:sz w:val="20"/>
              </w:rPr>
              <w:t>New.</w:t>
            </w:r>
          </w:p>
        </w:tc>
      </w:tr>
      <w:tr w:rsidR="00914893" w14:paraId="5C001212" w14:textId="77777777" w:rsidTr="00FA6130">
        <w:trPr>
          <w:tblHeader/>
        </w:trPr>
        <w:tc>
          <w:tcPr>
            <w:tcW w:w="5760" w:type="dxa"/>
          </w:tcPr>
          <w:p w14:paraId="22360824" w14:textId="77777777" w:rsidR="00914893" w:rsidRPr="00F370BA" w:rsidRDefault="00914893" w:rsidP="0025590E">
            <w:pPr>
              <w:pStyle w:val="Numbering"/>
              <w:numPr>
                <w:ilvl w:val="0"/>
                <w:numId w:val="0"/>
              </w:numPr>
              <w:ind w:left="70"/>
              <w:rPr>
                <w:sz w:val="20"/>
              </w:rPr>
            </w:pPr>
            <w:r w:rsidRPr="00F370BA">
              <w:rPr>
                <w:sz w:val="20"/>
              </w:rPr>
              <w:t>This periodic Review shall be convened no less frequently than every five years, measured from the date the previous review was convened.</w:t>
            </w:r>
          </w:p>
        </w:tc>
        <w:tc>
          <w:tcPr>
            <w:tcW w:w="4230" w:type="dxa"/>
          </w:tcPr>
          <w:p w14:paraId="0DE31743" w14:textId="77777777" w:rsidR="00914893" w:rsidRPr="00F370BA" w:rsidRDefault="00914893" w:rsidP="00465389">
            <w:pPr>
              <w:pStyle w:val="Numbering"/>
              <w:numPr>
                <w:ilvl w:val="0"/>
                <w:numId w:val="0"/>
              </w:numPr>
              <w:ind w:left="-160"/>
              <w:rPr>
                <w:sz w:val="20"/>
              </w:rPr>
            </w:pPr>
            <w:r w:rsidRPr="00F370BA">
              <w:rPr>
                <w:sz w:val="20"/>
              </w:rPr>
              <w:t>The AoC required this Review every 3 years.</w:t>
            </w:r>
          </w:p>
        </w:tc>
      </w:tr>
    </w:tbl>
    <w:p w14:paraId="09C2273E" w14:textId="5459E0E1" w:rsidR="00914893" w:rsidRDefault="00914893" w:rsidP="00465389">
      <w:pPr>
        <w:pStyle w:val="Text"/>
      </w:pPr>
    </w:p>
    <w:tbl>
      <w:tblPr>
        <w:tblStyle w:val="TableGrid"/>
        <w:tblW w:w="9990" w:type="dxa"/>
        <w:tblInd w:w="110" w:type="dxa"/>
        <w:tblCellMar>
          <w:left w:w="200" w:type="dxa"/>
        </w:tblCellMar>
        <w:tblLook w:val="04A0" w:firstRow="1" w:lastRow="0" w:firstColumn="1" w:lastColumn="0" w:noHBand="0" w:noVBand="1"/>
      </w:tblPr>
      <w:tblGrid>
        <w:gridCol w:w="5758"/>
        <w:gridCol w:w="4232"/>
      </w:tblGrid>
      <w:tr w:rsidR="00914893" w14:paraId="0C78F145" w14:textId="77777777" w:rsidTr="00FA6130">
        <w:trPr>
          <w:tblHeader/>
        </w:trPr>
        <w:tc>
          <w:tcPr>
            <w:tcW w:w="5758" w:type="dxa"/>
            <w:shd w:val="clear" w:color="auto" w:fill="D9D9D9" w:themeFill="background1" w:themeFillShade="D9"/>
          </w:tcPr>
          <w:p w14:paraId="78681BCF" w14:textId="77777777" w:rsidR="00914893" w:rsidRPr="001B4341" w:rsidRDefault="00914893" w:rsidP="0025590E">
            <w:pPr>
              <w:pStyle w:val="TableHeading"/>
              <w:ind w:left="70"/>
            </w:pPr>
            <w:r w:rsidRPr="001B4341">
              <w:t>PROPOSED BYLAWS TEXT FOR THIS AFFIRMATION OF COMMITMENTS REVIEW</w:t>
            </w:r>
          </w:p>
        </w:tc>
        <w:tc>
          <w:tcPr>
            <w:tcW w:w="4232" w:type="dxa"/>
            <w:shd w:val="clear" w:color="auto" w:fill="D9D9D9" w:themeFill="background1" w:themeFillShade="D9"/>
          </w:tcPr>
          <w:p w14:paraId="4CFFCD6F" w14:textId="77777777" w:rsidR="00914893" w:rsidRPr="001B4341" w:rsidRDefault="00914893" w:rsidP="00BF0B8A">
            <w:pPr>
              <w:pStyle w:val="TableHeading"/>
              <w:ind w:left="-108"/>
            </w:pPr>
            <w:r w:rsidRPr="001B4341">
              <w:t>NOTES</w:t>
            </w:r>
          </w:p>
        </w:tc>
      </w:tr>
      <w:tr w:rsidR="00914893" w:rsidRPr="0025590E" w14:paraId="17085456" w14:textId="77777777" w:rsidTr="00FA6130">
        <w:trPr>
          <w:tblHeader/>
        </w:trPr>
        <w:tc>
          <w:tcPr>
            <w:tcW w:w="5758" w:type="dxa"/>
          </w:tcPr>
          <w:p w14:paraId="16CCA4A8" w14:textId="77777777" w:rsidR="00914893" w:rsidRPr="0025590E" w:rsidRDefault="00914893" w:rsidP="0025590E">
            <w:pPr>
              <w:pStyle w:val="TableHeading"/>
              <w:ind w:left="70"/>
              <w:rPr>
                <w:sz w:val="20"/>
              </w:rPr>
            </w:pPr>
            <w:r w:rsidRPr="0025590E">
              <w:rPr>
                <w:sz w:val="20"/>
              </w:rPr>
              <w:t>2. Preserving Security, Stability, and Resiliency.</w:t>
            </w:r>
          </w:p>
          <w:p w14:paraId="43D58A89" w14:textId="77777777" w:rsidR="00914893" w:rsidRPr="0025590E" w:rsidRDefault="00914893" w:rsidP="0025590E">
            <w:pPr>
              <w:pStyle w:val="Numbering"/>
              <w:numPr>
                <w:ilvl w:val="0"/>
                <w:numId w:val="0"/>
              </w:numPr>
              <w:ind w:left="70"/>
              <w:rPr>
                <w:sz w:val="20"/>
              </w:rPr>
            </w:pPr>
            <w:r w:rsidRPr="0025590E">
              <w:rPr>
                <w:sz w:val="20"/>
              </w:rPr>
              <w:t>The Board shall cause a periodic Review of ICANN’s execution of its commitment to enhance the operational stability, reliability, resiliency, security, and global interoperability of the DNS.</w:t>
            </w:r>
          </w:p>
          <w:p w14:paraId="72308AE0" w14:textId="77777777" w:rsidR="00914893" w:rsidRPr="0025590E" w:rsidRDefault="00914893" w:rsidP="0025590E">
            <w:pPr>
              <w:pStyle w:val="Numbering"/>
              <w:numPr>
                <w:ilvl w:val="0"/>
                <w:numId w:val="0"/>
              </w:numPr>
              <w:ind w:left="70"/>
              <w:rPr>
                <w:sz w:val="20"/>
              </w:rPr>
            </w:pPr>
            <w:r w:rsidRPr="0025590E">
              <w:rPr>
                <w:sz w:val="20"/>
              </w:rPr>
              <w:t>In this Review, particular attention will be paid to:</w:t>
            </w:r>
          </w:p>
          <w:p w14:paraId="4B4C9CCC" w14:textId="77777777" w:rsidR="00914893" w:rsidRPr="0025590E" w:rsidRDefault="00914893" w:rsidP="0025590E">
            <w:pPr>
              <w:pStyle w:val="Numbering"/>
              <w:numPr>
                <w:ilvl w:val="0"/>
                <w:numId w:val="0"/>
              </w:numPr>
              <w:ind w:left="70"/>
              <w:rPr>
                <w:sz w:val="20"/>
              </w:rPr>
            </w:pPr>
            <w:r w:rsidRPr="0025590E">
              <w:rPr>
                <w:sz w:val="20"/>
              </w:rPr>
              <w:t xml:space="preserve">(a) </w:t>
            </w:r>
            <w:proofErr w:type="gramStart"/>
            <w:r w:rsidRPr="0025590E">
              <w:rPr>
                <w:sz w:val="20"/>
              </w:rPr>
              <w:t>security</w:t>
            </w:r>
            <w:proofErr w:type="gramEnd"/>
            <w:r w:rsidRPr="0025590E">
              <w:rPr>
                <w:sz w:val="20"/>
              </w:rPr>
              <w:t>, stability and resiliency matters, both physical and network, relating to the secure and stable coordination of the Internet DNS;</w:t>
            </w:r>
          </w:p>
          <w:p w14:paraId="55282DD4" w14:textId="77777777" w:rsidR="00914893" w:rsidRPr="0025590E" w:rsidRDefault="00914893" w:rsidP="0025590E">
            <w:pPr>
              <w:pStyle w:val="Numbering"/>
              <w:numPr>
                <w:ilvl w:val="0"/>
                <w:numId w:val="0"/>
              </w:numPr>
              <w:ind w:left="70"/>
              <w:rPr>
                <w:sz w:val="20"/>
              </w:rPr>
            </w:pPr>
            <w:r w:rsidRPr="0025590E">
              <w:rPr>
                <w:sz w:val="20"/>
              </w:rPr>
              <w:t xml:space="preserve">(b) </w:t>
            </w:r>
            <w:proofErr w:type="gramStart"/>
            <w:r w:rsidRPr="0025590E">
              <w:rPr>
                <w:sz w:val="20"/>
              </w:rPr>
              <w:t>ensuring</w:t>
            </w:r>
            <w:proofErr w:type="gramEnd"/>
            <w:r w:rsidRPr="0025590E">
              <w:rPr>
                <w:sz w:val="20"/>
              </w:rPr>
              <w:t xml:space="preserve"> appropriate contingency planning; and</w:t>
            </w:r>
          </w:p>
          <w:p w14:paraId="0172F131" w14:textId="77777777" w:rsidR="00914893" w:rsidRPr="0025590E" w:rsidRDefault="00914893" w:rsidP="0025590E">
            <w:pPr>
              <w:pStyle w:val="Numbering"/>
              <w:numPr>
                <w:ilvl w:val="0"/>
                <w:numId w:val="0"/>
              </w:numPr>
              <w:ind w:left="70"/>
              <w:rPr>
                <w:sz w:val="20"/>
              </w:rPr>
            </w:pPr>
            <w:r w:rsidRPr="0025590E">
              <w:rPr>
                <w:sz w:val="20"/>
              </w:rPr>
              <w:t xml:space="preserve">(c) </w:t>
            </w:r>
            <w:proofErr w:type="gramStart"/>
            <w:r w:rsidRPr="0025590E">
              <w:rPr>
                <w:sz w:val="20"/>
              </w:rPr>
              <w:t>maintaining</w:t>
            </w:r>
            <w:proofErr w:type="gramEnd"/>
            <w:r w:rsidRPr="0025590E">
              <w:rPr>
                <w:sz w:val="20"/>
              </w:rPr>
              <w:t xml:space="preserve"> clear processes.</w:t>
            </w:r>
          </w:p>
          <w:p w14:paraId="319B89BE" w14:textId="77777777" w:rsidR="00914893" w:rsidRPr="0025590E" w:rsidRDefault="00914893" w:rsidP="0025590E">
            <w:pPr>
              <w:pStyle w:val="Numbering"/>
              <w:numPr>
                <w:ilvl w:val="0"/>
                <w:numId w:val="0"/>
              </w:numPr>
              <w:ind w:left="70"/>
              <w:rPr>
                <w:sz w:val="20"/>
              </w:rPr>
            </w:pPr>
            <w:r w:rsidRPr="0025590E">
              <w:rPr>
                <w:sz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tc>
        <w:tc>
          <w:tcPr>
            <w:tcW w:w="4232" w:type="dxa"/>
          </w:tcPr>
          <w:p w14:paraId="051EE994" w14:textId="5A0DEDC0" w:rsidR="00BF0B8A" w:rsidRPr="0025590E" w:rsidRDefault="00BF0B8A" w:rsidP="00BF0B8A">
            <w:pPr>
              <w:pStyle w:val="Numbering"/>
              <w:ind w:left="-108"/>
              <w:rPr>
                <w:i/>
                <w:sz w:val="20"/>
              </w:rPr>
            </w:pPr>
            <w:r w:rsidRPr="0025590E">
              <w:rPr>
                <w:i/>
                <w:sz w:val="20"/>
              </w:rPr>
              <w:t>Proposed revisions to ICANN Mission:</w:t>
            </w:r>
          </w:p>
          <w:p w14:paraId="4E0A8862" w14:textId="77777777" w:rsidR="00BF0B8A" w:rsidRPr="0025590E" w:rsidRDefault="00BF0B8A" w:rsidP="00BF0B8A">
            <w:pPr>
              <w:pStyle w:val="Numbering"/>
              <w:ind w:left="-108"/>
              <w:rPr>
                <w:b/>
                <w:sz w:val="20"/>
                <w:u w:val="single"/>
              </w:rPr>
            </w:pPr>
          </w:p>
          <w:p w14:paraId="1DFC4590" w14:textId="77777777" w:rsidR="00BF0B8A" w:rsidRPr="0025590E" w:rsidRDefault="00BF0B8A" w:rsidP="00BF0B8A">
            <w:pPr>
              <w:pStyle w:val="Numbering"/>
              <w:ind w:left="-108"/>
              <w:rPr>
                <w:b/>
                <w:sz w:val="20"/>
                <w:u w:val="single"/>
              </w:rPr>
            </w:pPr>
            <w:r w:rsidRPr="0025590E">
              <w:rPr>
                <w:b/>
                <w:sz w:val="20"/>
                <w:u w:val="single"/>
              </w:rPr>
              <w:t>In this role, with respect to domain names, ICANN’s Mission is to coordinate the development and implementation of policies:</w:t>
            </w:r>
          </w:p>
          <w:p w14:paraId="72055989" w14:textId="77777777" w:rsidR="00BF0B8A" w:rsidRPr="0025590E" w:rsidRDefault="00BF0B8A" w:rsidP="00BF0B8A">
            <w:pPr>
              <w:pStyle w:val="Numbering"/>
              <w:ind w:left="-108"/>
              <w:rPr>
                <w:b/>
                <w:sz w:val="20"/>
                <w:u w:val="single"/>
              </w:rPr>
            </w:pPr>
            <w:r w:rsidRPr="0025590E">
              <w:rPr>
                <w:b/>
                <w:sz w:val="20"/>
                <w:u w:val="single"/>
              </w:rPr>
              <w:t>-  For which uniform or coordinated resolution is reasonably necessary to facilitate the openness, interoperability, resilience, security and/or stability of the DNS; and</w:t>
            </w:r>
          </w:p>
          <w:p w14:paraId="3700068E" w14:textId="46057DAB" w:rsidR="00914893" w:rsidRPr="0025590E" w:rsidRDefault="00914893" w:rsidP="00BF0B8A">
            <w:pPr>
              <w:pStyle w:val="Numbering"/>
              <w:numPr>
                <w:ilvl w:val="0"/>
                <w:numId w:val="0"/>
              </w:numPr>
              <w:ind w:left="-108"/>
              <w:rPr>
                <w:sz w:val="20"/>
              </w:rPr>
            </w:pPr>
          </w:p>
        </w:tc>
      </w:tr>
      <w:tr w:rsidR="00914893" w:rsidRPr="0025590E" w14:paraId="2964AAF5" w14:textId="77777777" w:rsidTr="00FA6130">
        <w:trPr>
          <w:tblHeader/>
        </w:trPr>
        <w:tc>
          <w:tcPr>
            <w:tcW w:w="5758" w:type="dxa"/>
          </w:tcPr>
          <w:p w14:paraId="359821D6" w14:textId="77777777" w:rsidR="00914893" w:rsidRPr="0025590E" w:rsidRDefault="00914893" w:rsidP="0025590E">
            <w:pPr>
              <w:pStyle w:val="Numbering"/>
              <w:numPr>
                <w:ilvl w:val="0"/>
                <w:numId w:val="0"/>
              </w:numPr>
              <w:ind w:left="70"/>
              <w:rPr>
                <w:sz w:val="20"/>
              </w:rPr>
            </w:pPr>
            <w:r w:rsidRPr="0025590E">
              <w:rPr>
                <w:sz w:val="20"/>
              </w:rPr>
              <w:t>The Review team shall assess the extent to which prior Review recommendations have been implemented.</w:t>
            </w:r>
          </w:p>
        </w:tc>
        <w:tc>
          <w:tcPr>
            <w:tcW w:w="4232" w:type="dxa"/>
          </w:tcPr>
          <w:p w14:paraId="2856EA3B" w14:textId="77777777" w:rsidR="00914893" w:rsidRPr="0025590E" w:rsidRDefault="00914893" w:rsidP="00BF0B8A">
            <w:pPr>
              <w:pStyle w:val="Numbering"/>
              <w:numPr>
                <w:ilvl w:val="0"/>
                <w:numId w:val="0"/>
              </w:numPr>
              <w:ind w:left="-108"/>
              <w:rPr>
                <w:sz w:val="20"/>
              </w:rPr>
            </w:pPr>
            <w:r w:rsidRPr="0025590E">
              <w:rPr>
                <w:sz w:val="20"/>
              </w:rPr>
              <w:t>Make this explicit.</w:t>
            </w:r>
          </w:p>
        </w:tc>
      </w:tr>
      <w:tr w:rsidR="00914893" w:rsidRPr="0025590E" w14:paraId="6DCEA575" w14:textId="77777777" w:rsidTr="00FA6130">
        <w:trPr>
          <w:tblHeader/>
        </w:trPr>
        <w:tc>
          <w:tcPr>
            <w:tcW w:w="5758" w:type="dxa"/>
          </w:tcPr>
          <w:p w14:paraId="15FF4476" w14:textId="77777777" w:rsidR="00914893" w:rsidRPr="0025590E" w:rsidRDefault="00914893" w:rsidP="0025590E">
            <w:pPr>
              <w:pStyle w:val="Numbering"/>
              <w:numPr>
                <w:ilvl w:val="0"/>
                <w:numId w:val="0"/>
              </w:numPr>
              <w:ind w:left="70"/>
              <w:rPr>
                <w:sz w:val="20"/>
              </w:rPr>
            </w:pPr>
            <w:r w:rsidRPr="0025590E">
              <w:rPr>
                <w:sz w:val="20"/>
              </w:rPr>
              <w:t>This periodic Review shall be convened no less frequently than every five years, measured from the date the previous Review was convened.</w:t>
            </w:r>
          </w:p>
        </w:tc>
        <w:tc>
          <w:tcPr>
            <w:tcW w:w="4232" w:type="dxa"/>
          </w:tcPr>
          <w:p w14:paraId="7CF212F8" w14:textId="77777777" w:rsidR="00914893" w:rsidRPr="0025590E" w:rsidRDefault="00914893" w:rsidP="00BF0B8A">
            <w:pPr>
              <w:pStyle w:val="Numbering"/>
              <w:numPr>
                <w:ilvl w:val="0"/>
                <w:numId w:val="0"/>
              </w:numPr>
              <w:ind w:left="-108"/>
              <w:rPr>
                <w:sz w:val="20"/>
              </w:rPr>
            </w:pPr>
            <w:r w:rsidRPr="0025590E">
              <w:rPr>
                <w:sz w:val="20"/>
              </w:rPr>
              <w:t>AoC required this Review every 3 years.</w:t>
            </w:r>
          </w:p>
        </w:tc>
      </w:tr>
    </w:tbl>
    <w:p w14:paraId="2BAE72F7" w14:textId="77777777" w:rsidR="00914893" w:rsidRDefault="00914893" w:rsidP="00465389">
      <w:pPr>
        <w:pStyle w:val="Text"/>
      </w:pPr>
      <w:r>
        <w:br w:type="page"/>
      </w:r>
    </w:p>
    <w:tbl>
      <w:tblPr>
        <w:tblStyle w:val="TableGrid"/>
        <w:tblW w:w="9990" w:type="dxa"/>
        <w:tblInd w:w="110" w:type="dxa"/>
        <w:tblCellMar>
          <w:left w:w="200" w:type="dxa"/>
        </w:tblCellMar>
        <w:tblLook w:val="04A0" w:firstRow="1" w:lastRow="0" w:firstColumn="1" w:lastColumn="0" w:noHBand="0" w:noVBand="1"/>
      </w:tblPr>
      <w:tblGrid>
        <w:gridCol w:w="5758"/>
        <w:gridCol w:w="4232"/>
      </w:tblGrid>
      <w:tr w:rsidR="00914893" w14:paraId="114C3BC8" w14:textId="77777777" w:rsidTr="00FA6130">
        <w:trPr>
          <w:tblHeader/>
        </w:trPr>
        <w:tc>
          <w:tcPr>
            <w:tcW w:w="5758" w:type="dxa"/>
            <w:shd w:val="clear" w:color="auto" w:fill="D9D9D9" w:themeFill="background1" w:themeFillShade="D9"/>
          </w:tcPr>
          <w:p w14:paraId="5E7D3223" w14:textId="77777777" w:rsidR="00914893" w:rsidRPr="00DD3921" w:rsidRDefault="00914893" w:rsidP="00465389">
            <w:pPr>
              <w:pStyle w:val="TableHeading"/>
            </w:pPr>
            <w:r w:rsidRPr="00DD3921">
              <w:t>PROPOSED BYLAWS TEXT FOR THIS AFFIRMATION OF COMMITMENTS REVIEW</w:t>
            </w:r>
          </w:p>
        </w:tc>
        <w:tc>
          <w:tcPr>
            <w:tcW w:w="4232" w:type="dxa"/>
            <w:shd w:val="clear" w:color="auto" w:fill="D9D9D9" w:themeFill="background1" w:themeFillShade="D9"/>
          </w:tcPr>
          <w:p w14:paraId="03F962B4" w14:textId="77777777" w:rsidR="00914893" w:rsidRPr="00DD3921" w:rsidRDefault="00914893" w:rsidP="00465389">
            <w:pPr>
              <w:pStyle w:val="TableHeading"/>
            </w:pPr>
            <w:r w:rsidRPr="00DD3921">
              <w:t>NOTES</w:t>
            </w:r>
          </w:p>
        </w:tc>
      </w:tr>
      <w:tr w:rsidR="00914893" w14:paraId="35E0F954" w14:textId="77777777" w:rsidTr="00FA6130">
        <w:trPr>
          <w:tblHeader/>
        </w:trPr>
        <w:tc>
          <w:tcPr>
            <w:tcW w:w="5758" w:type="dxa"/>
          </w:tcPr>
          <w:p w14:paraId="349E1776" w14:textId="77777777" w:rsidR="00914893" w:rsidRPr="00313498" w:rsidRDefault="00914893" w:rsidP="00313498">
            <w:pPr>
              <w:pStyle w:val="TableHeading"/>
              <w:ind w:left="70"/>
              <w:rPr>
                <w:sz w:val="20"/>
                <w:szCs w:val="20"/>
              </w:rPr>
            </w:pPr>
            <w:r w:rsidRPr="00313498">
              <w:rPr>
                <w:sz w:val="20"/>
                <w:szCs w:val="20"/>
              </w:rPr>
              <w:t>3. Promoting Competition, Consumer Trust, and Consumer Choice.</w:t>
            </w:r>
          </w:p>
          <w:p w14:paraId="2FF6DF5D" w14:textId="77777777" w:rsidR="00914893" w:rsidRPr="00313498" w:rsidRDefault="00914893" w:rsidP="00313498">
            <w:pPr>
              <w:pStyle w:val="Numbering"/>
              <w:numPr>
                <w:ilvl w:val="0"/>
                <w:numId w:val="0"/>
              </w:numPr>
              <w:ind w:left="70"/>
              <w:rPr>
                <w:sz w:val="20"/>
                <w:szCs w:val="20"/>
              </w:rPr>
            </w:pPr>
            <w:r w:rsidRPr="00313498">
              <w:rPr>
                <w:sz w:val="20"/>
                <w:szCs w:val="20"/>
              </w:rPr>
              <w:t>ICANN will ensure that as it expands the Top-Level Domain (TLD) space, it will adequately address issues of competition, consumer protection, security, stability and resiliency, malicious abuse issues, sovereignty concerns, and rights protection.</w:t>
            </w:r>
          </w:p>
        </w:tc>
        <w:tc>
          <w:tcPr>
            <w:tcW w:w="4232" w:type="dxa"/>
          </w:tcPr>
          <w:p w14:paraId="2CE3AFEE" w14:textId="77777777" w:rsidR="00914893" w:rsidRPr="00313498" w:rsidRDefault="00914893" w:rsidP="00313498">
            <w:pPr>
              <w:pStyle w:val="Numbering"/>
              <w:numPr>
                <w:ilvl w:val="0"/>
                <w:numId w:val="0"/>
              </w:numPr>
              <w:ind w:left="70"/>
              <w:rPr>
                <w:sz w:val="20"/>
                <w:szCs w:val="20"/>
              </w:rPr>
            </w:pPr>
            <w:r w:rsidRPr="00313498">
              <w:rPr>
                <w:sz w:val="20"/>
                <w:szCs w:val="20"/>
              </w:rPr>
              <w:t>This Review includes a commitment that becomes part of ICANN Bylaws, regarding future expansions of the TLD space.</w:t>
            </w:r>
          </w:p>
        </w:tc>
      </w:tr>
      <w:tr w:rsidR="00914893" w14:paraId="7851A0FB" w14:textId="77777777" w:rsidTr="00FA6130">
        <w:trPr>
          <w:tblHeader/>
        </w:trPr>
        <w:tc>
          <w:tcPr>
            <w:tcW w:w="5758" w:type="dxa"/>
          </w:tcPr>
          <w:p w14:paraId="12C9EA61" w14:textId="77777777" w:rsidR="00914893" w:rsidRPr="00313498" w:rsidRDefault="00914893" w:rsidP="00313498">
            <w:pPr>
              <w:pStyle w:val="Numbering"/>
              <w:numPr>
                <w:ilvl w:val="0"/>
                <w:numId w:val="0"/>
              </w:numPr>
              <w:ind w:left="70"/>
              <w:rPr>
                <w:sz w:val="20"/>
                <w:szCs w:val="20"/>
              </w:rPr>
            </w:pPr>
            <w:r w:rsidRPr="00313498">
              <w:rPr>
                <w:sz w:val="20"/>
                <w:szCs w:val="20"/>
              </w:rPr>
              <w:t>The Board shall cause a Review of ICANN’s execution of this commitment after any batched round of new gTLDs have been in operation for one year.</w:t>
            </w:r>
          </w:p>
          <w:p w14:paraId="67313D10" w14:textId="77777777" w:rsidR="00914893" w:rsidRPr="00313498" w:rsidRDefault="00914893" w:rsidP="00313498">
            <w:pPr>
              <w:pStyle w:val="Numbering"/>
              <w:numPr>
                <w:ilvl w:val="0"/>
                <w:numId w:val="0"/>
              </w:numPr>
              <w:ind w:left="70"/>
              <w:rPr>
                <w:sz w:val="20"/>
                <w:szCs w:val="20"/>
              </w:rPr>
            </w:pPr>
            <w:r w:rsidRPr="00313498">
              <w:rPr>
                <w:sz w:val="20"/>
                <w:szCs w:val="20"/>
              </w:rPr>
              <w:t>This Review will examine the extent to which the expansion of gTLDs has promoted competition, consumer trust, and consumer choice, as well as effectiveness of:</w:t>
            </w:r>
          </w:p>
          <w:p w14:paraId="670086FF" w14:textId="77777777" w:rsidR="00914893" w:rsidRPr="00313498" w:rsidRDefault="00914893" w:rsidP="00313498">
            <w:pPr>
              <w:pStyle w:val="Numbering"/>
              <w:numPr>
                <w:ilvl w:val="0"/>
                <w:numId w:val="0"/>
              </w:numPr>
              <w:ind w:left="70"/>
              <w:rPr>
                <w:sz w:val="20"/>
                <w:szCs w:val="20"/>
              </w:rPr>
            </w:pPr>
            <w:r w:rsidRPr="00313498">
              <w:rPr>
                <w:sz w:val="20"/>
                <w:szCs w:val="20"/>
              </w:rPr>
              <w:t xml:space="preserve">(a) </w:t>
            </w:r>
            <w:proofErr w:type="gramStart"/>
            <w:r w:rsidRPr="00313498">
              <w:rPr>
                <w:sz w:val="20"/>
                <w:szCs w:val="20"/>
              </w:rPr>
              <w:t>the</w:t>
            </w:r>
            <w:proofErr w:type="gramEnd"/>
            <w:r w:rsidRPr="00313498">
              <w:rPr>
                <w:sz w:val="20"/>
                <w:szCs w:val="20"/>
              </w:rPr>
              <w:t xml:space="preserve"> gTLD application and evaluation process; and</w:t>
            </w:r>
          </w:p>
          <w:p w14:paraId="1A47CBF7" w14:textId="77777777" w:rsidR="00914893" w:rsidRPr="00313498" w:rsidRDefault="00914893" w:rsidP="00313498">
            <w:pPr>
              <w:pStyle w:val="Numbering"/>
              <w:numPr>
                <w:ilvl w:val="0"/>
                <w:numId w:val="0"/>
              </w:numPr>
              <w:ind w:left="70"/>
              <w:rPr>
                <w:sz w:val="20"/>
                <w:szCs w:val="20"/>
              </w:rPr>
            </w:pPr>
            <w:r w:rsidRPr="00313498">
              <w:rPr>
                <w:sz w:val="20"/>
                <w:szCs w:val="20"/>
              </w:rPr>
              <w:t xml:space="preserve">(b) </w:t>
            </w:r>
            <w:proofErr w:type="gramStart"/>
            <w:r w:rsidRPr="00313498">
              <w:rPr>
                <w:sz w:val="20"/>
                <w:szCs w:val="20"/>
              </w:rPr>
              <w:t>safeguards</w:t>
            </w:r>
            <w:proofErr w:type="gramEnd"/>
            <w:r w:rsidRPr="00313498">
              <w:rPr>
                <w:sz w:val="20"/>
                <w:szCs w:val="20"/>
              </w:rPr>
              <w:t xml:space="preserve"> put in place to mitigate issues involved in the expansion.</w:t>
            </w:r>
          </w:p>
        </w:tc>
        <w:tc>
          <w:tcPr>
            <w:tcW w:w="4232" w:type="dxa"/>
          </w:tcPr>
          <w:p w14:paraId="4F6888B6" w14:textId="77777777" w:rsidR="00914893" w:rsidRPr="00313498" w:rsidRDefault="00914893" w:rsidP="00313498">
            <w:pPr>
              <w:pStyle w:val="Numbering"/>
              <w:numPr>
                <w:ilvl w:val="0"/>
                <w:numId w:val="0"/>
              </w:numPr>
              <w:ind w:left="70"/>
              <w:rPr>
                <w:sz w:val="20"/>
                <w:szCs w:val="20"/>
              </w:rPr>
            </w:pPr>
            <w:r w:rsidRPr="00313498">
              <w:rPr>
                <w:sz w:val="20"/>
                <w:szCs w:val="20"/>
              </w:rPr>
              <w:t>Re-phrased to cover future new gTLD rounds. “Batched” is used to designate a batch of applications, as opposed to continuous applications.</w:t>
            </w:r>
          </w:p>
        </w:tc>
      </w:tr>
      <w:tr w:rsidR="00914893" w14:paraId="3A7BEF2F" w14:textId="77777777" w:rsidTr="00FA6130">
        <w:trPr>
          <w:tblHeader/>
        </w:trPr>
        <w:tc>
          <w:tcPr>
            <w:tcW w:w="5758" w:type="dxa"/>
          </w:tcPr>
          <w:p w14:paraId="6E99A87A" w14:textId="77777777" w:rsidR="00914893" w:rsidRPr="00313498" w:rsidRDefault="00914893" w:rsidP="00313498">
            <w:pPr>
              <w:pStyle w:val="Numbering"/>
              <w:numPr>
                <w:ilvl w:val="0"/>
                <w:numId w:val="0"/>
              </w:numPr>
              <w:ind w:left="70"/>
              <w:rPr>
                <w:sz w:val="20"/>
                <w:szCs w:val="20"/>
              </w:rPr>
            </w:pPr>
            <w:r w:rsidRPr="00313498">
              <w:rPr>
                <w:sz w:val="20"/>
                <w:szCs w:val="20"/>
              </w:rPr>
              <w:t>The Review team shall assess the extent to which prior Review recommendations have been implemented.</w:t>
            </w:r>
          </w:p>
        </w:tc>
        <w:tc>
          <w:tcPr>
            <w:tcW w:w="4232" w:type="dxa"/>
          </w:tcPr>
          <w:p w14:paraId="17E154B9" w14:textId="77777777" w:rsidR="00914893" w:rsidRPr="00313498" w:rsidRDefault="00914893" w:rsidP="00313498">
            <w:pPr>
              <w:pStyle w:val="Numbering"/>
              <w:numPr>
                <w:ilvl w:val="0"/>
                <w:numId w:val="0"/>
              </w:numPr>
              <w:ind w:left="70"/>
              <w:rPr>
                <w:sz w:val="20"/>
                <w:szCs w:val="20"/>
              </w:rPr>
            </w:pPr>
            <w:r w:rsidRPr="00313498">
              <w:rPr>
                <w:sz w:val="20"/>
                <w:szCs w:val="20"/>
              </w:rPr>
              <w:t>Make this explicit.</w:t>
            </w:r>
          </w:p>
        </w:tc>
      </w:tr>
      <w:tr w:rsidR="00914893" w14:paraId="20E862F7" w14:textId="77777777" w:rsidTr="00FA6130">
        <w:trPr>
          <w:tblHeader/>
        </w:trPr>
        <w:tc>
          <w:tcPr>
            <w:tcW w:w="5758" w:type="dxa"/>
          </w:tcPr>
          <w:p w14:paraId="3F93BDD5" w14:textId="0F8ECE86" w:rsidR="00914893" w:rsidRPr="00313498" w:rsidRDefault="00933849" w:rsidP="00313498">
            <w:pPr>
              <w:pStyle w:val="Numbering"/>
              <w:numPr>
                <w:ilvl w:val="0"/>
                <w:numId w:val="0"/>
              </w:numPr>
              <w:ind w:left="70"/>
              <w:rPr>
                <w:sz w:val="20"/>
                <w:szCs w:val="20"/>
              </w:rPr>
            </w:pPr>
            <w:r w:rsidRPr="00313498">
              <w:rPr>
                <w:sz w:val="20"/>
                <w:szCs w:val="20"/>
              </w:rPr>
              <w:t>For each of its recommendations, this review team should indicate whether the recommendation, if accepted, must be implemented before opening subsequent rounds of gTLD expansion.</w:t>
            </w:r>
          </w:p>
        </w:tc>
        <w:tc>
          <w:tcPr>
            <w:tcW w:w="4232" w:type="dxa"/>
          </w:tcPr>
          <w:p w14:paraId="21E67377" w14:textId="749EEABA" w:rsidR="00914893" w:rsidRPr="00313498" w:rsidRDefault="00933849" w:rsidP="00313498">
            <w:pPr>
              <w:pStyle w:val="Numbering"/>
              <w:numPr>
                <w:ilvl w:val="0"/>
                <w:numId w:val="0"/>
              </w:numPr>
              <w:ind w:left="70"/>
              <w:rPr>
                <w:sz w:val="20"/>
                <w:szCs w:val="20"/>
              </w:rPr>
            </w:pPr>
            <w:r w:rsidRPr="00313498">
              <w:rPr>
                <w:sz w:val="20"/>
                <w:szCs w:val="20"/>
              </w:rPr>
              <w:t>Board proposal, accepted by CCWG as Option B in Dublin.</w:t>
            </w:r>
          </w:p>
        </w:tc>
      </w:tr>
      <w:tr w:rsidR="00914893" w14:paraId="76C7B63E" w14:textId="77777777" w:rsidTr="00FA6130">
        <w:trPr>
          <w:tblHeader/>
        </w:trPr>
        <w:tc>
          <w:tcPr>
            <w:tcW w:w="5758" w:type="dxa"/>
          </w:tcPr>
          <w:p w14:paraId="0E296331" w14:textId="77777777" w:rsidR="00914893" w:rsidRPr="00313498" w:rsidRDefault="00914893" w:rsidP="00313498">
            <w:pPr>
              <w:pStyle w:val="Numbering"/>
              <w:numPr>
                <w:ilvl w:val="0"/>
                <w:numId w:val="0"/>
              </w:numPr>
              <w:ind w:left="70"/>
              <w:rPr>
                <w:sz w:val="20"/>
                <w:szCs w:val="20"/>
              </w:rPr>
            </w:pPr>
            <w:r w:rsidRPr="00313498">
              <w:rPr>
                <w:sz w:val="20"/>
                <w:szCs w:val="20"/>
              </w:rPr>
              <w:t>These periodic Reviews shall be convened no less frequently than every five years, measured from the date the previous Review was convened.</w:t>
            </w:r>
          </w:p>
        </w:tc>
        <w:tc>
          <w:tcPr>
            <w:tcW w:w="4232" w:type="dxa"/>
          </w:tcPr>
          <w:p w14:paraId="64CF10E3" w14:textId="77777777" w:rsidR="00914893" w:rsidRPr="00313498" w:rsidRDefault="00914893" w:rsidP="00313498">
            <w:pPr>
              <w:pStyle w:val="Numbering"/>
              <w:numPr>
                <w:ilvl w:val="0"/>
                <w:numId w:val="0"/>
              </w:numPr>
              <w:ind w:left="70"/>
              <w:rPr>
                <w:sz w:val="20"/>
                <w:szCs w:val="20"/>
              </w:rPr>
            </w:pPr>
            <w:r w:rsidRPr="00313498">
              <w:rPr>
                <w:sz w:val="20"/>
                <w:szCs w:val="20"/>
              </w:rPr>
              <w:t>AoC also required this Review 2 years after the 1st year Review.</w:t>
            </w:r>
          </w:p>
        </w:tc>
      </w:tr>
    </w:tbl>
    <w:p w14:paraId="66A76A4C" w14:textId="77777777" w:rsidR="00914893" w:rsidRDefault="00914893" w:rsidP="00465389">
      <w:pPr>
        <w:pStyle w:val="Text"/>
      </w:pPr>
      <w:r>
        <w:br w:type="page"/>
      </w:r>
    </w:p>
    <w:tbl>
      <w:tblPr>
        <w:tblStyle w:val="TableGrid"/>
        <w:tblW w:w="0" w:type="auto"/>
        <w:tblInd w:w="110" w:type="dxa"/>
        <w:tblCellMar>
          <w:left w:w="200" w:type="dxa"/>
        </w:tblCellMar>
        <w:tblLook w:val="04A0" w:firstRow="1" w:lastRow="0" w:firstColumn="1" w:lastColumn="0" w:noHBand="0" w:noVBand="1"/>
      </w:tblPr>
      <w:tblGrid>
        <w:gridCol w:w="5136"/>
        <w:gridCol w:w="3702"/>
      </w:tblGrid>
      <w:tr w:rsidR="00914893" w14:paraId="6FD42B7D" w14:textId="77777777" w:rsidTr="00FA6130">
        <w:trPr>
          <w:tblHeader/>
        </w:trPr>
        <w:tc>
          <w:tcPr>
            <w:tcW w:w="5758" w:type="dxa"/>
            <w:shd w:val="clear" w:color="auto" w:fill="D9D9D9" w:themeFill="background1" w:themeFillShade="D9"/>
          </w:tcPr>
          <w:p w14:paraId="3FA5D687" w14:textId="77777777" w:rsidR="00914893" w:rsidRPr="006F6BD1" w:rsidRDefault="00914893" w:rsidP="007F2831">
            <w:pPr>
              <w:pStyle w:val="TableHeading"/>
              <w:ind w:left="70"/>
            </w:pPr>
            <w:r w:rsidRPr="006F6BD1">
              <w:t>PROPOSED BYLAWS TEXT FOR THIS AFFIRMATION OF COMMITMENTS REVIEW</w:t>
            </w:r>
          </w:p>
        </w:tc>
        <w:tc>
          <w:tcPr>
            <w:tcW w:w="4142" w:type="dxa"/>
            <w:shd w:val="clear" w:color="auto" w:fill="D9D9D9" w:themeFill="background1" w:themeFillShade="D9"/>
          </w:tcPr>
          <w:p w14:paraId="5823C89E" w14:textId="77777777" w:rsidR="00914893" w:rsidRPr="006F6BD1" w:rsidRDefault="00914893" w:rsidP="00825BA8">
            <w:pPr>
              <w:pStyle w:val="TableHeading"/>
              <w:ind w:left="-18"/>
            </w:pPr>
            <w:r w:rsidRPr="006F6BD1">
              <w:t>NOTES</w:t>
            </w:r>
          </w:p>
        </w:tc>
      </w:tr>
      <w:tr w:rsidR="00914893" w:rsidRPr="00313498" w14:paraId="709925A7" w14:textId="77777777" w:rsidTr="00FA6130">
        <w:trPr>
          <w:tblHeader/>
        </w:trPr>
        <w:tc>
          <w:tcPr>
            <w:tcW w:w="5758" w:type="dxa"/>
          </w:tcPr>
          <w:p w14:paraId="39954F4D" w14:textId="77777777" w:rsidR="00914893" w:rsidRPr="00313498" w:rsidRDefault="00914893" w:rsidP="007F2831">
            <w:pPr>
              <w:pStyle w:val="TableHeading"/>
              <w:ind w:left="70"/>
              <w:rPr>
                <w:sz w:val="20"/>
                <w:szCs w:val="20"/>
              </w:rPr>
            </w:pPr>
            <w:r w:rsidRPr="00313498">
              <w:rPr>
                <w:sz w:val="20"/>
                <w:szCs w:val="20"/>
              </w:rPr>
              <w:t>4. Reviewing effectiveness of WHOIS/Directory Services policy and the extent to which its implementation meets the legitimate needs of law enforcement and promotes consumer trust.</w:t>
            </w:r>
          </w:p>
        </w:tc>
        <w:tc>
          <w:tcPr>
            <w:tcW w:w="4142" w:type="dxa"/>
          </w:tcPr>
          <w:p w14:paraId="300FFE3D" w14:textId="77777777" w:rsidR="00914893" w:rsidRPr="00313498" w:rsidRDefault="00914893" w:rsidP="00825BA8">
            <w:pPr>
              <w:pStyle w:val="Numbering"/>
              <w:numPr>
                <w:ilvl w:val="0"/>
                <w:numId w:val="0"/>
              </w:numPr>
              <w:ind w:left="-18"/>
              <w:rPr>
                <w:sz w:val="20"/>
                <w:szCs w:val="20"/>
              </w:rPr>
            </w:pPr>
            <w:r w:rsidRPr="00313498">
              <w:rPr>
                <w:sz w:val="20"/>
                <w:szCs w:val="20"/>
              </w:rPr>
              <w:t xml:space="preserve">Changed title to reflect likelihood that </w:t>
            </w:r>
            <w:proofErr w:type="gramStart"/>
            <w:r w:rsidRPr="00313498">
              <w:rPr>
                <w:sz w:val="20"/>
                <w:szCs w:val="20"/>
              </w:rPr>
              <w:t>WHOIS will be replaced by new Directory Services</w:t>
            </w:r>
            <w:proofErr w:type="gramEnd"/>
            <w:r w:rsidRPr="00313498">
              <w:rPr>
                <w:sz w:val="20"/>
                <w:szCs w:val="20"/>
              </w:rPr>
              <w:t>.</w:t>
            </w:r>
          </w:p>
        </w:tc>
      </w:tr>
      <w:tr w:rsidR="00914893" w:rsidRPr="00313498" w14:paraId="1A938D5A" w14:textId="77777777" w:rsidTr="00FA6130">
        <w:trPr>
          <w:tblHeader/>
        </w:trPr>
        <w:tc>
          <w:tcPr>
            <w:tcW w:w="5758" w:type="dxa"/>
          </w:tcPr>
          <w:p w14:paraId="122027AB" w14:textId="77777777" w:rsidR="00825BA8" w:rsidRPr="00313498" w:rsidRDefault="00825BA8" w:rsidP="007F2831">
            <w:pPr>
              <w:pStyle w:val="Numbering"/>
              <w:numPr>
                <w:ilvl w:val="0"/>
                <w:numId w:val="0"/>
              </w:numPr>
              <w:ind w:left="70"/>
              <w:rPr>
                <w:sz w:val="20"/>
                <w:szCs w:val="20"/>
              </w:rPr>
            </w:pPr>
            <w:r w:rsidRPr="00313498">
              <w:rPr>
                <w:sz w:val="20"/>
                <w:szCs w:val="20"/>
              </w:rPr>
              <w:t xml:space="preserve">ICANN commits to enforcing its policy relating to the current WHOIS and any future gTLD Directory Service, subject to applicable laws, and working with the community to explore structural changes to improve accuracy and access to gTLD registration data, as well as consider safeguards for protecting data. </w:t>
            </w:r>
          </w:p>
          <w:p w14:paraId="3E465A0D" w14:textId="5CC26FCA" w:rsidR="00914893" w:rsidRPr="00313498" w:rsidRDefault="00825BA8" w:rsidP="007F2831">
            <w:pPr>
              <w:pStyle w:val="Numbering"/>
              <w:ind w:left="70"/>
              <w:rPr>
                <w:sz w:val="20"/>
                <w:szCs w:val="20"/>
              </w:rPr>
            </w:pPr>
            <w:r w:rsidRPr="00313498">
              <w:rPr>
                <w:sz w:val="20"/>
                <w:szCs w:val="20"/>
              </w:rPr>
              <w:t>This Review includes a commitment that becomes part of ICANN Bylaws, regarding enforcement of the current WHOIS and any future gTLD Directory Service policy requirements.</w:t>
            </w:r>
          </w:p>
        </w:tc>
        <w:tc>
          <w:tcPr>
            <w:tcW w:w="4142" w:type="dxa"/>
          </w:tcPr>
          <w:p w14:paraId="309A1A20" w14:textId="635E4017" w:rsidR="00914893" w:rsidRPr="00313498" w:rsidRDefault="00914893" w:rsidP="00825BA8">
            <w:pPr>
              <w:pStyle w:val="Numbering"/>
              <w:numPr>
                <w:ilvl w:val="0"/>
                <w:numId w:val="0"/>
              </w:numPr>
              <w:ind w:left="-18"/>
              <w:rPr>
                <w:sz w:val="20"/>
                <w:szCs w:val="20"/>
              </w:rPr>
            </w:pPr>
            <w:r w:rsidRPr="00313498">
              <w:rPr>
                <w:sz w:val="20"/>
                <w:szCs w:val="20"/>
              </w:rPr>
              <w:t>This Review includes a commitment that becomes part of ICANN Bylaws, regarding enforcement of exi</w:t>
            </w:r>
            <w:r w:rsidR="00825BA8" w:rsidRPr="00313498">
              <w:rPr>
                <w:sz w:val="20"/>
                <w:szCs w:val="20"/>
              </w:rPr>
              <w:t>sting policy WHOIS requirements, as proposed by the ICANN Board (1-Sep-2015).</w:t>
            </w:r>
          </w:p>
          <w:p w14:paraId="2BF96B3B" w14:textId="77777777" w:rsidR="00825BA8" w:rsidRPr="00313498" w:rsidRDefault="00825BA8" w:rsidP="00825BA8">
            <w:pPr>
              <w:pStyle w:val="Numbering"/>
              <w:numPr>
                <w:ilvl w:val="0"/>
                <w:numId w:val="0"/>
              </w:numPr>
              <w:ind w:left="-18"/>
              <w:rPr>
                <w:sz w:val="20"/>
                <w:szCs w:val="20"/>
              </w:rPr>
            </w:pPr>
          </w:p>
        </w:tc>
      </w:tr>
      <w:tr w:rsidR="00914893" w:rsidRPr="00313498" w14:paraId="54D7850F" w14:textId="77777777" w:rsidTr="00FA6130">
        <w:trPr>
          <w:tblHeader/>
        </w:trPr>
        <w:tc>
          <w:tcPr>
            <w:tcW w:w="5758" w:type="dxa"/>
          </w:tcPr>
          <w:p w14:paraId="29A28426" w14:textId="3D53B2B1" w:rsidR="00914893" w:rsidRPr="00313498" w:rsidRDefault="00825BA8" w:rsidP="007F2831">
            <w:pPr>
              <w:pStyle w:val="Numbering"/>
              <w:ind w:left="70"/>
              <w:rPr>
                <w:sz w:val="20"/>
                <w:szCs w:val="20"/>
              </w:rPr>
            </w:pPr>
            <w:r w:rsidRPr="00313498">
              <w:rPr>
                <w:sz w:val="20"/>
                <w:szCs w:val="20"/>
              </w:rPr>
              <w:t>The Board shall cause a periodic Review to assess the extent to which WHOIS/Directory Services policy is effective and its implementation meets the legitimate needs of law enforcement, promotes consumer trust, and safeguards data.</w:t>
            </w:r>
          </w:p>
        </w:tc>
        <w:tc>
          <w:tcPr>
            <w:tcW w:w="4142" w:type="dxa"/>
          </w:tcPr>
          <w:p w14:paraId="5AB46019" w14:textId="75B0A7A1" w:rsidR="00914893" w:rsidRPr="00313498" w:rsidRDefault="00825BA8" w:rsidP="00825BA8">
            <w:pPr>
              <w:pStyle w:val="Numbering"/>
              <w:numPr>
                <w:ilvl w:val="0"/>
                <w:numId w:val="0"/>
              </w:numPr>
              <w:ind w:left="-18"/>
              <w:rPr>
                <w:sz w:val="20"/>
                <w:szCs w:val="20"/>
              </w:rPr>
            </w:pPr>
            <w:r w:rsidRPr="00313498">
              <w:rPr>
                <w:sz w:val="20"/>
                <w:szCs w:val="20"/>
              </w:rPr>
              <w:t>Per Board proposal (1-Sep-2015).</w:t>
            </w:r>
          </w:p>
        </w:tc>
      </w:tr>
      <w:tr w:rsidR="00914893" w:rsidRPr="00313498" w14:paraId="25A9B922" w14:textId="77777777" w:rsidTr="00FA6130">
        <w:trPr>
          <w:tblHeader/>
        </w:trPr>
        <w:tc>
          <w:tcPr>
            <w:tcW w:w="5758" w:type="dxa"/>
          </w:tcPr>
          <w:p w14:paraId="6B187274" w14:textId="77777777" w:rsidR="00914893" w:rsidRPr="00313498" w:rsidRDefault="00914893" w:rsidP="007F2831">
            <w:pPr>
              <w:pStyle w:val="Numbering"/>
              <w:numPr>
                <w:ilvl w:val="0"/>
                <w:numId w:val="0"/>
              </w:numPr>
              <w:ind w:left="70"/>
              <w:rPr>
                <w:sz w:val="20"/>
                <w:szCs w:val="20"/>
              </w:rPr>
            </w:pPr>
            <w:r w:rsidRPr="00313498">
              <w:rPr>
                <w:sz w:val="20"/>
                <w:szCs w:val="20"/>
              </w:rPr>
              <w:t>This Review will consider the OECD guidelines regarding privacy, as defined by the OECD in 1980 and amended in 2013.</w:t>
            </w:r>
          </w:p>
        </w:tc>
        <w:tc>
          <w:tcPr>
            <w:tcW w:w="4142" w:type="dxa"/>
          </w:tcPr>
          <w:p w14:paraId="23EBBC76" w14:textId="77777777" w:rsidR="00914893" w:rsidRPr="00313498" w:rsidRDefault="00914893" w:rsidP="00825BA8">
            <w:pPr>
              <w:pStyle w:val="Numbering"/>
              <w:numPr>
                <w:ilvl w:val="0"/>
                <w:numId w:val="0"/>
              </w:numPr>
              <w:ind w:left="-18"/>
              <w:rPr>
                <w:sz w:val="20"/>
                <w:szCs w:val="20"/>
              </w:rPr>
            </w:pPr>
            <w:r w:rsidRPr="00313498">
              <w:rPr>
                <w:sz w:val="20"/>
                <w:szCs w:val="20"/>
              </w:rPr>
              <w:t>New. A public comment submission noted that OECD guidelines do not have the force of law.</w:t>
            </w:r>
          </w:p>
        </w:tc>
      </w:tr>
      <w:tr w:rsidR="00914893" w:rsidRPr="00313498" w14:paraId="50278097" w14:textId="77777777" w:rsidTr="00FA6130">
        <w:trPr>
          <w:tblHeader/>
        </w:trPr>
        <w:tc>
          <w:tcPr>
            <w:tcW w:w="5758" w:type="dxa"/>
          </w:tcPr>
          <w:p w14:paraId="7B302504" w14:textId="4302260A" w:rsidR="00914893" w:rsidRPr="00313498" w:rsidRDefault="00825BA8" w:rsidP="007F2831">
            <w:pPr>
              <w:pStyle w:val="Numbering"/>
              <w:ind w:left="70"/>
              <w:rPr>
                <w:sz w:val="20"/>
                <w:szCs w:val="20"/>
              </w:rPr>
            </w:pPr>
            <w:r w:rsidRPr="00313498">
              <w:rPr>
                <w:sz w:val="20"/>
                <w:szCs w:val="20"/>
              </w:rPr>
              <w:t>The Review Team shall assess the extent to which prior Review recommendations have been completed, and the extent to which implementation has had the intended effect.</w:t>
            </w:r>
          </w:p>
        </w:tc>
        <w:tc>
          <w:tcPr>
            <w:tcW w:w="4142" w:type="dxa"/>
          </w:tcPr>
          <w:p w14:paraId="0108F83A" w14:textId="05A31753" w:rsidR="00914893" w:rsidRPr="00313498" w:rsidRDefault="00825BA8" w:rsidP="00825BA8">
            <w:pPr>
              <w:pStyle w:val="Numbering"/>
              <w:numPr>
                <w:ilvl w:val="0"/>
                <w:numId w:val="0"/>
              </w:numPr>
              <w:ind w:left="-18"/>
              <w:rPr>
                <w:sz w:val="20"/>
                <w:szCs w:val="20"/>
              </w:rPr>
            </w:pPr>
            <w:r w:rsidRPr="00313498">
              <w:rPr>
                <w:sz w:val="20"/>
                <w:szCs w:val="20"/>
              </w:rPr>
              <w:t>Per Board proposal (1-Sep-2015).</w:t>
            </w:r>
          </w:p>
        </w:tc>
      </w:tr>
      <w:tr w:rsidR="00914893" w:rsidRPr="00313498" w14:paraId="2B74C180" w14:textId="77777777" w:rsidTr="00FA6130">
        <w:trPr>
          <w:tblHeader/>
        </w:trPr>
        <w:tc>
          <w:tcPr>
            <w:tcW w:w="5758" w:type="dxa"/>
          </w:tcPr>
          <w:p w14:paraId="167D118D" w14:textId="77777777" w:rsidR="00914893" w:rsidRPr="00313498" w:rsidRDefault="00914893" w:rsidP="007F2831">
            <w:pPr>
              <w:pStyle w:val="Numbering"/>
              <w:numPr>
                <w:ilvl w:val="0"/>
                <w:numId w:val="0"/>
              </w:numPr>
              <w:ind w:left="70"/>
              <w:rPr>
                <w:sz w:val="20"/>
                <w:szCs w:val="20"/>
              </w:rPr>
            </w:pPr>
            <w:r w:rsidRPr="00313498">
              <w:rPr>
                <w:sz w:val="20"/>
                <w:szCs w:val="20"/>
              </w:rPr>
              <w:t>This periodic Review shall be convened no less frequently than every five years, measured from the date the previous Review was convened.</w:t>
            </w:r>
          </w:p>
        </w:tc>
        <w:tc>
          <w:tcPr>
            <w:tcW w:w="4142" w:type="dxa"/>
          </w:tcPr>
          <w:p w14:paraId="5717145B" w14:textId="77777777" w:rsidR="00914893" w:rsidRPr="00313498" w:rsidRDefault="00914893" w:rsidP="00825BA8">
            <w:pPr>
              <w:pStyle w:val="Numbering"/>
              <w:numPr>
                <w:ilvl w:val="0"/>
                <w:numId w:val="0"/>
              </w:numPr>
              <w:ind w:left="-18"/>
              <w:rPr>
                <w:sz w:val="20"/>
                <w:szCs w:val="20"/>
              </w:rPr>
            </w:pPr>
            <w:r w:rsidRPr="00313498">
              <w:rPr>
                <w:sz w:val="20"/>
                <w:szCs w:val="20"/>
              </w:rPr>
              <w:t>The AoC required this Review every 3 years.</w:t>
            </w:r>
          </w:p>
        </w:tc>
      </w:tr>
    </w:tbl>
    <w:p w14:paraId="39300831" w14:textId="77777777" w:rsidR="00914893" w:rsidRDefault="00914893" w:rsidP="00465389">
      <w:pPr>
        <w:pStyle w:val="Text"/>
      </w:pPr>
      <w:r>
        <w:br w:type="page"/>
      </w:r>
    </w:p>
    <w:p w14:paraId="02B71E97" w14:textId="77777777" w:rsidR="00914893" w:rsidRDefault="00914893" w:rsidP="00465389">
      <w:pPr>
        <w:pStyle w:val="Numbering"/>
        <w:numPr>
          <w:ilvl w:val="0"/>
          <w:numId w:val="0"/>
        </w:numPr>
        <w:ind w:left="-160"/>
      </w:pPr>
      <w:r w:rsidRPr="006F6BD1">
        <w:t xml:space="preserve">The CWG-Stewardship has also proposed an IANA Function Review that should be added to the </w:t>
      </w:r>
      <w:r>
        <w:t xml:space="preserve">ICANN Bylaws, as a Fundamental </w:t>
      </w:r>
      <w:r w:rsidRPr="006F6BD1">
        <w:t>Bylaw.</w:t>
      </w:r>
    </w:p>
    <w:tbl>
      <w:tblPr>
        <w:tblStyle w:val="TableGrid"/>
        <w:tblW w:w="9040" w:type="dxa"/>
        <w:jc w:val="right"/>
        <w:tblInd w:w="-30" w:type="dxa"/>
        <w:tblCellMar>
          <w:left w:w="220" w:type="dxa"/>
        </w:tblCellMar>
        <w:tblLook w:val="04A0" w:firstRow="1" w:lastRow="0" w:firstColumn="1" w:lastColumn="0" w:noHBand="0" w:noVBand="1"/>
      </w:tblPr>
      <w:tblGrid>
        <w:gridCol w:w="9040"/>
      </w:tblGrid>
      <w:tr w:rsidR="00914893" w14:paraId="69090F6C" w14:textId="77777777" w:rsidTr="007F2831">
        <w:trPr>
          <w:jc w:val="right"/>
        </w:trPr>
        <w:tc>
          <w:tcPr>
            <w:tcW w:w="9040" w:type="dxa"/>
            <w:shd w:val="clear" w:color="auto" w:fill="D9D9D9" w:themeFill="background1" w:themeFillShade="D9"/>
          </w:tcPr>
          <w:p w14:paraId="461D31B7" w14:textId="77777777" w:rsidR="00914893" w:rsidRPr="006F6BD1" w:rsidRDefault="00914893" w:rsidP="00465389">
            <w:pPr>
              <w:pStyle w:val="TableHeading"/>
            </w:pPr>
            <w:r w:rsidRPr="006F6BD1">
              <w:t>IANA FUNCTION REVIEW AND SPECIAL IANA FUNCTION REVIEW</w:t>
            </w:r>
          </w:p>
        </w:tc>
      </w:tr>
      <w:tr w:rsidR="00914893" w14:paraId="016DBF81" w14:textId="77777777" w:rsidTr="007F2831">
        <w:trPr>
          <w:jc w:val="right"/>
        </w:trPr>
        <w:tc>
          <w:tcPr>
            <w:tcW w:w="9040" w:type="dxa"/>
          </w:tcPr>
          <w:p w14:paraId="1BA1A031" w14:textId="77777777" w:rsidR="00914893" w:rsidRPr="007F2831" w:rsidRDefault="00914893" w:rsidP="00465389">
            <w:pPr>
              <w:pStyle w:val="Numbering"/>
              <w:numPr>
                <w:ilvl w:val="0"/>
                <w:numId w:val="0"/>
              </w:numPr>
              <w:ind w:left="-160"/>
              <w:rPr>
                <w:sz w:val="20"/>
                <w:szCs w:val="20"/>
              </w:rPr>
            </w:pPr>
            <w:r w:rsidRPr="007F2831">
              <w:rPr>
                <w:sz w:val="20"/>
                <w:szCs w:val="20"/>
              </w:rPr>
              <w:t xml:space="preserve">The CWG-Stewardship recommends that PTI’s performance against the ICANN – PTI contract and the Statement of Work (SOW) </w:t>
            </w:r>
            <w:proofErr w:type="gramStart"/>
            <w:r w:rsidRPr="007F2831">
              <w:rPr>
                <w:sz w:val="20"/>
                <w:szCs w:val="20"/>
              </w:rPr>
              <w:t>be</w:t>
            </w:r>
            <w:proofErr w:type="gramEnd"/>
            <w:r w:rsidRPr="007F2831">
              <w:rPr>
                <w:sz w:val="20"/>
                <w:szCs w:val="20"/>
              </w:rPr>
              <w:t xml:space="preserve"> reviewed as part of the IANA Function Review (IFR). The IFR would be obliged to take into account multiple input sources including community comments, IANA Customer Standing Committee (CSC) evaluations, reports submitted by the PTI, and recommendations for technical or process improvements. The outcomes of reports submitted to the CSC, Reviews and comments received on these reports during the relevant time period will be included as input to the IFR. The IFR will also review the SOW to determine if any amendments should be recommended. The IFR mandate is strictly limited to evaluation of PTI performance against the SOW and does not include any evaluation relating to policy or contracting issues that are not part of the IANA Functions Contract between ICANN and PTI or the SOW. In particular it does not include issues related to policy development and adoption processes, or contract enforcement measures between contracted registries and ICANN.</w:t>
            </w:r>
          </w:p>
          <w:p w14:paraId="228B383E" w14:textId="77777777" w:rsidR="00914893" w:rsidRPr="007F2831" w:rsidRDefault="00914893" w:rsidP="00465389">
            <w:pPr>
              <w:pStyle w:val="Numbering"/>
              <w:numPr>
                <w:ilvl w:val="0"/>
                <w:numId w:val="0"/>
              </w:numPr>
              <w:ind w:left="-160"/>
              <w:rPr>
                <w:sz w:val="20"/>
                <w:szCs w:val="20"/>
              </w:rPr>
            </w:pPr>
            <w:r w:rsidRPr="007F2831">
              <w:rPr>
                <w:sz w:val="20"/>
                <w:szCs w:val="20"/>
              </w:rPr>
              <w:t>The first IFR is recommended to take place no more than 2 years after the transition is completed. After the initial Review, the periodic IFR should occur at intervals of no more than 5 years.</w:t>
            </w:r>
          </w:p>
          <w:p w14:paraId="51F95E17" w14:textId="77777777" w:rsidR="00914893" w:rsidRPr="007F2831" w:rsidRDefault="00914893" w:rsidP="00465389">
            <w:pPr>
              <w:pStyle w:val="Numbering"/>
              <w:numPr>
                <w:ilvl w:val="0"/>
                <w:numId w:val="0"/>
              </w:numPr>
              <w:ind w:left="-160"/>
              <w:rPr>
                <w:sz w:val="20"/>
                <w:szCs w:val="20"/>
              </w:rPr>
            </w:pPr>
            <w:r w:rsidRPr="007F2831">
              <w:rPr>
                <w:sz w:val="20"/>
                <w:szCs w:val="20"/>
              </w:rPr>
              <w:t>The IFR should be outlined in the ICANN Bylaws and included as a Fundamental Bylaw as part of the work of the CCWG-Accountability and would operate in a manner analogous to an AoC Review. The Members of the IANA Function Review Team (IFRT) would be selected by the SOs and ACs and would include several liaisons from other communities. While the IFRT is intended to be a smaller group, it will be open to participants in much the same way as the CWG-Stewardship is.</w:t>
            </w:r>
          </w:p>
          <w:p w14:paraId="669B81B4" w14:textId="77777777" w:rsidR="00914893" w:rsidRPr="007F2831" w:rsidRDefault="00914893" w:rsidP="00465389">
            <w:pPr>
              <w:pStyle w:val="Numbering"/>
              <w:numPr>
                <w:ilvl w:val="0"/>
                <w:numId w:val="0"/>
              </w:numPr>
              <w:ind w:left="-160"/>
              <w:rPr>
                <w:sz w:val="20"/>
                <w:szCs w:val="20"/>
              </w:rPr>
            </w:pPr>
            <w:r w:rsidRPr="007F2831">
              <w:rPr>
                <w:sz w:val="20"/>
                <w:szCs w:val="20"/>
              </w:rPr>
              <w:t xml:space="preserve">While the IFR will normally be scheduled based on a regular cycle of no more than five years in line with other ICANN Reviews, a Special IANA Function Review (Special IFR) may also be initiated when CSC Remedial Action Procedures (as described in the CWG-Stewardship Proposal) are followed and fail to correct the identified deficiency and the IANA Problem Resolution Process (as described in the CWG-Stewardship Proposal) is followed and fails to correct the identified deficiency. Following the exhaustion of these escalation mechanisms, the ccNSO and GNSO will be responsible for checking and reviewing the outcome of the CSC process, and the IANA Problem Resolution Process and for determining whether or not a Special IFR is necessary. After consideration, which may include a public comment period and must include meaningful consultation with other SOs and </w:t>
            </w:r>
            <w:proofErr w:type="gramStart"/>
            <w:r w:rsidRPr="007F2831">
              <w:rPr>
                <w:sz w:val="20"/>
                <w:szCs w:val="20"/>
              </w:rPr>
              <w:t>ACs ,</w:t>
            </w:r>
            <w:proofErr w:type="gramEnd"/>
            <w:r w:rsidRPr="007F2831">
              <w:rPr>
                <w:sz w:val="20"/>
                <w:szCs w:val="20"/>
              </w:rPr>
              <w:t xml:space="preserve"> the Special IFR could be triggered. In order to trigger a Special IFR, it would require a vote of both of the ccNSO and GNSO Councils (each by a supermajority vote according to their normal procedures for determining supermajority).</w:t>
            </w:r>
          </w:p>
          <w:p w14:paraId="76CBBF10" w14:textId="77777777" w:rsidR="00914893" w:rsidRDefault="00914893" w:rsidP="00465389">
            <w:pPr>
              <w:pStyle w:val="Numbering"/>
              <w:numPr>
                <w:ilvl w:val="0"/>
                <w:numId w:val="0"/>
              </w:numPr>
              <w:ind w:left="-160"/>
            </w:pPr>
            <w:r w:rsidRPr="007F2831">
              <w:rPr>
                <w:sz w:val="20"/>
                <w:szCs w:val="20"/>
              </w:rPr>
              <w:t>The Special IFR will follow the same multistakeholder cross community composition and process structure as the periodic IANA Function Review. The scope of the Special IFR will be narrower than a periodic IFR, focused primarily on the identified deficiency or problem, its implications for overall IANA performance, and how that issue is best resolved. As with the periodic IFR, the Special IFR is limited to a review of the performance of the IANA Functions operation, including the CSC, but should not consider policy development and adoption processes or the relationship between ICANN and its contracted TLDs. The results of the IFR or Special IFR will not be prescribed or restricted and could include recommendations to initiate a separation process, which could result in termination or non-renewal of the IANA Functions Contract between ICANN and PTI among other actions.</w:t>
            </w:r>
          </w:p>
        </w:tc>
      </w:tr>
    </w:tbl>
    <w:p w14:paraId="5B7CCCE6" w14:textId="77777777" w:rsidR="009F45C6" w:rsidRDefault="009F45C6" w:rsidP="00465389"/>
    <w:sectPr w:rsidR="009F45C6" w:rsidSect="00F85886">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3D508" w14:textId="77777777" w:rsidR="00313498" w:rsidRDefault="00313498">
      <w:pPr>
        <w:spacing w:before="0" w:after="0"/>
      </w:pPr>
      <w:r>
        <w:separator/>
      </w:r>
    </w:p>
  </w:endnote>
  <w:endnote w:type="continuationSeparator" w:id="0">
    <w:p w14:paraId="0DE2ACC7" w14:textId="77777777" w:rsidR="00313498" w:rsidRDefault="003134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8A64" w14:textId="77777777" w:rsidR="00313498" w:rsidRDefault="00313498">
      <w:pPr>
        <w:spacing w:before="0" w:after="0"/>
      </w:pPr>
      <w:r>
        <w:separator/>
      </w:r>
    </w:p>
  </w:footnote>
  <w:footnote w:type="continuationSeparator" w:id="0">
    <w:p w14:paraId="71B015DC" w14:textId="77777777" w:rsidR="00313498" w:rsidRDefault="0031349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71B13" w14:textId="77777777" w:rsidR="00313498" w:rsidRPr="007D197E" w:rsidRDefault="00313498" w:rsidP="00FA6130">
    <w:pPr>
      <w:pStyle w:val="Header"/>
      <w:rPr>
        <w:noProof/>
      </w:rPr>
    </w:pPr>
    <w:r w:rsidRPr="00236C25">
      <w:rPr>
        <w:noProof/>
      </w:rPr>
      <mc:AlternateContent>
        <mc:Choice Requires="wps">
          <w:drawing>
            <wp:anchor distT="4294967295" distB="4294967295" distL="114300" distR="114300" simplePos="0" relativeHeight="251661312" behindDoc="0" locked="0" layoutInCell="1" allowOverlap="1" wp14:anchorId="5D7633F0" wp14:editId="1AB36644">
              <wp:simplePos x="0" y="0"/>
              <wp:positionH relativeFrom="column">
                <wp:posOffset>-45720</wp:posOffset>
              </wp:positionH>
              <wp:positionV relativeFrom="paragraph">
                <wp:posOffset>266065</wp:posOffset>
              </wp:positionV>
              <wp:extent cx="5702300" cy="0"/>
              <wp:effectExtent l="0" t="0" r="12700" b="2540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7"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55pt,20.95pt" to="445.4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" strokecolor="#a5a5a5 [2092]" strokeweight="2pt">
              <o:lock v:ext="edit" shapetype="f"/>
            </v:line>
          </w:pict>
        </mc:Fallback>
      </mc:AlternateContent>
    </w:r>
    <w:r w:rsidRPr="00236C25">
      <w:rPr>
        <w:noProof/>
      </w:rPr>
      <mc:AlternateContent>
        <mc:Choice Requires="wps">
          <w:drawing>
            <wp:anchor distT="0" distB="0" distL="114300" distR="114300" simplePos="0" relativeHeight="251662336" behindDoc="0" locked="0" layoutInCell="1" allowOverlap="1" wp14:anchorId="6F66FDA4" wp14:editId="5D1D6C98">
              <wp:simplePos x="0" y="0"/>
              <wp:positionH relativeFrom="column">
                <wp:posOffset>5645150</wp:posOffset>
              </wp:positionH>
              <wp:positionV relativeFrom="paragraph">
                <wp:posOffset>266700</wp:posOffset>
              </wp:positionV>
              <wp:extent cx="698500" cy="0"/>
              <wp:effectExtent l="0" t="0" r="12700" b="25400"/>
              <wp:wrapNone/>
              <wp:docPr id="12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" strokecolor="#205867 [1608]" strokeweight="2pt"/>
          </w:pict>
        </mc:Fallback>
      </mc:AlternateContent>
    </w:r>
    <w:r w:rsidRPr="007D197E">
      <w:rPr>
        <w:noProof/>
      </w:rPr>
      <w:t>9. Incorporation of the Affirmation of Commitments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5239" w14:textId="77777777" w:rsidR="00313498" w:rsidRPr="007D197E" w:rsidRDefault="00313498" w:rsidP="00FA6130">
    <w:pPr>
      <w:pStyle w:val="Header"/>
      <w:rPr>
        <w:noProof/>
      </w:rPr>
    </w:pPr>
    <w:r w:rsidRPr="00236C25">
      <w:rPr>
        <w:noProof/>
      </w:rPr>
      <mc:AlternateContent>
        <mc:Choice Requires="wps">
          <w:drawing>
            <wp:anchor distT="4294967295" distB="4294967295" distL="114300" distR="114300" simplePos="0" relativeHeight="251659264" behindDoc="0" locked="0" layoutInCell="1" allowOverlap="1" wp14:anchorId="4CDBF256" wp14:editId="2CECB565">
              <wp:simplePos x="0" y="0"/>
              <wp:positionH relativeFrom="column">
                <wp:posOffset>-45720</wp:posOffset>
              </wp:positionH>
              <wp:positionV relativeFrom="paragraph">
                <wp:posOffset>266065</wp:posOffset>
              </wp:positionV>
              <wp:extent cx="5702300" cy="0"/>
              <wp:effectExtent l="0" t="0" r="12700" b="254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55pt,20.95pt" to="445.4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" strokecolor="#a5a5a5 [2092]" strokeweight="2pt">
              <o:lock v:ext="edit" shapetype="f"/>
            </v:line>
          </w:pict>
        </mc:Fallback>
      </mc:AlternateContent>
    </w:r>
    <w:r w:rsidRPr="00236C25">
      <w:rPr>
        <w:noProof/>
      </w:rPr>
      <mc:AlternateContent>
        <mc:Choice Requires="wps">
          <w:drawing>
            <wp:anchor distT="0" distB="0" distL="114300" distR="114300" simplePos="0" relativeHeight="251660288" behindDoc="0" locked="0" layoutInCell="1" allowOverlap="1" wp14:anchorId="0FF7A99A" wp14:editId="2B323E7B">
              <wp:simplePos x="0" y="0"/>
              <wp:positionH relativeFrom="column">
                <wp:posOffset>5645150</wp:posOffset>
              </wp:positionH>
              <wp:positionV relativeFrom="paragraph">
                <wp:posOffset>266700</wp:posOffset>
              </wp:positionV>
              <wp:extent cx="698500" cy="0"/>
              <wp:effectExtent l="0" t="0" r="12700" b="25400"/>
              <wp:wrapNone/>
              <wp:docPr id="6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" strokecolor="#205867 [1608]" strokeweight="2pt"/>
          </w:pict>
        </mc:Fallback>
      </mc:AlternateContent>
    </w:r>
    <w:r w:rsidRPr="007D197E">
      <w:rPr>
        <w:noProof/>
      </w:rPr>
      <w:t>9. Incorporation of the Affirmation of Commitments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74C0"/>
    <w:multiLevelType w:val="multilevel"/>
    <w:tmpl w:val="8FA05F10"/>
    <w:lvl w:ilvl="0">
      <w:start w:val="1"/>
      <w:numFmt w:val="decimalZero"/>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2EE00CA"/>
    <w:multiLevelType w:val="hybridMultilevel"/>
    <w:tmpl w:val="3BA6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71563"/>
    <w:multiLevelType w:val="hybridMultilevel"/>
    <w:tmpl w:val="6CB617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4A4F047E"/>
    <w:multiLevelType w:val="multilevel"/>
    <w:tmpl w:val="B8A65E54"/>
    <w:lvl w:ilvl="0">
      <w:start w:val="1"/>
      <w:numFmt w:val="lowerLetter"/>
      <w:pStyle w:val="ListParagraph"/>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5">
    <w:nsid w:val="685712D4"/>
    <w:multiLevelType w:val="hybridMultilevel"/>
    <w:tmpl w:val="8FA05F10"/>
    <w:lvl w:ilvl="0" w:tplc="7D9ADFE4">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93"/>
    <w:rsid w:val="001232EC"/>
    <w:rsid w:val="0019126B"/>
    <w:rsid w:val="001B239A"/>
    <w:rsid w:val="0025590E"/>
    <w:rsid w:val="002F54EC"/>
    <w:rsid w:val="00313498"/>
    <w:rsid w:val="003153DA"/>
    <w:rsid w:val="0036523A"/>
    <w:rsid w:val="00465389"/>
    <w:rsid w:val="004A3DB9"/>
    <w:rsid w:val="00530A19"/>
    <w:rsid w:val="00560F73"/>
    <w:rsid w:val="00571579"/>
    <w:rsid w:val="005A2561"/>
    <w:rsid w:val="007277CE"/>
    <w:rsid w:val="007311CA"/>
    <w:rsid w:val="007F2831"/>
    <w:rsid w:val="00825BA8"/>
    <w:rsid w:val="008A6978"/>
    <w:rsid w:val="008B4183"/>
    <w:rsid w:val="008F5914"/>
    <w:rsid w:val="00901161"/>
    <w:rsid w:val="00914893"/>
    <w:rsid w:val="00930E4E"/>
    <w:rsid w:val="00933849"/>
    <w:rsid w:val="009F45C6"/>
    <w:rsid w:val="00B830BB"/>
    <w:rsid w:val="00BF0B8A"/>
    <w:rsid w:val="00C046CB"/>
    <w:rsid w:val="00C579EC"/>
    <w:rsid w:val="00CE6870"/>
    <w:rsid w:val="00E60CA5"/>
    <w:rsid w:val="00EE6C42"/>
    <w:rsid w:val="00F35347"/>
    <w:rsid w:val="00F370BA"/>
    <w:rsid w:val="00F70C08"/>
    <w:rsid w:val="00F85886"/>
    <w:rsid w:val="00FA6130"/>
    <w:rsid w:val="00FA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2D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3"/>
    <w:pPr>
      <w:spacing w:before="120" w:after="120"/>
    </w:pPr>
    <w:rPr>
      <w:rFonts w:ascii="Helvetica" w:hAnsi="Helvetica"/>
      <w:sz w:val="22"/>
    </w:rPr>
  </w:style>
  <w:style w:type="paragraph" w:styleId="Heading2">
    <w:name w:val="heading 2"/>
    <w:aliases w:val="+ Heading 2"/>
    <w:basedOn w:val="Normal"/>
    <w:next w:val="Normal"/>
    <w:link w:val="Heading2Char"/>
    <w:uiPriority w:val="9"/>
    <w:unhideWhenUsed/>
    <w:qFormat/>
    <w:rsid w:val="00914893"/>
    <w:pPr>
      <w:keepNext/>
      <w:keepLines/>
      <w:spacing w:before="360"/>
      <w:outlineLvl w:val="1"/>
    </w:pPr>
    <w:rPr>
      <w:rFonts w:eastAsiaTheme="majorEastAsia" w:cstheme="majorBidi"/>
      <w:b/>
      <w:bCs/>
      <w:color w:val="215868" w:themeColor="accent5" w:themeShade="80"/>
      <w:sz w:val="26"/>
      <w:szCs w:val="26"/>
    </w:rPr>
  </w:style>
  <w:style w:type="paragraph" w:styleId="Heading4">
    <w:name w:val="heading 4"/>
    <w:basedOn w:val="Normal"/>
    <w:next w:val="Normal"/>
    <w:link w:val="Heading4Char"/>
    <w:uiPriority w:val="9"/>
    <w:semiHidden/>
    <w:unhideWhenUsed/>
    <w:qFormat/>
    <w:rsid w:val="00560F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Heading 2 Char"/>
    <w:basedOn w:val="DefaultParagraphFont"/>
    <w:link w:val="Heading2"/>
    <w:uiPriority w:val="9"/>
    <w:rsid w:val="00914893"/>
    <w:rPr>
      <w:rFonts w:ascii="Helvetica" w:eastAsiaTheme="majorEastAsia" w:hAnsi="Helvetica" w:cstheme="majorBidi"/>
      <w:b/>
      <w:bCs/>
      <w:color w:val="215868" w:themeColor="accent5" w:themeShade="80"/>
      <w:sz w:val="26"/>
      <w:szCs w:val="26"/>
    </w:rPr>
  </w:style>
  <w:style w:type="paragraph" w:styleId="ListParagraph">
    <w:name w:val="List Paragraph"/>
    <w:aliases w:val="+ List Paragraph"/>
    <w:basedOn w:val="Normal"/>
    <w:uiPriority w:val="34"/>
    <w:qFormat/>
    <w:rsid w:val="00914893"/>
    <w:pPr>
      <w:numPr>
        <w:numId w:val="3"/>
      </w:numPr>
      <w:spacing w:before="0"/>
    </w:pPr>
    <w:rPr>
      <w:szCs w:val="22"/>
    </w:rPr>
  </w:style>
  <w:style w:type="table" w:styleId="TableGrid">
    <w:name w:val="Table Grid"/>
    <w:basedOn w:val="TableNormal"/>
    <w:uiPriority w:val="39"/>
    <w:rsid w:val="00914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Section Title"/>
    <w:basedOn w:val="Normal"/>
    <w:next w:val="Normal"/>
    <w:link w:val="TitleChar"/>
    <w:uiPriority w:val="10"/>
    <w:qFormat/>
    <w:rsid w:val="00914893"/>
    <w:pPr>
      <w:pBdr>
        <w:bottom w:val="single" w:sz="8" w:space="4" w:color="215868" w:themeColor="accent5" w:themeShade="80"/>
      </w:pBdr>
      <w:spacing w:after="300"/>
      <w:contextualSpacing/>
    </w:pPr>
    <w:rPr>
      <w:rFonts w:eastAsiaTheme="majorEastAsia" w:cstheme="majorBidi"/>
      <w:color w:val="215868" w:themeColor="accent5" w:themeShade="80"/>
      <w:spacing w:val="5"/>
      <w:kern w:val="28"/>
      <w:sz w:val="52"/>
      <w:szCs w:val="52"/>
    </w:rPr>
  </w:style>
  <w:style w:type="character" w:customStyle="1" w:styleId="TitleChar">
    <w:name w:val="Title Char"/>
    <w:aliases w:val="+Section Title Char"/>
    <w:basedOn w:val="DefaultParagraphFont"/>
    <w:link w:val="Title"/>
    <w:uiPriority w:val="10"/>
    <w:rsid w:val="00914893"/>
    <w:rPr>
      <w:rFonts w:ascii="Helvetica" w:eastAsiaTheme="majorEastAsia" w:hAnsi="Helvetica" w:cstheme="majorBidi"/>
      <w:color w:val="215868" w:themeColor="accent5" w:themeShade="80"/>
      <w:spacing w:val="5"/>
      <w:kern w:val="28"/>
      <w:sz w:val="52"/>
      <w:szCs w:val="52"/>
    </w:rPr>
  </w:style>
  <w:style w:type="paragraph" w:styleId="Header">
    <w:name w:val="header"/>
    <w:aliases w:val="+ Header"/>
    <w:basedOn w:val="Normal"/>
    <w:link w:val="HeaderChar"/>
    <w:uiPriority w:val="99"/>
    <w:unhideWhenUsed/>
    <w:rsid w:val="00914893"/>
    <w:pPr>
      <w:tabs>
        <w:tab w:val="center" w:pos="4320"/>
        <w:tab w:val="right" w:pos="8640"/>
      </w:tabs>
    </w:pPr>
    <w:rPr>
      <w:color w:val="215868" w:themeColor="accent5" w:themeShade="80"/>
      <w:szCs w:val="22"/>
    </w:rPr>
  </w:style>
  <w:style w:type="character" w:customStyle="1" w:styleId="HeaderChar">
    <w:name w:val="Header Char"/>
    <w:aliases w:val="+ Header Char"/>
    <w:basedOn w:val="DefaultParagraphFont"/>
    <w:link w:val="Header"/>
    <w:uiPriority w:val="99"/>
    <w:rsid w:val="00914893"/>
    <w:rPr>
      <w:rFonts w:ascii="Helvetica" w:hAnsi="Helvetica"/>
      <w:color w:val="215868" w:themeColor="accent5" w:themeShade="80"/>
      <w:sz w:val="22"/>
      <w:szCs w:val="22"/>
    </w:rPr>
  </w:style>
  <w:style w:type="paragraph" w:customStyle="1" w:styleId="Text">
    <w:name w:val="+ Text"/>
    <w:qFormat/>
    <w:rsid w:val="00914893"/>
    <w:pPr>
      <w:spacing w:before="120" w:after="120"/>
    </w:pPr>
    <w:rPr>
      <w:rFonts w:ascii="Helvetica" w:hAnsi="Helvetica"/>
      <w:sz w:val="22"/>
      <w:szCs w:val="22"/>
    </w:rPr>
  </w:style>
  <w:style w:type="paragraph" w:customStyle="1" w:styleId="Numbering">
    <w:name w:val="+Numbering"/>
    <w:basedOn w:val="Text"/>
    <w:qFormat/>
    <w:rsid w:val="00914893"/>
    <w:pPr>
      <w:numPr>
        <w:numId w:val="2"/>
      </w:numPr>
      <w:tabs>
        <w:tab w:val="clear" w:pos="440"/>
        <w:tab w:val="num" w:pos="280"/>
      </w:tabs>
      <w:spacing w:before="80" w:after="80"/>
      <w:ind w:left="280"/>
    </w:pPr>
  </w:style>
  <w:style w:type="paragraph" w:customStyle="1" w:styleId="TableHeading">
    <w:name w:val="+Table Heading"/>
    <w:basedOn w:val="Text"/>
    <w:qFormat/>
    <w:rsid w:val="00914893"/>
    <w:rPr>
      <w:b/>
      <w:bCs/>
      <w:color w:val="215868" w:themeColor="accent5" w:themeShade="80"/>
    </w:rPr>
  </w:style>
  <w:style w:type="character" w:customStyle="1" w:styleId="NumberingforHeading2">
    <w:name w:val="+Numbering for Heading 2"/>
    <w:basedOn w:val="Heading2Char"/>
    <w:uiPriority w:val="1"/>
    <w:qFormat/>
    <w:rsid w:val="00914893"/>
    <w:rPr>
      <w:rFonts w:ascii="Helvetica" w:eastAsiaTheme="majorEastAsia" w:hAnsi="Helvetica" w:cstheme="majorBidi"/>
      <w:b/>
      <w:bCs w:val="0"/>
      <w:i w:val="0"/>
      <w:color w:val="215868" w:themeColor="accent5" w:themeShade="80"/>
      <w:sz w:val="26"/>
      <w:szCs w:val="26"/>
    </w:rPr>
  </w:style>
  <w:style w:type="paragraph" w:customStyle="1" w:styleId="Textbold">
    <w:name w:val="+Text bold"/>
    <w:basedOn w:val="Text"/>
    <w:qFormat/>
    <w:rsid w:val="00C046CB"/>
    <w:rPr>
      <w:b/>
    </w:rPr>
  </w:style>
  <w:style w:type="character" w:customStyle="1" w:styleId="Heading4Char">
    <w:name w:val="Heading 4 Char"/>
    <w:basedOn w:val="DefaultParagraphFont"/>
    <w:link w:val="Heading4"/>
    <w:uiPriority w:val="9"/>
    <w:semiHidden/>
    <w:rsid w:val="00560F73"/>
    <w:rPr>
      <w:rFonts w:asciiTheme="majorHAnsi" w:eastAsiaTheme="majorEastAsia" w:hAnsiTheme="majorHAnsi" w:cstheme="majorBidi"/>
      <w:b/>
      <w:bCs/>
      <w:i/>
      <w:iCs/>
      <w:color w:val="4F81BD" w:themeColor="accent1"/>
      <w:sz w:val="22"/>
    </w:rPr>
  </w:style>
  <w:style w:type="paragraph" w:styleId="NormalWeb">
    <w:name w:val="Normal (Web)"/>
    <w:basedOn w:val="Normal"/>
    <w:uiPriority w:val="99"/>
    <w:unhideWhenUsed/>
    <w:rsid w:val="00560F73"/>
    <w:pPr>
      <w:spacing w:before="100" w:beforeAutospacing="1" w:after="100" w:afterAutospacing="1"/>
      <w:ind w:left="360" w:hanging="36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93"/>
    <w:pPr>
      <w:spacing w:before="120" w:after="120"/>
    </w:pPr>
    <w:rPr>
      <w:rFonts w:ascii="Helvetica" w:hAnsi="Helvetica"/>
      <w:sz w:val="22"/>
    </w:rPr>
  </w:style>
  <w:style w:type="paragraph" w:styleId="Heading2">
    <w:name w:val="heading 2"/>
    <w:aliases w:val="+ Heading 2"/>
    <w:basedOn w:val="Normal"/>
    <w:next w:val="Normal"/>
    <w:link w:val="Heading2Char"/>
    <w:uiPriority w:val="9"/>
    <w:unhideWhenUsed/>
    <w:qFormat/>
    <w:rsid w:val="00914893"/>
    <w:pPr>
      <w:keepNext/>
      <w:keepLines/>
      <w:spacing w:before="360"/>
      <w:outlineLvl w:val="1"/>
    </w:pPr>
    <w:rPr>
      <w:rFonts w:eastAsiaTheme="majorEastAsia" w:cstheme="majorBidi"/>
      <w:b/>
      <w:bCs/>
      <w:color w:val="215868" w:themeColor="accent5" w:themeShade="80"/>
      <w:sz w:val="26"/>
      <w:szCs w:val="26"/>
    </w:rPr>
  </w:style>
  <w:style w:type="paragraph" w:styleId="Heading4">
    <w:name w:val="heading 4"/>
    <w:basedOn w:val="Normal"/>
    <w:next w:val="Normal"/>
    <w:link w:val="Heading4Char"/>
    <w:uiPriority w:val="9"/>
    <w:semiHidden/>
    <w:unhideWhenUsed/>
    <w:qFormat/>
    <w:rsid w:val="00560F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Heading 2 Char"/>
    <w:basedOn w:val="DefaultParagraphFont"/>
    <w:link w:val="Heading2"/>
    <w:uiPriority w:val="9"/>
    <w:rsid w:val="00914893"/>
    <w:rPr>
      <w:rFonts w:ascii="Helvetica" w:eastAsiaTheme="majorEastAsia" w:hAnsi="Helvetica" w:cstheme="majorBidi"/>
      <w:b/>
      <w:bCs/>
      <w:color w:val="215868" w:themeColor="accent5" w:themeShade="80"/>
      <w:sz w:val="26"/>
      <w:szCs w:val="26"/>
    </w:rPr>
  </w:style>
  <w:style w:type="paragraph" w:styleId="ListParagraph">
    <w:name w:val="List Paragraph"/>
    <w:aliases w:val="+ List Paragraph"/>
    <w:basedOn w:val="Normal"/>
    <w:uiPriority w:val="34"/>
    <w:qFormat/>
    <w:rsid w:val="00914893"/>
    <w:pPr>
      <w:numPr>
        <w:numId w:val="3"/>
      </w:numPr>
      <w:spacing w:before="0"/>
    </w:pPr>
    <w:rPr>
      <w:szCs w:val="22"/>
    </w:rPr>
  </w:style>
  <w:style w:type="table" w:styleId="TableGrid">
    <w:name w:val="Table Grid"/>
    <w:basedOn w:val="TableNormal"/>
    <w:uiPriority w:val="39"/>
    <w:rsid w:val="00914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Section Title"/>
    <w:basedOn w:val="Normal"/>
    <w:next w:val="Normal"/>
    <w:link w:val="TitleChar"/>
    <w:uiPriority w:val="10"/>
    <w:qFormat/>
    <w:rsid w:val="00914893"/>
    <w:pPr>
      <w:pBdr>
        <w:bottom w:val="single" w:sz="8" w:space="4" w:color="215868" w:themeColor="accent5" w:themeShade="80"/>
      </w:pBdr>
      <w:spacing w:after="300"/>
      <w:contextualSpacing/>
    </w:pPr>
    <w:rPr>
      <w:rFonts w:eastAsiaTheme="majorEastAsia" w:cstheme="majorBidi"/>
      <w:color w:val="215868" w:themeColor="accent5" w:themeShade="80"/>
      <w:spacing w:val="5"/>
      <w:kern w:val="28"/>
      <w:sz w:val="52"/>
      <w:szCs w:val="52"/>
    </w:rPr>
  </w:style>
  <w:style w:type="character" w:customStyle="1" w:styleId="TitleChar">
    <w:name w:val="Title Char"/>
    <w:aliases w:val="+Section Title Char"/>
    <w:basedOn w:val="DefaultParagraphFont"/>
    <w:link w:val="Title"/>
    <w:uiPriority w:val="10"/>
    <w:rsid w:val="00914893"/>
    <w:rPr>
      <w:rFonts w:ascii="Helvetica" w:eastAsiaTheme="majorEastAsia" w:hAnsi="Helvetica" w:cstheme="majorBidi"/>
      <w:color w:val="215868" w:themeColor="accent5" w:themeShade="80"/>
      <w:spacing w:val="5"/>
      <w:kern w:val="28"/>
      <w:sz w:val="52"/>
      <w:szCs w:val="52"/>
    </w:rPr>
  </w:style>
  <w:style w:type="paragraph" w:styleId="Header">
    <w:name w:val="header"/>
    <w:aliases w:val="+ Header"/>
    <w:basedOn w:val="Normal"/>
    <w:link w:val="HeaderChar"/>
    <w:uiPriority w:val="99"/>
    <w:unhideWhenUsed/>
    <w:rsid w:val="00914893"/>
    <w:pPr>
      <w:tabs>
        <w:tab w:val="center" w:pos="4320"/>
        <w:tab w:val="right" w:pos="8640"/>
      </w:tabs>
    </w:pPr>
    <w:rPr>
      <w:color w:val="215868" w:themeColor="accent5" w:themeShade="80"/>
      <w:szCs w:val="22"/>
    </w:rPr>
  </w:style>
  <w:style w:type="character" w:customStyle="1" w:styleId="HeaderChar">
    <w:name w:val="Header Char"/>
    <w:aliases w:val="+ Header Char"/>
    <w:basedOn w:val="DefaultParagraphFont"/>
    <w:link w:val="Header"/>
    <w:uiPriority w:val="99"/>
    <w:rsid w:val="00914893"/>
    <w:rPr>
      <w:rFonts w:ascii="Helvetica" w:hAnsi="Helvetica"/>
      <w:color w:val="215868" w:themeColor="accent5" w:themeShade="80"/>
      <w:sz w:val="22"/>
      <w:szCs w:val="22"/>
    </w:rPr>
  </w:style>
  <w:style w:type="paragraph" w:customStyle="1" w:styleId="Text">
    <w:name w:val="+ Text"/>
    <w:qFormat/>
    <w:rsid w:val="00914893"/>
    <w:pPr>
      <w:spacing w:before="120" w:after="120"/>
    </w:pPr>
    <w:rPr>
      <w:rFonts w:ascii="Helvetica" w:hAnsi="Helvetica"/>
      <w:sz w:val="22"/>
      <w:szCs w:val="22"/>
    </w:rPr>
  </w:style>
  <w:style w:type="paragraph" w:customStyle="1" w:styleId="Numbering">
    <w:name w:val="+Numbering"/>
    <w:basedOn w:val="Text"/>
    <w:qFormat/>
    <w:rsid w:val="00914893"/>
    <w:pPr>
      <w:numPr>
        <w:numId w:val="2"/>
      </w:numPr>
      <w:tabs>
        <w:tab w:val="clear" w:pos="440"/>
        <w:tab w:val="num" w:pos="280"/>
      </w:tabs>
      <w:spacing w:before="80" w:after="80"/>
      <w:ind w:left="280"/>
    </w:pPr>
  </w:style>
  <w:style w:type="paragraph" w:customStyle="1" w:styleId="TableHeading">
    <w:name w:val="+Table Heading"/>
    <w:basedOn w:val="Text"/>
    <w:qFormat/>
    <w:rsid w:val="00914893"/>
    <w:rPr>
      <w:b/>
      <w:bCs/>
      <w:color w:val="215868" w:themeColor="accent5" w:themeShade="80"/>
    </w:rPr>
  </w:style>
  <w:style w:type="character" w:customStyle="1" w:styleId="NumberingforHeading2">
    <w:name w:val="+Numbering for Heading 2"/>
    <w:basedOn w:val="Heading2Char"/>
    <w:uiPriority w:val="1"/>
    <w:qFormat/>
    <w:rsid w:val="00914893"/>
    <w:rPr>
      <w:rFonts w:ascii="Helvetica" w:eastAsiaTheme="majorEastAsia" w:hAnsi="Helvetica" w:cstheme="majorBidi"/>
      <w:b/>
      <w:bCs w:val="0"/>
      <w:i w:val="0"/>
      <w:color w:val="215868" w:themeColor="accent5" w:themeShade="80"/>
      <w:sz w:val="26"/>
      <w:szCs w:val="26"/>
    </w:rPr>
  </w:style>
  <w:style w:type="paragraph" w:customStyle="1" w:styleId="Textbold">
    <w:name w:val="+Text bold"/>
    <w:basedOn w:val="Text"/>
    <w:qFormat/>
    <w:rsid w:val="00C046CB"/>
    <w:rPr>
      <w:b/>
    </w:rPr>
  </w:style>
  <w:style w:type="character" w:customStyle="1" w:styleId="Heading4Char">
    <w:name w:val="Heading 4 Char"/>
    <w:basedOn w:val="DefaultParagraphFont"/>
    <w:link w:val="Heading4"/>
    <w:uiPriority w:val="9"/>
    <w:semiHidden/>
    <w:rsid w:val="00560F73"/>
    <w:rPr>
      <w:rFonts w:asciiTheme="majorHAnsi" w:eastAsiaTheme="majorEastAsia" w:hAnsiTheme="majorHAnsi" w:cstheme="majorBidi"/>
      <w:b/>
      <w:bCs/>
      <w:i/>
      <w:iCs/>
      <w:color w:val="4F81BD" w:themeColor="accent1"/>
      <w:sz w:val="22"/>
    </w:rPr>
  </w:style>
  <w:style w:type="paragraph" w:styleId="NormalWeb">
    <w:name w:val="Normal (Web)"/>
    <w:basedOn w:val="Normal"/>
    <w:uiPriority w:val="99"/>
    <w:unhideWhenUsed/>
    <w:rsid w:val="00560F73"/>
    <w:pPr>
      <w:spacing w:before="100" w:beforeAutospacing="1" w:after="100" w:afterAutospacing="1"/>
      <w:ind w:left="360" w:hanging="36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4747</Words>
  <Characters>27058</Characters>
  <Application>Microsoft Macintosh Word</Application>
  <DocSecurity>0</DocSecurity>
  <Lines>225</Lines>
  <Paragraphs>63</Paragraphs>
  <ScaleCrop>false</ScaleCrop>
  <Company>NetChoice</Company>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26</cp:revision>
  <dcterms:created xsi:type="dcterms:W3CDTF">2015-11-01T00:16:00Z</dcterms:created>
  <dcterms:modified xsi:type="dcterms:W3CDTF">2015-11-01T20:12:00Z</dcterms:modified>
</cp:coreProperties>
</file>