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12" w:rsidRDefault="005B3412" w:rsidP="005B3412">
      <w:bookmarkStart w:id="0" w:name="_GoBack"/>
      <w:bookmarkEnd w:id="0"/>
    </w:p>
    <w:p w:rsidR="005B3412" w:rsidRDefault="005B3412" w:rsidP="005B3412">
      <w:pPr>
        <w:pStyle w:val="Heading1"/>
        <w:jc w:val="center"/>
      </w:pPr>
      <w:r>
        <w:t>WP2: Categori</w:t>
      </w:r>
      <w:r w:rsidR="00AB3E2D">
        <w:t>z</w:t>
      </w:r>
      <w:r>
        <w:t>ing Public Comment Replies</w:t>
      </w:r>
    </w:p>
    <w:p w:rsidR="005B3412" w:rsidRDefault="005B3412" w:rsidP="005B3412">
      <w:pPr>
        <w:pStyle w:val="Heading1"/>
        <w:jc w:val="center"/>
      </w:pPr>
      <w:r>
        <w:t xml:space="preserve">Section: </w:t>
      </w:r>
      <w:r w:rsidR="00C968CF">
        <w:t>Reconsideration Process Enhancement</w:t>
      </w:r>
    </w:p>
    <w:p w:rsidR="005B3412" w:rsidRDefault="005B3412" w:rsidP="005B3412">
      <w:pPr>
        <w:pStyle w:val="Heading1"/>
      </w:pPr>
      <w:r>
        <w:t>Aims</w:t>
      </w:r>
    </w:p>
    <w:p w:rsidR="005B3412" w:rsidRDefault="005B3412" w:rsidP="005B3412">
      <w:r>
        <w:t>The goals of this categori</w:t>
      </w:r>
      <w:r w:rsidR="00AB3E2D">
        <w:t>z</w:t>
      </w:r>
      <w:r>
        <w:t>ation exercise were:</w:t>
      </w:r>
    </w:p>
    <w:p w:rsidR="005B3412" w:rsidRDefault="005B3412" w:rsidP="005B3412">
      <w:pPr>
        <w:pStyle w:val="ListParagraph"/>
        <w:numPr>
          <w:ilvl w:val="0"/>
          <w:numId w:val="1"/>
        </w:numPr>
      </w:pPr>
      <w:r>
        <w:t>To identify common topics that those who submitted replies wished to discuss, so that WP2/CCWG can organise itself to discuss these topics;</w:t>
      </w:r>
    </w:p>
    <w:p w:rsidR="005B3412" w:rsidRDefault="005B3412" w:rsidP="005B3412">
      <w:pPr>
        <w:pStyle w:val="ListParagraph"/>
        <w:numPr>
          <w:ilvl w:val="0"/>
          <w:numId w:val="1"/>
        </w:numPr>
      </w:pPr>
      <w:r>
        <w:t>To show the relative popularity of each topic as an item for discussion, so that WP2/CCWG can prioritise its focus accordingly;</w:t>
      </w:r>
    </w:p>
    <w:p w:rsidR="005B3412" w:rsidRDefault="00AB3E2D" w:rsidP="005B3412">
      <w:pPr>
        <w:pStyle w:val="ListParagraph"/>
        <w:numPr>
          <w:ilvl w:val="0"/>
          <w:numId w:val="1"/>
        </w:numPr>
      </w:pPr>
      <w:r>
        <w:t>To collect th</w:t>
      </w:r>
      <w:r w:rsidR="005B3412">
        <w:t>e comments  on a given topic together, and separate them from unrelated comments, so that when WP2/CCWG discusses an issue it has readily before it all the feedback received on that issue</w:t>
      </w:r>
    </w:p>
    <w:p w:rsidR="005B3412" w:rsidRDefault="005B3412" w:rsidP="005B3412">
      <w:pPr>
        <w:pStyle w:val="ListParagraph"/>
        <w:numPr>
          <w:ilvl w:val="0"/>
          <w:numId w:val="1"/>
        </w:numPr>
      </w:pPr>
      <w:r>
        <w:t xml:space="preserve">To ensure that items that were new to CCWG and which did not receive much attention  were captured, so that these additional ideas were not excluded from consideration </w:t>
      </w:r>
      <w:r w:rsidR="00AB3E2D">
        <w:t xml:space="preserve">categorising </w:t>
      </w:r>
    </w:p>
    <w:p w:rsidR="005B3412" w:rsidRDefault="005B3412" w:rsidP="005B3412">
      <w:pPr>
        <w:pStyle w:val="Heading1"/>
      </w:pPr>
      <w:r>
        <w:t>Methodology</w:t>
      </w:r>
    </w:p>
    <w:p w:rsidR="005B3412" w:rsidRDefault="005B3412" w:rsidP="005B3412">
      <w:r>
        <w:t>The reviewer read the Public Comment Replies</w:t>
      </w:r>
      <w:r>
        <w:rPr>
          <w:rStyle w:val="FootnoteReference"/>
        </w:rPr>
        <w:footnoteReference w:id="1"/>
      </w:r>
      <w:r>
        <w:t xml:space="preserve"> and sought to identify broad topics or issues to which particular comments were addressed. These topics were drawn broadly, and value neutral as to the position taken on the topic.</w:t>
      </w:r>
    </w:p>
    <w:p w:rsidR="005B3412" w:rsidRDefault="005B3412" w:rsidP="005B3412">
      <w:pPr>
        <w:pStyle w:val="Heading1"/>
      </w:pPr>
      <w:r>
        <w:t>Outcome</w:t>
      </w:r>
    </w:p>
    <w:p w:rsidR="005B3412" w:rsidRDefault="005B3412" w:rsidP="00040351">
      <w:r>
        <w:t xml:space="preserve">The process produced </w:t>
      </w:r>
      <w:r w:rsidR="007C7764">
        <w:t xml:space="preserve">a number of </w:t>
      </w:r>
      <w:r w:rsidR="00040351">
        <w:t>themes</w:t>
      </w:r>
      <w:r>
        <w:t xml:space="preserve"> for WP2/CCWG to discuss, plus </w:t>
      </w:r>
      <w:r w:rsidR="00040351">
        <w:t xml:space="preserve">several random comments not widely mentioned. </w:t>
      </w:r>
    </w:p>
    <w:p w:rsidR="00490CFF" w:rsidRDefault="000B49D8" w:rsidP="00AB3E2D">
      <w:r>
        <w:t>Most</w:t>
      </w:r>
      <w:r w:rsidR="007C7764">
        <w:t xml:space="preserve"> commenters </w:t>
      </w:r>
      <w:r>
        <w:t xml:space="preserve">who addressed the reconsideration process </w:t>
      </w:r>
      <w:r w:rsidR="0080252B">
        <w:t>supported</w:t>
      </w:r>
      <w:r w:rsidR="007C7764">
        <w:t xml:space="preserve"> </w:t>
      </w:r>
      <w:r>
        <w:t xml:space="preserve">proposed measures </w:t>
      </w:r>
      <w:proofErr w:type="gramStart"/>
      <w:r>
        <w:t xml:space="preserve">for </w:t>
      </w:r>
      <w:r w:rsidR="007C7764">
        <w:t xml:space="preserve"> improv</w:t>
      </w:r>
      <w:r w:rsidR="0080252B">
        <w:t>ement</w:t>
      </w:r>
      <w:proofErr w:type="gramEnd"/>
      <w:r w:rsidR="007C7764">
        <w:t>, with some expressing specific support for “improvement,” “strengthening,” and/or “expanding scope</w:t>
      </w:r>
      <w:r>
        <w:t>.</w:t>
      </w:r>
      <w:r w:rsidR="007C7764">
        <w:t xml:space="preserve">” </w:t>
      </w:r>
      <w:r>
        <w:t>Others</w:t>
      </w:r>
      <w:r w:rsidR="007C7764">
        <w:t xml:space="preserve"> </w:t>
      </w:r>
      <w:r w:rsidR="0080252B">
        <w:t xml:space="preserve">mentioned </w:t>
      </w:r>
      <w:r w:rsidR="007C7764">
        <w:t>recommendations for improvement</w:t>
      </w:r>
      <w:r w:rsidR="0080252B">
        <w:t xml:space="preserve"> specifically targeted at one facet or other (or more) of the process</w:t>
      </w:r>
      <w:r w:rsidR="007C7764">
        <w:t>.  Once commenter (JPNIC (211)), however, suggested that improvements in the reconsideration process may be left for WS2.</w:t>
      </w:r>
    </w:p>
    <w:p w:rsidR="000B49D8" w:rsidRDefault="000B49D8" w:rsidP="00AB3E2D">
      <w:r>
        <w:t xml:space="preserve">Those indicating support in the manner indicated above were: </w:t>
      </w:r>
      <w:proofErr w:type="spellStart"/>
      <w:r>
        <w:t>auDA</w:t>
      </w:r>
      <w:proofErr w:type="spellEnd"/>
      <w:r>
        <w:t xml:space="preserve"> (198), </w:t>
      </w:r>
      <w:r w:rsidR="0080252B">
        <w:t xml:space="preserve">DBA (199), </w:t>
      </w:r>
      <w:r w:rsidR="00D10861">
        <w:t xml:space="preserve">AFRALO (201), AFNIC (203), </w:t>
      </w:r>
      <w:r w:rsidR="00A5348F">
        <w:t xml:space="preserve">IA (204), eco (205), </w:t>
      </w:r>
      <w:proofErr w:type="spellStart"/>
      <w:r w:rsidR="00A5348F">
        <w:t>RySG</w:t>
      </w:r>
      <w:proofErr w:type="spellEnd"/>
      <w:r w:rsidR="00A5348F">
        <w:t xml:space="preserve"> (206), </w:t>
      </w:r>
      <w:r w:rsidR="00BD328A">
        <w:t xml:space="preserve">JH (207), BC (208), </w:t>
      </w:r>
      <w:r w:rsidR="00711D2D">
        <w:t>USCIB (209), LINX (210), JPNIC (211), IPC (212), CDT (215), USCC (216), CENTR (219), NIRA (220)</w:t>
      </w:r>
      <w:r w:rsidR="000864EA">
        <w:t>, Sivasubramanian M</w:t>
      </w:r>
      <w:r w:rsidR="00702D1E">
        <w:t xml:space="preserve"> (comment posted June 1</w:t>
      </w:r>
      <w:r w:rsidR="00FB7C31">
        <w:t>3</w:t>
      </w:r>
      <w:r w:rsidR="00702D1E">
        <w:t>)</w:t>
      </w:r>
      <w:r w:rsidR="00FB7C31">
        <w:t xml:space="preserve">, and </w:t>
      </w:r>
      <w:proofErr w:type="spellStart"/>
      <w:r w:rsidR="00FB7C31">
        <w:t>DotMusic</w:t>
      </w:r>
      <w:proofErr w:type="spellEnd"/>
      <w:r w:rsidR="00FB7C31">
        <w:t xml:space="preserve"> (comment posted June 13)</w:t>
      </w:r>
      <w:r w:rsidR="00711D2D">
        <w:t xml:space="preserve">.  </w:t>
      </w:r>
    </w:p>
    <w:p w:rsidR="005B3412" w:rsidRDefault="005B3412" w:rsidP="00AB3E2D">
      <w:r>
        <w:t xml:space="preserve">Breakdown of comments </w:t>
      </w:r>
      <w:r w:rsidR="004A0D95">
        <w:t>follows:</w:t>
      </w:r>
    </w:p>
    <w:p w:rsidR="004A0D95" w:rsidRDefault="004A0D95" w:rsidP="00AB3E2D"/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5"/>
        <w:gridCol w:w="5245"/>
        <w:gridCol w:w="1966"/>
      </w:tblGrid>
      <w:tr w:rsidR="005B3412" w:rsidTr="005B3412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hideMark/>
          </w:tcPr>
          <w:p w:rsidR="005B3412" w:rsidRDefault="005B34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Main topic area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hideMark/>
          </w:tcPr>
          <w:p w:rsidR="005B3412" w:rsidRDefault="005B34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Sub-topic area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hideMark/>
          </w:tcPr>
          <w:p w:rsidR="005B3412" w:rsidRDefault="005B3412" w:rsidP="00D30B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D30B10">
              <w:rPr>
                <w:b/>
              </w:rPr>
              <w:t>umber</w:t>
            </w:r>
            <w:r>
              <w:rPr>
                <w:b/>
              </w:rPr>
              <w:t xml:space="preserve"> </w:t>
            </w:r>
            <w:r w:rsidR="00D30B10">
              <w:rPr>
                <w:b/>
              </w:rPr>
              <w:t xml:space="preserve">commenting on </w:t>
            </w:r>
            <w:r>
              <w:rPr>
                <w:b/>
              </w:rPr>
              <w:t xml:space="preserve"> this topic</w:t>
            </w:r>
          </w:p>
        </w:tc>
      </w:tr>
      <w:tr w:rsidR="005B3412" w:rsidTr="005B3412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A37745">
            <w:pPr>
              <w:spacing w:after="0" w:line="240" w:lineRule="auto"/>
            </w:pPr>
            <w:r>
              <w:t xml:space="preserve">Enhance </w:t>
            </w:r>
            <w:r w:rsidR="00C82B24">
              <w:t>Overall Process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0D5A7F">
            <w:pPr>
              <w:spacing w:after="0" w:line="240" w:lineRule="auto"/>
            </w:pPr>
            <w:r>
              <w:t>19</w:t>
            </w:r>
          </w:p>
        </w:tc>
      </w:tr>
      <w:tr w:rsidR="00E843C8" w:rsidTr="005B3412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8" w:rsidRDefault="00E843C8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8" w:rsidRDefault="00E843C8">
            <w:pPr>
              <w:spacing w:after="0" w:line="240" w:lineRule="auto"/>
            </w:pPr>
            <w:r>
              <w:t>Clarify RR/IRP distinctions; consider integration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8" w:rsidRDefault="00103BF2">
            <w:pPr>
              <w:spacing w:after="0" w:line="240" w:lineRule="auto"/>
            </w:pPr>
            <w:r>
              <w:t>1</w:t>
            </w:r>
          </w:p>
        </w:tc>
      </w:tr>
      <w:tr w:rsidR="00E843C8" w:rsidTr="005B3412"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8" w:rsidRDefault="00E843C8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8" w:rsidRDefault="00E843C8">
            <w:pPr>
              <w:spacing w:after="0" w:line="240" w:lineRule="auto"/>
            </w:pPr>
            <w:r>
              <w:t>Consider addressing RR in WS2</w:t>
            </w:r>
          </w:p>
        </w:tc>
        <w:tc>
          <w:tcPr>
            <w:tcW w:w="1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8" w:rsidRDefault="00103BF2">
            <w:pPr>
              <w:spacing w:after="0" w:line="240" w:lineRule="auto"/>
            </w:pPr>
            <w:r>
              <w:t>1</w:t>
            </w:r>
          </w:p>
        </w:tc>
      </w:tr>
      <w:tr w:rsidR="005B3412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C82B24" w:rsidP="00C82B24">
            <w:pPr>
              <w:spacing w:after="0" w:line="240" w:lineRule="auto"/>
            </w:pPr>
            <w:r>
              <w:t>Ombudsman Role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</w:p>
        </w:tc>
      </w:tr>
      <w:tr w:rsidR="00F6266F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F6266F" w:rsidP="00C82B24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F6266F">
            <w:pPr>
              <w:spacing w:after="0" w:line="240" w:lineRule="auto"/>
            </w:pPr>
            <w:r>
              <w:t>Ombudsman do preliminary review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0D5A7F">
            <w:pPr>
              <w:spacing w:after="0" w:line="240" w:lineRule="auto"/>
            </w:pPr>
            <w:r>
              <w:t>10</w:t>
            </w:r>
          </w:p>
        </w:tc>
      </w:tr>
      <w:tr w:rsidR="00F6266F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F6266F" w:rsidP="00C82B24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F6266F">
            <w:pPr>
              <w:spacing w:after="0" w:line="240" w:lineRule="auto"/>
            </w:pPr>
            <w:r>
              <w:t>ICANN legal staff not involved in preliminary review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AE6DAF" w:rsidP="00AE6DAF">
            <w:pPr>
              <w:spacing w:after="0" w:line="240" w:lineRule="auto"/>
            </w:pPr>
            <w:r>
              <w:t>6</w:t>
            </w:r>
          </w:p>
        </w:tc>
      </w:tr>
      <w:tr w:rsidR="00F6266F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F6266F" w:rsidP="00C82B24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F6266F">
            <w:pPr>
              <w:spacing w:after="0" w:line="240" w:lineRule="auto"/>
            </w:pPr>
            <w:r>
              <w:t>Policy issues to go directly to BGC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6F" w:rsidRDefault="00AE6DAF">
            <w:pPr>
              <w:spacing w:after="0" w:line="240" w:lineRule="auto"/>
            </w:pPr>
            <w:r>
              <w:t>1</w:t>
            </w:r>
          </w:p>
        </w:tc>
      </w:tr>
      <w:tr w:rsidR="005B3412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C82B24">
            <w:pPr>
              <w:spacing w:after="0" w:line="240" w:lineRule="auto"/>
            </w:pPr>
            <w:r>
              <w:t>Composition of Board Reviewers/Conflicts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Not review decisions in which member participated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0D5A7F">
            <w:pPr>
              <w:spacing w:after="0" w:line="240" w:lineRule="auto"/>
            </w:pPr>
            <w:r>
              <w:t>2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Rebuttal right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0D5A7F">
            <w:pPr>
              <w:spacing w:after="0" w:line="240" w:lineRule="auto"/>
            </w:pPr>
            <w:r>
              <w:t>3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Conflict-of-interest audit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0D2328">
            <w:pPr>
              <w:spacing w:after="0" w:line="240" w:lineRule="auto"/>
            </w:pPr>
            <w:r>
              <w:t>1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Full board votes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0D2328">
            <w:pPr>
              <w:spacing w:after="0" w:line="240" w:lineRule="auto"/>
            </w:pPr>
            <w:r>
              <w:t>1</w:t>
            </w:r>
          </w:p>
        </w:tc>
      </w:tr>
      <w:tr w:rsidR="005B3412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CF7836">
            <w:pPr>
              <w:spacing w:after="0" w:line="240" w:lineRule="auto"/>
            </w:pPr>
            <w:r>
              <w:t>Review Standards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“Relevant” vs. “material”</w:t>
            </w:r>
            <w:r w:rsidR="000D5A7F">
              <w:t xml:space="preserve"> – keep “material”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85033C">
            <w:pPr>
              <w:spacing w:after="0" w:line="240" w:lineRule="auto"/>
            </w:pPr>
            <w:r>
              <w:t>4</w:t>
            </w:r>
          </w:p>
        </w:tc>
      </w:tr>
      <w:tr w:rsidR="000D5A7F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F" w:rsidRDefault="000D5A7F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F" w:rsidRDefault="000D5A7F">
            <w:pPr>
              <w:spacing w:after="0" w:line="240" w:lineRule="auto"/>
            </w:pPr>
            <w:r>
              <w:t>“Relevant” vs. “material” – use “relevant”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F" w:rsidRDefault="000D5A7F">
            <w:pPr>
              <w:spacing w:after="0" w:line="240" w:lineRule="auto"/>
            </w:pPr>
            <w:r>
              <w:t>1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Material information change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B5644C">
            <w:pPr>
              <w:spacing w:after="0" w:line="240" w:lineRule="auto"/>
            </w:pPr>
            <w:r>
              <w:t>1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Definition of “material” harm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19208E">
            <w:pPr>
              <w:spacing w:after="0" w:line="240" w:lineRule="auto"/>
            </w:pPr>
            <w:r>
              <w:t>1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Review of external panel decisions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231A38">
            <w:pPr>
              <w:spacing w:after="0" w:line="240" w:lineRule="auto"/>
            </w:pPr>
            <w:r>
              <w:t>1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 w:rsidP="00706DED">
            <w:pPr>
              <w:spacing w:after="0" w:line="240" w:lineRule="auto"/>
            </w:pPr>
            <w:r>
              <w:t>Clarify distinctions between board and staff actions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000B63">
            <w:pPr>
              <w:spacing w:after="0" w:line="240" w:lineRule="auto"/>
            </w:pPr>
            <w:r>
              <w:t>1</w:t>
            </w:r>
          </w:p>
        </w:tc>
      </w:tr>
      <w:tr w:rsidR="005B3412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CF7836">
            <w:pPr>
              <w:spacing w:after="0" w:line="240" w:lineRule="auto"/>
            </w:pPr>
            <w:r>
              <w:t>Standing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Participation in policy process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801391">
            <w:pPr>
              <w:spacing w:after="0" w:line="240" w:lineRule="auto"/>
            </w:pPr>
            <w:r>
              <w:t>5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052AC0" w:rsidP="00052AC0">
            <w:pPr>
              <w:spacing w:after="0" w:line="240" w:lineRule="auto"/>
            </w:pPr>
            <w:r>
              <w:t xml:space="preserve">Is </w:t>
            </w:r>
            <w:r w:rsidR="00706DED">
              <w:t>RR a requirement for IRP standing</w:t>
            </w:r>
            <w:r>
              <w:t>?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AE6DAF">
            <w:pPr>
              <w:spacing w:after="0" w:line="240" w:lineRule="auto"/>
            </w:pPr>
            <w:r>
              <w:t>1</w:t>
            </w:r>
          </w:p>
        </w:tc>
      </w:tr>
      <w:tr w:rsidR="00BF6400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0" w:rsidRDefault="00BF6400">
            <w:pPr>
              <w:spacing w:after="0" w:line="240" w:lineRule="auto"/>
            </w:pPr>
            <w:r>
              <w:t>Deadlines/Timelines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0" w:rsidRDefault="00BF6400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0" w:rsidRDefault="00BF6400">
            <w:pPr>
              <w:spacing w:after="0" w:line="240" w:lineRule="auto"/>
            </w:pP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Expanded filing deadline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B00AD">
            <w:pPr>
              <w:spacing w:after="0" w:line="240" w:lineRule="auto"/>
            </w:pPr>
            <w:r>
              <w:t>2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Narrowed decision timeline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B00AD">
            <w:pPr>
              <w:spacing w:after="0" w:line="240" w:lineRule="auto"/>
            </w:pPr>
            <w:r>
              <w:t>1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  <w:r>
              <w:t>Deadline flexibility due to extraordinary circumstances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B00AD">
            <w:pPr>
              <w:spacing w:after="0" w:line="240" w:lineRule="auto"/>
            </w:pPr>
            <w:r>
              <w:t>1</w:t>
            </w:r>
          </w:p>
        </w:tc>
      </w:tr>
      <w:tr w:rsidR="00706DED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06DED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A56671">
            <w:pPr>
              <w:spacing w:after="0" w:line="240" w:lineRule="auto"/>
            </w:pPr>
            <w:r>
              <w:t>Deadlines are sufficient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D" w:rsidRDefault="007B00AD">
            <w:pPr>
              <w:spacing w:after="0" w:line="240" w:lineRule="auto"/>
            </w:pPr>
            <w:r>
              <w:t>1</w:t>
            </w:r>
          </w:p>
        </w:tc>
      </w:tr>
      <w:tr w:rsidR="00BF6400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0" w:rsidRDefault="00BF6400">
            <w:pPr>
              <w:spacing w:after="0" w:line="240" w:lineRule="auto"/>
            </w:pPr>
            <w:r>
              <w:t>Transparency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0" w:rsidRDefault="00BF6400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0" w:rsidRDefault="00BF6400">
            <w:pPr>
              <w:spacing w:after="0" w:line="240" w:lineRule="auto"/>
            </w:pPr>
          </w:p>
        </w:tc>
      </w:tr>
      <w:tr w:rsidR="00A56671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1" w:rsidRDefault="00A56671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1" w:rsidRDefault="00A56671">
            <w:pPr>
              <w:spacing w:after="0" w:line="240" w:lineRule="auto"/>
            </w:pPr>
            <w:r>
              <w:t>Transcript/recording of Board discussions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1" w:rsidRDefault="00755227">
            <w:pPr>
              <w:spacing w:after="0" w:line="240" w:lineRule="auto"/>
            </w:pPr>
            <w:r>
              <w:t>2</w:t>
            </w:r>
          </w:p>
        </w:tc>
      </w:tr>
      <w:tr w:rsidR="00A56671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1" w:rsidRDefault="00A56671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1" w:rsidRDefault="00A56671">
            <w:pPr>
              <w:spacing w:after="0" w:line="240" w:lineRule="auto"/>
            </w:pPr>
            <w:r>
              <w:t>Full documentation of BGC dismissals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71" w:rsidRDefault="000C0C3D">
            <w:pPr>
              <w:spacing w:after="0" w:line="240" w:lineRule="auto"/>
            </w:pPr>
            <w:r>
              <w:t>1</w:t>
            </w:r>
          </w:p>
        </w:tc>
      </w:tr>
      <w:tr w:rsidR="00CB674A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A" w:rsidRDefault="00CB67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A" w:rsidRDefault="00CB674A">
            <w:pPr>
              <w:spacing w:after="0" w:line="240" w:lineRule="auto"/>
            </w:pPr>
            <w:r>
              <w:t>Better DIDP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A" w:rsidRDefault="000D5A7F">
            <w:pPr>
              <w:spacing w:after="0" w:line="240" w:lineRule="auto"/>
            </w:pPr>
            <w:r>
              <w:t>3</w:t>
            </w:r>
          </w:p>
        </w:tc>
      </w:tr>
      <w:tr w:rsidR="000D5A7F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F" w:rsidRDefault="000D5A7F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F" w:rsidRDefault="000D5A7F">
            <w:pPr>
              <w:spacing w:after="0" w:line="240" w:lineRule="auto"/>
            </w:pPr>
            <w:r>
              <w:t>Independent RR body may be needed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F" w:rsidRDefault="000D5A7F">
            <w:pPr>
              <w:spacing w:after="0" w:line="240" w:lineRule="auto"/>
            </w:pPr>
            <w:r>
              <w:t>1</w:t>
            </w:r>
          </w:p>
        </w:tc>
      </w:tr>
      <w:tr w:rsidR="00D22286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86" w:rsidRDefault="00D22286">
            <w:pPr>
              <w:spacing w:after="0" w:line="240" w:lineRule="auto"/>
            </w:pPr>
            <w:r>
              <w:t>Other Comments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86" w:rsidRDefault="00D2228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86" w:rsidRDefault="00D22286">
            <w:pPr>
              <w:spacing w:after="0" w:line="240" w:lineRule="auto"/>
            </w:pPr>
          </w:p>
        </w:tc>
      </w:tr>
      <w:tr w:rsidR="00BD128A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8A" w:rsidRDefault="00BD128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8A" w:rsidRDefault="00F927A9">
            <w:pPr>
              <w:spacing w:after="0" w:line="240" w:lineRule="auto"/>
            </w:pPr>
            <w:r>
              <w:t>Other solutions needed for RR results than board member(s) removal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8A" w:rsidRDefault="00F927A9">
            <w:pPr>
              <w:spacing w:after="0" w:line="240" w:lineRule="auto"/>
            </w:pPr>
            <w:r>
              <w:t>1</w:t>
            </w:r>
          </w:p>
        </w:tc>
      </w:tr>
      <w:tr w:rsidR="00CB16EB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  <w:r>
              <w:t>Avoid frivolous/vexatious RRs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9855C5">
            <w:pPr>
              <w:spacing w:after="0" w:line="240" w:lineRule="auto"/>
            </w:pPr>
            <w:r>
              <w:t>1</w:t>
            </w:r>
          </w:p>
        </w:tc>
      </w:tr>
      <w:tr w:rsidR="00CB16EB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4B5611">
            <w:pPr>
              <w:spacing w:after="0" w:line="240" w:lineRule="auto"/>
            </w:pPr>
            <w:r>
              <w:t>Legal fees financial burden unfair to ICANN board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4B5611">
            <w:pPr>
              <w:spacing w:after="0" w:line="240" w:lineRule="auto"/>
            </w:pPr>
            <w:r>
              <w:t>1</w:t>
            </w:r>
          </w:p>
        </w:tc>
      </w:tr>
      <w:tr w:rsidR="00504A88" w:rsidTr="005B34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8" w:rsidRDefault="00504A88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8" w:rsidRDefault="00504A88" w:rsidP="00504A88">
            <w:pPr>
              <w:spacing w:after="0" w:line="240" w:lineRule="auto"/>
            </w:pPr>
            <w:r>
              <w:t>Disputes involving Internet number resources should not be covered in RRs (or IRP for that matter)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88" w:rsidRDefault="00504A88">
            <w:pPr>
              <w:spacing w:after="0" w:line="240" w:lineRule="auto"/>
            </w:pPr>
            <w:r>
              <w:t>1</w:t>
            </w:r>
          </w:p>
        </w:tc>
      </w:tr>
    </w:tbl>
    <w:p w:rsidR="005B3412" w:rsidRDefault="005B3412" w:rsidP="00346A05">
      <w:r>
        <w:br w:type="page"/>
      </w:r>
      <w:r>
        <w:lastRenderedPageBreak/>
        <w:t>Scope of topics</w:t>
      </w:r>
    </w:p>
    <w:p w:rsidR="00905027" w:rsidRDefault="00905027" w:rsidP="005B3412">
      <w:pPr>
        <w:pStyle w:val="Heading2"/>
      </w:pPr>
    </w:p>
    <w:p w:rsidR="005B3412" w:rsidRDefault="00471052" w:rsidP="005B3412">
      <w:pPr>
        <w:pStyle w:val="Heading2"/>
      </w:pPr>
      <w:r>
        <w:t>Enhance</w:t>
      </w:r>
      <w:r w:rsidR="001A0646">
        <w:t xml:space="preserve"> Reconsideration Request (RR) Process</w:t>
      </w:r>
    </w:p>
    <w:p w:rsidR="00471052" w:rsidRDefault="005B3412" w:rsidP="005B3412">
      <w:r>
        <w:t xml:space="preserve">There were </w:t>
      </w:r>
      <w:r w:rsidR="00471052">
        <w:t xml:space="preserve">no </w:t>
      </w:r>
      <w:r>
        <w:t xml:space="preserve">commenters who specifically </w:t>
      </w:r>
      <w:r w:rsidR="00471052">
        <w:t xml:space="preserve">declared themselves as being against changes/improvements to the </w:t>
      </w:r>
      <w:r w:rsidR="00DF6286">
        <w:t>RR process</w:t>
      </w:r>
      <w:r w:rsidR="00A67721">
        <w:t>, most expressly support it</w:t>
      </w:r>
      <w:r w:rsidR="00471052">
        <w:t>.</w:t>
      </w:r>
    </w:p>
    <w:p w:rsidR="005B3412" w:rsidRDefault="00471052" w:rsidP="00471052">
      <w:pPr>
        <w:pStyle w:val="ListParagraph"/>
        <w:numPr>
          <w:ilvl w:val="0"/>
          <w:numId w:val="5"/>
        </w:numPr>
      </w:pPr>
      <w:r>
        <w:t xml:space="preserve">One commenter, however, indicated that clarification is needed between the RR and IRP processes, saying differences are neither explained nor self-evident. The commenter suggested consideration should be given to integrating RR into the IRP program.  </w:t>
      </w:r>
    </w:p>
    <w:p w:rsidR="0095334F" w:rsidRDefault="0095334F" w:rsidP="00471052">
      <w:pPr>
        <w:pStyle w:val="ListParagraph"/>
        <w:numPr>
          <w:ilvl w:val="0"/>
          <w:numId w:val="5"/>
        </w:numPr>
      </w:pPr>
      <w:r>
        <w:t xml:space="preserve">Another commenter requested more clarification on why </w:t>
      </w:r>
      <w:r w:rsidR="00FB129F">
        <w:t>RR</w:t>
      </w:r>
      <w:r>
        <w:t xml:space="preserve"> must be </w:t>
      </w:r>
      <w:r w:rsidR="00FB129F">
        <w:t xml:space="preserve">addressed </w:t>
      </w:r>
      <w:r>
        <w:t xml:space="preserve">in WS1. The commenter noted other accountability measures in WS1 and </w:t>
      </w:r>
      <w:r w:rsidR="00FB129F">
        <w:t xml:space="preserve">said </w:t>
      </w:r>
      <w:r>
        <w:t>RR may well be considered as WS2</w:t>
      </w:r>
      <w:r w:rsidR="00B70695">
        <w:t xml:space="preserve"> if it should become</w:t>
      </w:r>
      <w:r>
        <w:t xml:space="preserve"> contentious.</w:t>
      </w:r>
    </w:p>
    <w:p w:rsidR="005B3412" w:rsidRDefault="000813E0" w:rsidP="005B3412">
      <w:pPr>
        <w:pStyle w:val="Heading2"/>
      </w:pPr>
      <w:r>
        <w:t>Ombudsman Role</w:t>
      </w:r>
    </w:p>
    <w:p w:rsidR="00957F7F" w:rsidRDefault="00A872B6" w:rsidP="005B3412">
      <w:r>
        <w:t>There were a number of c</w:t>
      </w:r>
      <w:r w:rsidR="005B3412">
        <w:t>omment</w:t>
      </w:r>
      <w:r>
        <w:t xml:space="preserve">ers who recommended </w:t>
      </w:r>
      <w:r w:rsidR="00957F7F">
        <w:t>an</w:t>
      </w:r>
      <w:r>
        <w:t xml:space="preserve"> expanded role for the ICANN Ombudsman</w:t>
      </w:r>
      <w:r w:rsidR="005B3412">
        <w:t>.</w:t>
      </w:r>
      <w:r w:rsidR="00FB129F">
        <w:t xml:space="preserve"> Under this topic</w:t>
      </w:r>
      <w:r>
        <w:t xml:space="preserve"> two specific sub-themes emerged: </w:t>
      </w:r>
    </w:p>
    <w:p w:rsidR="00957F7F" w:rsidRDefault="00D71141" w:rsidP="00957F7F">
      <w:pPr>
        <w:pStyle w:val="ListParagraph"/>
        <w:numPr>
          <w:ilvl w:val="0"/>
          <w:numId w:val="3"/>
        </w:numPr>
      </w:pPr>
      <w:r>
        <w:t>First, t</w:t>
      </w:r>
      <w:r w:rsidR="00A872B6">
        <w:t>hat the Omb</w:t>
      </w:r>
      <w:r w:rsidR="009F328D">
        <w:t>udsman undertake a preliminary-</w:t>
      </w:r>
      <w:r w:rsidR="00A872B6">
        <w:t>review role with respect to RR petitions; and</w:t>
      </w:r>
      <w:r w:rsidR="00957F7F">
        <w:t>,</w:t>
      </w:r>
    </w:p>
    <w:p w:rsidR="005B3412" w:rsidRDefault="00D71141" w:rsidP="00957F7F">
      <w:pPr>
        <w:pStyle w:val="ListParagraph"/>
        <w:numPr>
          <w:ilvl w:val="0"/>
          <w:numId w:val="3"/>
        </w:numPr>
      </w:pPr>
      <w:r>
        <w:t>Second, t</w:t>
      </w:r>
      <w:r w:rsidR="00A872B6">
        <w:t>hat the Ombudsman displace ICANN legal staff in this r</w:t>
      </w:r>
      <w:r w:rsidR="009F328D">
        <w:t>ole</w:t>
      </w:r>
      <w:r w:rsidR="00CE1935">
        <w:t xml:space="preserve"> (i.e. that legal staff not have a role in this respect)</w:t>
      </w:r>
      <w:r w:rsidR="00A872B6">
        <w:t xml:space="preserve">.  </w:t>
      </w:r>
    </w:p>
    <w:p w:rsidR="00A7058E" w:rsidRDefault="00A7058E" w:rsidP="00957F7F">
      <w:pPr>
        <w:pStyle w:val="ListParagraph"/>
        <w:numPr>
          <w:ilvl w:val="0"/>
          <w:numId w:val="3"/>
        </w:numPr>
      </w:pPr>
      <w:r>
        <w:t xml:space="preserve">One commenter agreed that the Ombudsman should </w:t>
      </w:r>
      <w:r w:rsidR="00FB129F">
        <w:t>do</w:t>
      </w:r>
      <w:r>
        <w:t xml:space="preserve"> the initial review without ICANN legal staff doing </w:t>
      </w:r>
      <w:r w:rsidR="00FB129F">
        <w:t>an</w:t>
      </w:r>
      <w:r>
        <w:t xml:space="preserve"> initial substantive review, but said that </w:t>
      </w:r>
      <w:r w:rsidR="00FB129F">
        <w:t xml:space="preserve">issues regarding </w:t>
      </w:r>
      <w:r>
        <w:t xml:space="preserve">policy should instead go directly to the BGC. </w:t>
      </w:r>
    </w:p>
    <w:p w:rsidR="005B3412" w:rsidRDefault="000854D3" w:rsidP="005B3412">
      <w:pPr>
        <w:pStyle w:val="Heading2"/>
      </w:pPr>
      <w:r>
        <w:t xml:space="preserve">Composition of Board </w:t>
      </w:r>
      <w:r w:rsidR="00CF7836">
        <w:t>Reviewers</w:t>
      </w:r>
      <w:r>
        <w:t>/Conflict of Interest Checks</w:t>
      </w:r>
    </w:p>
    <w:p w:rsidR="00F30BA0" w:rsidRDefault="00E11C9C" w:rsidP="005B3412">
      <w:r>
        <w:t xml:space="preserve">A number of commenters </w:t>
      </w:r>
      <w:r w:rsidR="000854D3">
        <w:t>a</w:t>
      </w:r>
      <w:r>
        <w:t>rgued for</w:t>
      </w:r>
      <w:r w:rsidR="000854D3">
        <w:t xml:space="preserve"> changes in this area, including</w:t>
      </w:r>
      <w:r w:rsidR="00F30BA0">
        <w:t>:</w:t>
      </w:r>
    </w:p>
    <w:p w:rsidR="00EC03B2" w:rsidRDefault="00EC03B2" w:rsidP="00F30BA0">
      <w:pPr>
        <w:pStyle w:val="ListParagraph"/>
        <w:numPr>
          <w:ilvl w:val="0"/>
          <w:numId w:val="4"/>
        </w:numPr>
      </w:pPr>
      <w:r>
        <w:t>Establish a requirement that board members not sit in review of decisions they made;</w:t>
      </w:r>
    </w:p>
    <w:p w:rsidR="00652709" w:rsidRDefault="00CB062A" w:rsidP="00F30BA0">
      <w:pPr>
        <w:pStyle w:val="ListParagraph"/>
        <w:numPr>
          <w:ilvl w:val="0"/>
          <w:numId w:val="4"/>
        </w:numPr>
      </w:pPr>
      <w:r>
        <w:t>Perform an a</w:t>
      </w:r>
      <w:r w:rsidR="00592274">
        <w:t xml:space="preserve">nnual audit of Board </w:t>
      </w:r>
      <w:r>
        <w:t xml:space="preserve">for relevant </w:t>
      </w:r>
      <w:r w:rsidR="00592274">
        <w:t>conflict</w:t>
      </w:r>
      <w:r>
        <w:t>s</w:t>
      </w:r>
      <w:r w:rsidR="00592274">
        <w:t>-of-interest</w:t>
      </w:r>
      <w:r w:rsidR="00652709">
        <w:t>;</w:t>
      </w:r>
    </w:p>
    <w:p w:rsidR="0070294E" w:rsidRDefault="0070294E" w:rsidP="00F30BA0">
      <w:pPr>
        <w:pStyle w:val="ListParagraph"/>
        <w:numPr>
          <w:ilvl w:val="0"/>
          <w:numId w:val="4"/>
        </w:numPr>
      </w:pPr>
      <w:r>
        <w:t>One commenter asked that the full board vote on final RR determinations.</w:t>
      </w:r>
    </w:p>
    <w:p w:rsidR="005B3412" w:rsidRDefault="00E11C9C" w:rsidP="005B3412">
      <w:pPr>
        <w:pStyle w:val="Heading2"/>
      </w:pPr>
      <w:r>
        <w:t>Review Standards</w:t>
      </w:r>
    </w:p>
    <w:p w:rsidR="005B3412" w:rsidRDefault="00E11C9C" w:rsidP="005B3412">
      <w:r>
        <w:t xml:space="preserve">A number of commenters suggested changes in areas where the RR standard of review is </w:t>
      </w:r>
      <w:r w:rsidR="009961C9">
        <w:t>involved</w:t>
      </w:r>
      <w:r>
        <w:t>, including:</w:t>
      </w:r>
    </w:p>
    <w:p w:rsidR="00E11C9C" w:rsidRDefault="00E11C9C" w:rsidP="005B3412">
      <w:pPr>
        <w:pStyle w:val="ListParagraph"/>
        <w:numPr>
          <w:ilvl w:val="0"/>
          <w:numId w:val="2"/>
        </w:numPr>
      </w:pPr>
      <w:r>
        <w:t xml:space="preserve">The </w:t>
      </w:r>
      <w:r w:rsidR="0038135C">
        <w:t>standard</w:t>
      </w:r>
      <w:r w:rsidR="009D7B29">
        <w:t>s</w:t>
      </w:r>
      <w:r w:rsidR="0038135C">
        <w:t xml:space="preserve"> </w:t>
      </w:r>
      <w:r w:rsidR="00113095">
        <w:t>regarding</w:t>
      </w:r>
      <w:r w:rsidR="0038135C">
        <w:t xml:space="preserve"> the </w:t>
      </w:r>
      <w:r>
        <w:t>Board’s reliance on false or inaccurate “relevant” information – some commenters wanted to retain the “material” standard instead of the CCWG’</w:t>
      </w:r>
      <w:r w:rsidR="00113095">
        <w:t xml:space="preserve">s suggested change to “relevant.” </w:t>
      </w:r>
    </w:p>
    <w:p w:rsidR="003E5F7B" w:rsidRDefault="003E5F7B" w:rsidP="005B3412">
      <w:pPr>
        <w:pStyle w:val="ListParagraph"/>
        <w:numPr>
          <w:ilvl w:val="0"/>
          <w:numId w:val="2"/>
        </w:numPr>
      </w:pPr>
      <w:r>
        <w:t xml:space="preserve">A commenter wanted to amend </w:t>
      </w:r>
      <w:r w:rsidR="009D7B29">
        <w:t xml:space="preserve">one of </w:t>
      </w:r>
      <w:r>
        <w:t>the above standard</w:t>
      </w:r>
      <w:r w:rsidR="009D7B29">
        <w:t>s</w:t>
      </w:r>
      <w:r>
        <w:t xml:space="preserve"> </w:t>
      </w:r>
      <w:r w:rsidR="009D7B29">
        <w:t xml:space="preserve">(insofar as reliance is concerned) </w:t>
      </w:r>
      <w:r>
        <w:t>to include actions</w:t>
      </w:r>
      <w:r w:rsidR="009D7B29">
        <w:t>/inactions</w:t>
      </w:r>
      <w:r>
        <w:t xml:space="preserve"> taken on reliance on information </w:t>
      </w:r>
      <w:r w:rsidR="009D7B29">
        <w:t>that, subsequent to the action/inaction, materially change</w:t>
      </w:r>
      <w:r w:rsidR="004669EF">
        <w:t>d</w:t>
      </w:r>
      <w:r w:rsidR="009D7B29">
        <w:t xml:space="preserve">. </w:t>
      </w:r>
    </w:p>
    <w:p w:rsidR="00E11C9C" w:rsidRDefault="002803B9" w:rsidP="005B3412">
      <w:pPr>
        <w:pStyle w:val="ListParagraph"/>
        <w:numPr>
          <w:ilvl w:val="0"/>
          <w:numId w:val="2"/>
        </w:numPr>
      </w:pPr>
      <w:r>
        <w:t xml:space="preserve">A commenter requested a definition of “materially affected” or “materially harmed,” including whether this involves economic harm or is </w:t>
      </w:r>
      <w:r w:rsidR="00915F9F">
        <w:t>broader</w:t>
      </w:r>
      <w:r w:rsidR="00BA56EA">
        <w:t>.</w:t>
      </w:r>
    </w:p>
    <w:p w:rsidR="005C27D8" w:rsidRDefault="00094D85" w:rsidP="005B3412">
      <w:pPr>
        <w:pStyle w:val="ListParagraph"/>
        <w:numPr>
          <w:ilvl w:val="0"/>
          <w:numId w:val="2"/>
        </w:numPr>
      </w:pPr>
      <w:r>
        <w:t xml:space="preserve">A commenter’s request for clarity as to how RRs handle disputes concerning decisions made by external panels (including discrepancies in results among multiple external panels).  </w:t>
      </w:r>
    </w:p>
    <w:p w:rsidR="00915F9F" w:rsidRDefault="00915F9F" w:rsidP="005B3412">
      <w:pPr>
        <w:pStyle w:val="ListParagraph"/>
        <w:numPr>
          <w:ilvl w:val="0"/>
          <w:numId w:val="2"/>
        </w:numPr>
      </w:pPr>
      <w:r>
        <w:lastRenderedPageBreak/>
        <w:t>A commenter suggested trying to make the difference between board action/inactions vs. staff action/inaction easier.</w:t>
      </w:r>
    </w:p>
    <w:p w:rsidR="005B3412" w:rsidRDefault="00471052" w:rsidP="005B3412">
      <w:pPr>
        <w:pStyle w:val="Heading2"/>
      </w:pPr>
      <w:r>
        <w:t>S</w:t>
      </w:r>
      <w:r w:rsidR="00EA6770">
        <w:t>tanding</w:t>
      </w:r>
    </w:p>
    <w:p w:rsidR="00EA6770" w:rsidRDefault="00EA6770" w:rsidP="00471052">
      <w:pPr>
        <w:pStyle w:val="ListParagraph"/>
        <w:numPr>
          <w:ilvl w:val="0"/>
          <w:numId w:val="6"/>
        </w:numPr>
      </w:pPr>
      <w:r>
        <w:t>Some commenters said that RR petitioners should have in some manner participated in the policy development process in order to file an RR concerning such policy</w:t>
      </w:r>
      <w:r w:rsidR="001F17BD">
        <w:t xml:space="preserve"> (</w:t>
      </w:r>
      <w:r>
        <w:t>not to “stand on side-lines” as policy is developed and then argue against that policy in an RR).</w:t>
      </w:r>
    </w:p>
    <w:p w:rsidR="00471052" w:rsidRDefault="00471052" w:rsidP="00471052">
      <w:pPr>
        <w:pStyle w:val="ListParagraph"/>
        <w:numPr>
          <w:ilvl w:val="0"/>
          <w:numId w:val="6"/>
        </w:numPr>
      </w:pPr>
      <w:r>
        <w:t xml:space="preserve">Another commenter asked if RR </w:t>
      </w:r>
      <w:r w:rsidR="00052AC0">
        <w:t>is</w:t>
      </w:r>
      <w:r>
        <w:t xml:space="preserve"> a requirement before one could bring an IRP</w:t>
      </w:r>
      <w:r w:rsidR="001B420B">
        <w:t xml:space="preserve"> (thus related to IRP standing)</w:t>
      </w:r>
      <w:r>
        <w:t>.</w:t>
      </w:r>
    </w:p>
    <w:p w:rsidR="005B3412" w:rsidRDefault="005C27D8" w:rsidP="005B3412">
      <w:pPr>
        <w:pStyle w:val="Heading2"/>
      </w:pPr>
      <w:r>
        <w:t>Deadlines</w:t>
      </w:r>
      <w:r w:rsidR="009961C9">
        <w:t>/Timelines</w:t>
      </w:r>
    </w:p>
    <w:p w:rsidR="009961C9" w:rsidRDefault="001F17BD" w:rsidP="009961C9">
      <w:pPr>
        <w:pStyle w:val="ListParagraph"/>
        <w:numPr>
          <w:ilvl w:val="0"/>
          <w:numId w:val="7"/>
        </w:numPr>
      </w:pPr>
      <w:r>
        <w:t xml:space="preserve">Some commenters urged a </w:t>
      </w:r>
      <w:r w:rsidR="009961C9">
        <w:t xml:space="preserve">filing deadline for RR petitions that is </w:t>
      </w:r>
      <w:r>
        <w:t>more generous than 30 days</w:t>
      </w:r>
      <w:r w:rsidR="009961C9">
        <w:t>.</w:t>
      </w:r>
    </w:p>
    <w:p w:rsidR="009961C9" w:rsidRDefault="009961C9" w:rsidP="009961C9">
      <w:pPr>
        <w:pStyle w:val="ListParagraph"/>
        <w:numPr>
          <w:ilvl w:val="0"/>
          <w:numId w:val="7"/>
        </w:numPr>
      </w:pPr>
      <w:r>
        <w:t>A</w:t>
      </w:r>
      <w:r w:rsidR="00CC4F4E">
        <w:t>nother thought the 120 deadline for a board decision was too long</w:t>
      </w:r>
      <w:r w:rsidR="00740CE2">
        <w:t>, proposing 90 days</w:t>
      </w:r>
      <w:r w:rsidR="00CC4F4E">
        <w:t>.</w:t>
      </w:r>
    </w:p>
    <w:p w:rsidR="005B3412" w:rsidRDefault="00CC4F4E" w:rsidP="009961C9">
      <w:pPr>
        <w:pStyle w:val="ListParagraph"/>
        <w:numPr>
          <w:ilvl w:val="0"/>
          <w:numId w:val="7"/>
        </w:numPr>
      </w:pPr>
      <w:r>
        <w:t xml:space="preserve">Another commenter felt that </w:t>
      </w:r>
      <w:r w:rsidR="009961C9">
        <w:t xml:space="preserve">these </w:t>
      </w:r>
      <w:r>
        <w:t xml:space="preserve">deadlines </w:t>
      </w:r>
      <w:r w:rsidR="00525879">
        <w:t xml:space="preserve">(including decision deadlines) </w:t>
      </w:r>
      <w:r>
        <w:t xml:space="preserve">should have a provision for extension in </w:t>
      </w:r>
      <w:r w:rsidR="009961C9">
        <w:t xml:space="preserve">the event of </w:t>
      </w:r>
      <w:r>
        <w:t>extraordinary circumstances</w:t>
      </w:r>
      <w:r w:rsidR="005B3412">
        <w:t>.</w:t>
      </w:r>
    </w:p>
    <w:p w:rsidR="00181B8A" w:rsidRDefault="00181B8A" w:rsidP="009961C9">
      <w:pPr>
        <w:pStyle w:val="ListParagraph"/>
        <w:numPr>
          <w:ilvl w:val="0"/>
          <w:numId w:val="7"/>
        </w:numPr>
      </w:pPr>
      <w:r>
        <w:t>One commenter specifically said timeframes and deadlines are sufficient.</w:t>
      </w:r>
    </w:p>
    <w:p w:rsidR="005B3412" w:rsidRDefault="006B57B0" w:rsidP="005B3412">
      <w:pPr>
        <w:pStyle w:val="Heading2"/>
      </w:pPr>
      <w:r>
        <w:t>Transparency</w:t>
      </w:r>
    </w:p>
    <w:p w:rsidR="006B57B0" w:rsidRPr="006B57B0" w:rsidRDefault="006B57B0" w:rsidP="006B57B0">
      <w:r>
        <w:t xml:space="preserve">A number of commenters urged more transparency in RR proceedings, including: </w:t>
      </w:r>
    </w:p>
    <w:p w:rsidR="006B57B0" w:rsidRDefault="006B57B0" w:rsidP="006B57B0">
      <w:pPr>
        <w:pStyle w:val="ListParagraph"/>
        <w:numPr>
          <w:ilvl w:val="0"/>
          <w:numId w:val="4"/>
        </w:numPr>
      </w:pPr>
      <w:r>
        <w:t>Give RR petitioner option to have transcript/recording of substantive Board discussions of case;</w:t>
      </w:r>
    </w:p>
    <w:p w:rsidR="0001378D" w:rsidRDefault="0001378D" w:rsidP="0001378D">
      <w:pPr>
        <w:pStyle w:val="ListParagraph"/>
        <w:numPr>
          <w:ilvl w:val="0"/>
          <w:numId w:val="4"/>
        </w:numPr>
      </w:pPr>
      <w:r>
        <w:t xml:space="preserve">Require full documentation of BGC’s dismissal of any RR. </w:t>
      </w:r>
    </w:p>
    <w:p w:rsidR="004669EF" w:rsidRDefault="004669EF" w:rsidP="004669EF">
      <w:pPr>
        <w:pStyle w:val="ListParagraph"/>
        <w:numPr>
          <w:ilvl w:val="0"/>
          <w:numId w:val="4"/>
        </w:numPr>
      </w:pPr>
      <w:r>
        <w:t>Allow RR petitioners to rebut BGC’s final recommendation (without raising new issues) prior to final Board decision;</w:t>
      </w:r>
    </w:p>
    <w:p w:rsidR="000C0C3D" w:rsidRDefault="000C0C3D" w:rsidP="004669EF">
      <w:pPr>
        <w:pStyle w:val="ListParagraph"/>
        <w:numPr>
          <w:ilvl w:val="0"/>
          <w:numId w:val="4"/>
        </w:numPr>
      </w:pPr>
      <w:r>
        <w:t>Greater responsiveness by ICANN’</w:t>
      </w:r>
      <w:r w:rsidR="00E8245B">
        <w:t>s DIDP (document disclosure policy).</w:t>
      </w:r>
    </w:p>
    <w:p w:rsidR="005B3412" w:rsidRDefault="00915F9F" w:rsidP="005B3412">
      <w:pPr>
        <w:pStyle w:val="Heading2"/>
      </w:pPr>
      <w:r>
        <w:t>Other Comments</w:t>
      </w:r>
    </w:p>
    <w:p w:rsidR="00564503" w:rsidRDefault="00564503" w:rsidP="00564503">
      <w:pPr>
        <w:pStyle w:val="ListParagraph"/>
        <w:numPr>
          <w:ilvl w:val="0"/>
          <w:numId w:val="8"/>
        </w:numPr>
      </w:pPr>
      <w:r>
        <w:t xml:space="preserve">Financial </w:t>
      </w:r>
      <w:r w:rsidR="00723877">
        <w:t xml:space="preserve">arrangements: </w:t>
      </w:r>
      <w:r w:rsidR="00535B34">
        <w:t>One commenter said that ICANN board bearing burden of legal fees seems unfair.</w:t>
      </w:r>
    </w:p>
    <w:p w:rsidR="00723877" w:rsidRDefault="003E5F7B" w:rsidP="00564503">
      <w:pPr>
        <w:pStyle w:val="ListParagraph"/>
        <w:numPr>
          <w:ilvl w:val="0"/>
          <w:numId w:val="8"/>
        </w:numPr>
      </w:pPr>
      <w:r>
        <w:t>One commenter said that in light of the CCWG proposal only empowering the community to remove board members the requirements for RR are not enough – other punitive measures/solutions should be considered.</w:t>
      </w:r>
    </w:p>
    <w:p w:rsidR="003E5F7B" w:rsidRDefault="00017BEA" w:rsidP="00564503">
      <w:pPr>
        <w:pStyle w:val="ListParagraph"/>
        <w:numPr>
          <w:ilvl w:val="0"/>
          <w:numId w:val="8"/>
        </w:numPr>
      </w:pPr>
      <w:r>
        <w:t>Another</w:t>
      </w:r>
      <w:r w:rsidR="003E5F7B">
        <w:t xml:space="preserve"> </w:t>
      </w:r>
      <w:r>
        <w:t>noted</w:t>
      </w:r>
      <w:r w:rsidR="00DC04D7">
        <w:t xml:space="preserve"> importan</w:t>
      </w:r>
      <w:r>
        <w:t>ce</w:t>
      </w:r>
      <w:r w:rsidR="00DC04D7">
        <w:t xml:space="preserve"> that RR process not be capable of use in a frivolous or vexatious way.</w:t>
      </w:r>
    </w:p>
    <w:p w:rsidR="005B3412" w:rsidRDefault="005B3412" w:rsidP="005B3412">
      <w:pPr>
        <w:pStyle w:val="Heading1"/>
      </w:pPr>
      <w:r>
        <w:t>Appendix: Index of comments received</w:t>
      </w:r>
    </w:p>
    <w:p w:rsidR="005B3412" w:rsidRPr="00755227" w:rsidRDefault="005B3412" w:rsidP="005B3412">
      <w:r>
        <w:t>This appendix indexes the Public Comment Summary so that individual comments on a partic</w:t>
      </w:r>
      <w:r w:rsidR="00755227">
        <w:t>ular topic can be found quickly.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1332"/>
        <w:gridCol w:w="567"/>
        <w:gridCol w:w="4910"/>
      </w:tblGrid>
      <w:tr w:rsidR="005B3412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  <w:r>
              <w:t>Topic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  <w:r>
              <w:t>Commenter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  <w:r>
              <w:t>Ref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  <w:r>
              <w:t>Notes/extract</w:t>
            </w:r>
          </w:p>
        </w:tc>
      </w:tr>
      <w:tr w:rsidR="005B3412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 w:rsidP="00A9446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412" w:rsidRDefault="005B3412">
            <w:pPr>
              <w:spacing w:after="0" w:line="240" w:lineRule="auto"/>
            </w:pPr>
          </w:p>
        </w:tc>
      </w:tr>
      <w:tr w:rsidR="005B3412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97604A">
            <w:pPr>
              <w:spacing w:after="0" w:line="240" w:lineRule="auto"/>
            </w:pPr>
            <w:r>
              <w:t>Clarify RR/IPR distinctions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97604A">
            <w:pPr>
              <w:spacing w:after="0" w:line="240" w:lineRule="auto"/>
            </w:pPr>
            <w:r>
              <w:t>LAB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97604A">
            <w:pPr>
              <w:spacing w:after="0" w:line="240" w:lineRule="auto"/>
            </w:pPr>
            <w:r>
              <w:t>222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2" w:rsidRDefault="005B3412">
            <w:pPr>
              <w:spacing w:after="0" w:line="240" w:lineRule="auto"/>
            </w:pPr>
          </w:p>
        </w:tc>
      </w:tr>
      <w:tr w:rsidR="0097604A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741C5E">
            <w:pPr>
              <w:spacing w:after="0" w:line="240" w:lineRule="auto"/>
            </w:pPr>
            <w:r>
              <w:t>Consider addressing RR in WS2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741C5E">
            <w:pPr>
              <w:spacing w:after="0" w:line="240" w:lineRule="auto"/>
            </w:pPr>
            <w:r>
              <w:t>JPNIC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741C5E">
            <w:pPr>
              <w:spacing w:after="0" w:line="240" w:lineRule="auto"/>
            </w:pPr>
            <w:r>
              <w:t>211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97604A">
            <w:pPr>
              <w:spacing w:after="0" w:line="240" w:lineRule="auto"/>
            </w:pPr>
          </w:p>
        </w:tc>
      </w:tr>
      <w:tr w:rsidR="0097604A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DA7CF6">
            <w:pPr>
              <w:spacing w:after="0" w:line="240" w:lineRule="auto"/>
            </w:pPr>
            <w:r>
              <w:t>Ombudsman to do preliminary review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D33579">
            <w:pPr>
              <w:spacing w:after="0" w:line="240" w:lineRule="auto"/>
            </w:pPr>
            <w:proofErr w:type="spellStart"/>
            <w:r>
              <w:t>auDA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D33579">
            <w:pPr>
              <w:spacing w:after="0" w:line="240" w:lineRule="auto"/>
            </w:pPr>
            <w:r>
              <w:t>198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97604A">
            <w:pPr>
              <w:spacing w:after="0" w:line="240" w:lineRule="auto"/>
            </w:pPr>
          </w:p>
        </w:tc>
      </w:tr>
      <w:tr w:rsidR="0097604A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97604A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D33579">
            <w:pPr>
              <w:spacing w:after="0" w:line="240" w:lineRule="auto"/>
            </w:pPr>
            <w:r>
              <w:t>AFNIC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28699C">
            <w:pPr>
              <w:spacing w:after="0" w:line="240" w:lineRule="auto"/>
            </w:pPr>
            <w:r>
              <w:t>203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97604A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6C1068">
            <w:pPr>
              <w:spacing w:after="0" w:line="240" w:lineRule="auto"/>
            </w:pPr>
            <w:r>
              <w:t>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6C1068">
            <w:pPr>
              <w:spacing w:after="0" w:line="240" w:lineRule="auto"/>
            </w:pPr>
            <w:r>
              <w:t>204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D22054">
            <w:pPr>
              <w:spacing w:after="0" w:line="240" w:lineRule="auto"/>
            </w:pPr>
            <w:r>
              <w:t>BC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D22054">
            <w:pPr>
              <w:spacing w:after="0" w:line="240" w:lineRule="auto"/>
            </w:pPr>
            <w:r>
              <w:t>208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864919">
            <w:pPr>
              <w:spacing w:after="0" w:line="240" w:lineRule="auto"/>
            </w:pPr>
            <w:r>
              <w:t>USCC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864919">
            <w:pPr>
              <w:spacing w:after="0" w:line="240" w:lineRule="auto"/>
            </w:pPr>
            <w:r>
              <w:t>216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97604A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97604A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F35BA7">
            <w:pPr>
              <w:spacing w:after="0" w:line="240" w:lineRule="auto"/>
            </w:pPr>
            <w:r>
              <w:t>INTA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F35BA7">
            <w:pPr>
              <w:spacing w:after="0" w:line="240" w:lineRule="auto"/>
            </w:pPr>
            <w:r>
              <w:t>217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97604A">
            <w:pPr>
              <w:spacing w:after="0" w:line="240" w:lineRule="auto"/>
            </w:pPr>
          </w:p>
        </w:tc>
      </w:tr>
      <w:tr w:rsidR="00F35BA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A7" w:rsidRDefault="00F35BA7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A7" w:rsidRDefault="00F35BA7">
            <w:pPr>
              <w:spacing w:after="0" w:line="240" w:lineRule="auto"/>
            </w:pPr>
            <w:r>
              <w:t>USCIB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A7" w:rsidRDefault="00F35BA7">
            <w:pPr>
              <w:spacing w:after="0" w:line="240" w:lineRule="auto"/>
            </w:pPr>
            <w:r>
              <w:t>209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A7" w:rsidRDefault="00F35BA7">
            <w:pPr>
              <w:spacing w:after="0" w:line="240" w:lineRule="auto"/>
            </w:pPr>
          </w:p>
        </w:tc>
      </w:tr>
      <w:tr w:rsidR="00A972E9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9" w:rsidRDefault="00A972E9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9" w:rsidRDefault="00A972E9">
            <w:pPr>
              <w:spacing w:after="0" w:line="240" w:lineRule="auto"/>
            </w:pPr>
            <w:r>
              <w:t>IPC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9" w:rsidRDefault="00A972E9">
            <w:pPr>
              <w:spacing w:after="0" w:line="240" w:lineRule="auto"/>
            </w:pPr>
            <w:r>
              <w:t>212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E9" w:rsidRDefault="00A972E9">
            <w:pPr>
              <w:spacing w:after="0" w:line="240" w:lineRule="auto"/>
            </w:pPr>
          </w:p>
        </w:tc>
      </w:tr>
      <w:tr w:rsidR="00AB6D5A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  <w:r>
              <w:t>CDT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  <w:r>
              <w:t>215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</w:p>
        </w:tc>
      </w:tr>
      <w:tr w:rsidR="009855C5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  <w:proofErr w:type="spellStart"/>
            <w:r>
              <w:t>DotMusic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187AF3">
            <w:pPr>
              <w:spacing w:after="0" w:line="240" w:lineRule="auto"/>
            </w:pPr>
            <w:hyperlink r:id="rId8" w:history="1">
              <w:r w:rsidR="009855C5" w:rsidRPr="00F971DA">
                <w:rPr>
                  <w:rStyle w:val="Hyperlink"/>
                </w:rPr>
                <w:t>http://forum.icann.org/lists/comments-ccwg-accountability-draft-proposal-04may15/pdfzpy1fnCZN9.pdf</w:t>
              </w:r>
            </w:hyperlink>
            <w:r w:rsidR="009855C5">
              <w:t xml:space="preserve"> </w:t>
            </w:r>
          </w:p>
        </w:tc>
      </w:tr>
      <w:tr w:rsidR="0097604A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02041B">
            <w:pPr>
              <w:spacing w:after="0" w:line="240" w:lineRule="auto"/>
            </w:pPr>
            <w:r>
              <w:t>ICANN Legal not involved in preliminary review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F6501D">
            <w:pPr>
              <w:spacing w:after="0" w:line="240" w:lineRule="auto"/>
            </w:pPr>
            <w:proofErr w:type="spellStart"/>
            <w:r>
              <w:t>auDA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F6501D">
            <w:pPr>
              <w:spacing w:after="0" w:line="240" w:lineRule="auto"/>
            </w:pPr>
            <w:r>
              <w:t>198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A" w:rsidRDefault="0097604A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6C1068">
            <w:pPr>
              <w:spacing w:after="0" w:line="240" w:lineRule="auto"/>
            </w:pPr>
            <w:r>
              <w:t>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6C1068">
            <w:pPr>
              <w:spacing w:after="0" w:line="240" w:lineRule="auto"/>
            </w:pPr>
            <w:r>
              <w:t>204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CE47B1">
            <w:pPr>
              <w:spacing w:after="0" w:line="240" w:lineRule="auto"/>
            </w:pPr>
            <w:r>
              <w:t>BC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CE47B1">
            <w:pPr>
              <w:spacing w:after="0" w:line="240" w:lineRule="auto"/>
            </w:pPr>
            <w:r>
              <w:t>208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864919">
            <w:pPr>
              <w:spacing w:after="0" w:line="240" w:lineRule="auto"/>
            </w:pPr>
            <w:r>
              <w:t>USCC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864919">
            <w:pPr>
              <w:spacing w:after="0" w:line="240" w:lineRule="auto"/>
            </w:pPr>
            <w:r>
              <w:t>216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F35BA7">
            <w:pPr>
              <w:spacing w:after="0" w:line="240" w:lineRule="auto"/>
            </w:pPr>
            <w:r>
              <w:t>USCIB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F35BA7">
            <w:pPr>
              <w:spacing w:after="0" w:line="240" w:lineRule="auto"/>
            </w:pPr>
            <w:r>
              <w:t>209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AB6D5A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  <w:r>
              <w:t>CDT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  <w:r>
              <w:t>215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A" w:rsidRDefault="00AB6D5A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  <w:r>
              <w:t>Policy issues direct to BGC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5C67E4">
            <w:pPr>
              <w:spacing w:after="0" w:line="240" w:lineRule="auto"/>
            </w:pPr>
            <w:r>
              <w:t>BC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5C67E4">
            <w:pPr>
              <w:spacing w:after="0" w:line="240" w:lineRule="auto"/>
            </w:pPr>
            <w:r>
              <w:t>208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B97964">
            <w:pPr>
              <w:spacing w:after="0" w:line="240" w:lineRule="auto"/>
            </w:pPr>
            <w:r>
              <w:t xml:space="preserve">Board </w:t>
            </w:r>
            <w:proofErr w:type="spellStart"/>
            <w:r>
              <w:t>mbrs</w:t>
            </w:r>
            <w:proofErr w:type="spellEnd"/>
            <w:r>
              <w:t xml:space="preserve"> not review actions they were involved in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A55A27">
            <w:pPr>
              <w:spacing w:after="0" w:line="240" w:lineRule="auto"/>
            </w:pPr>
            <w:r>
              <w:t>DCA-T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A55A27">
            <w:pPr>
              <w:spacing w:after="0" w:line="240" w:lineRule="auto"/>
            </w:pPr>
            <w:r>
              <w:t>202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9855C5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  <w:proofErr w:type="spellStart"/>
            <w:r>
              <w:t>DotMusic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  <w:r>
              <w:t>See URL above</w:t>
            </w: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B97964">
            <w:pPr>
              <w:spacing w:after="0" w:line="240" w:lineRule="auto"/>
            </w:pPr>
            <w:r>
              <w:t>Rebuttal right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E83FC0">
            <w:pPr>
              <w:spacing w:after="0" w:line="240" w:lineRule="auto"/>
            </w:pPr>
            <w:r>
              <w:t>DCA-T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E83FC0">
            <w:pPr>
              <w:spacing w:after="0" w:line="240" w:lineRule="auto"/>
            </w:pPr>
            <w:r>
              <w:t>202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E83FC0">
            <w:pPr>
              <w:spacing w:after="0" w:line="240" w:lineRule="auto"/>
            </w:pPr>
            <w:r>
              <w:t>IPC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E83FC0">
            <w:pPr>
              <w:spacing w:after="0" w:line="240" w:lineRule="auto"/>
            </w:pPr>
            <w:r>
              <w:t>212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9855C5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  <w:proofErr w:type="spellStart"/>
            <w:r>
              <w:t>DotMusic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5" w:rsidRDefault="009855C5">
            <w:pPr>
              <w:spacing w:after="0" w:line="240" w:lineRule="auto"/>
            </w:pPr>
            <w:r>
              <w:t>See URL above</w:t>
            </w:r>
          </w:p>
        </w:tc>
      </w:tr>
      <w:tr w:rsidR="002F3D2C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145577" w:rsidP="00145577">
            <w:pPr>
              <w:spacing w:after="0" w:line="240" w:lineRule="auto"/>
            </w:pPr>
            <w:r>
              <w:t>Conflict of Interest Audit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8699C">
            <w:pPr>
              <w:spacing w:after="0" w:line="240" w:lineRule="auto"/>
            </w:pPr>
            <w:r>
              <w:t>AFNIC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8699C">
            <w:pPr>
              <w:spacing w:after="0" w:line="240" w:lineRule="auto"/>
            </w:pPr>
            <w:r>
              <w:t>203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C" w:rsidRDefault="002F3D2C">
            <w:pPr>
              <w:spacing w:after="0" w:line="240" w:lineRule="auto"/>
            </w:pPr>
          </w:p>
        </w:tc>
      </w:tr>
      <w:tr w:rsidR="0014557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48417D">
            <w:pPr>
              <w:spacing w:after="0" w:line="240" w:lineRule="auto"/>
            </w:pPr>
            <w:r>
              <w:t>Full Board vote required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95552A">
            <w:pPr>
              <w:spacing w:after="0" w:line="240" w:lineRule="auto"/>
            </w:pPr>
            <w:r>
              <w:t>BC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95552A">
            <w:pPr>
              <w:spacing w:after="0" w:line="240" w:lineRule="auto"/>
            </w:pPr>
            <w:r>
              <w:t>208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145577">
            <w:pPr>
              <w:spacing w:after="0" w:line="240" w:lineRule="auto"/>
            </w:pPr>
          </w:p>
        </w:tc>
      </w:tr>
      <w:tr w:rsidR="0014557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A700A9" w:rsidP="00396A72">
            <w:pPr>
              <w:spacing w:after="0" w:line="240" w:lineRule="auto"/>
            </w:pPr>
            <w:r>
              <w:t>Relian</w:t>
            </w:r>
            <w:r w:rsidR="00396A72">
              <w:t>ce</w:t>
            </w:r>
            <w:r>
              <w:t xml:space="preserve"> on “Relevant” vs. “Material” Info</w:t>
            </w:r>
            <w:r w:rsidR="00532036">
              <w:t xml:space="preserve"> (keep “material”)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0B664F">
            <w:pPr>
              <w:spacing w:after="0" w:line="240" w:lineRule="auto"/>
            </w:pPr>
            <w:r>
              <w:t>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0B664F">
            <w:pPr>
              <w:spacing w:after="0" w:line="240" w:lineRule="auto"/>
            </w:pPr>
            <w:r>
              <w:t>204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145577">
            <w:pPr>
              <w:spacing w:after="0" w:line="240" w:lineRule="auto"/>
            </w:pPr>
          </w:p>
        </w:tc>
      </w:tr>
      <w:tr w:rsidR="0014557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145577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0B664F">
            <w:pPr>
              <w:spacing w:after="0" w:line="240" w:lineRule="auto"/>
            </w:pPr>
            <w:r>
              <w:t>BC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0B664F">
            <w:pPr>
              <w:spacing w:after="0" w:line="240" w:lineRule="auto"/>
            </w:pPr>
            <w:r>
              <w:t>208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145577">
            <w:pPr>
              <w:spacing w:after="0" w:line="240" w:lineRule="auto"/>
            </w:pPr>
          </w:p>
        </w:tc>
      </w:tr>
      <w:tr w:rsidR="009B2394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  <w:r>
              <w:t>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  <w:r>
              <w:t>213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</w:p>
        </w:tc>
      </w:tr>
      <w:tr w:rsidR="009B2394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  <w:r>
              <w:t>USCC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  <w:r>
              <w:t>216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4" w:rsidRDefault="009B2394">
            <w:pPr>
              <w:spacing w:after="0" w:line="240" w:lineRule="auto"/>
            </w:pPr>
          </w:p>
        </w:tc>
      </w:tr>
      <w:tr w:rsidR="00532036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6" w:rsidRDefault="00532036">
            <w:pPr>
              <w:spacing w:after="0" w:line="240" w:lineRule="auto"/>
            </w:pPr>
            <w:r>
              <w:t xml:space="preserve">… Use “relevant”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6" w:rsidRDefault="00532036">
            <w:pPr>
              <w:spacing w:after="0" w:line="240" w:lineRule="auto"/>
            </w:pPr>
            <w:proofErr w:type="spellStart"/>
            <w:r>
              <w:t>DotMusic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6" w:rsidRDefault="00532036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6" w:rsidRDefault="00532036">
            <w:pPr>
              <w:spacing w:after="0" w:line="240" w:lineRule="auto"/>
            </w:pPr>
            <w:r>
              <w:t>See URL above</w:t>
            </w:r>
          </w:p>
        </w:tc>
      </w:tr>
      <w:tr w:rsidR="0014557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A700A9" w:rsidP="00BF1047">
            <w:pPr>
              <w:spacing w:after="0" w:line="240" w:lineRule="auto"/>
            </w:pPr>
            <w:r>
              <w:t xml:space="preserve">Material </w:t>
            </w:r>
            <w:r w:rsidR="00BF1047">
              <w:t xml:space="preserve">info </w:t>
            </w:r>
            <w:r>
              <w:t xml:space="preserve">change </w:t>
            </w:r>
            <w:r w:rsidR="00BF1047">
              <w:t>following b</w:t>
            </w:r>
            <w:r w:rsidR="0077079B">
              <w:t>oar</w:t>
            </w:r>
            <w:r w:rsidR="00BF1047">
              <w:t>d/staff action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9A4A0F">
            <w:pPr>
              <w:spacing w:after="0" w:line="240" w:lineRule="auto"/>
            </w:pPr>
            <w:r>
              <w:t>INTA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9A4A0F">
            <w:pPr>
              <w:spacing w:after="0" w:line="240" w:lineRule="auto"/>
            </w:pPr>
            <w:r>
              <w:t>217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7" w:rsidRDefault="00145577">
            <w:pPr>
              <w:spacing w:after="0" w:line="240" w:lineRule="auto"/>
            </w:pPr>
          </w:p>
        </w:tc>
      </w:tr>
      <w:tr w:rsidR="00BF104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667934">
            <w:pPr>
              <w:spacing w:after="0" w:line="240" w:lineRule="auto"/>
            </w:pPr>
            <w:r>
              <w:t>Definition of material harm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19208E">
            <w:pPr>
              <w:spacing w:after="0" w:line="240" w:lineRule="auto"/>
            </w:pPr>
            <w:r>
              <w:t>USCIB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19208E">
            <w:pPr>
              <w:spacing w:after="0" w:line="240" w:lineRule="auto"/>
            </w:pPr>
            <w:r>
              <w:t>209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BF1047">
            <w:pPr>
              <w:spacing w:after="0" w:line="240" w:lineRule="auto"/>
            </w:pPr>
          </w:p>
        </w:tc>
      </w:tr>
      <w:tr w:rsidR="00BF104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667934">
            <w:pPr>
              <w:spacing w:after="0" w:line="240" w:lineRule="auto"/>
            </w:pPr>
            <w:r>
              <w:t>Review of external panel decisions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231A38">
            <w:pPr>
              <w:spacing w:after="0" w:line="240" w:lineRule="auto"/>
            </w:pPr>
            <w:r>
              <w:t>ALAC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231A38">
            <w:pPr>
              <w:spacing w:after="0" w:line="240" w:lineRule="auto"/>
            </w:pPr>
            <w:r>
              <w:t>221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47" w:rsidRDefault="00BF1047">
            <w:pPr>
              <w:spacing w:after="0" w:line="240" w:lineRule="auto"/>
            </w:pPr>
          </w:p>
        </w:tc>
      </w:tr>
      <w:tr w:rsidR="00960B50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710794">
            <w:pPr>
              <w:spacing w:after="0" w:line="240" w:lineRule="auto"/>
            </w:pPr>
            <w:r>
              <w:t xml:space="preserve">Clarify distinctions </w:t>
            </w:r>
            <w:r>
              <w:lastRenderedPageBreak/>
              <w:t>b</w:t>
            </w:r>
            <w:r w:rsidR="0077079B">
              <w:t>oar</w:t>
            </w:r>
            <w:r>
              <w:t>d/staff actions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7A3C9C">
            <w:pPr>
              <w:spacing w:after="0" w:line="240" w:lineRule="auto"/>
            </w:pPr>
            <w:r>
              <w:lastRenderedPageBreak/>
              <w:t>CRG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7A3C9C">
            <w:pPr>
              <w:spacing w:after="0" w:line="240" w:lineRule="auto"/>
            </w:pPr>
            <w:r>
              <w:t>200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960B50">
            <w:pPr>
              <w:spacing w:after="0" w:line="240" w:lineRule="auto"/>
            </w:pPr>
          </w:p>
        </w:tc>
      </w:tr>
      <w:tr w:rsidR="00960B50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0E3F46">
            <w:pPr>
              <w:spacing w:after="0" w:line="240" w:lineRule="auto"/>
            </w:pPr>
            <w:r>
              <w:lastRenderedPageBreak/>
              <w:t>Policy participation for standing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801391">
            <w:pPr>
              <w:spacing w:after="0" w:line="240" w:lineRule="auto"/>
            </w:pPr>
            <w:r>
              <w:t>BC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801391">
            <w:pPr>
              <w:spacing w:after="0" w:line="240" w:lineRule="auto"/>
            </w:pPr>
            <w:r>
              <w:t>208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0" w:rsidRDefault="00960B50">
            <w:pPr>
              <w:spacing w:after="0" w:line="240" w:lineRule="auto"/>
            </w:pPr>
          </w:p>
        </w:tc>
      </w:tr>
      <w:tr w:rsidR="000E3F46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0E3F46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801391">
            <w:pPr>
              <w:spacing w:after="0" w:line="240" w:lineRule="auto"/>
            </w:pPr>
            <w:r>
              <w:t>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801391">
            <w:pPr>
              <w:spacing w:after="0" w:line="240" w:lineRule="auto"/>
            </w:pPr>
            <w:r>
              <w:t>204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0E3F46">
            <w:pPr>
              <w:spacing w:after="0" w:line="240" w:lineRule="auto"/>
            </w:pPr>
          </w:p>
        </w:tc>
      </w:tr>
      <w:tr w:rsidR="00801391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  <w:r>
              <w:t>USCIB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  <w:r>
              <w:t>209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</w:p>
        </w:tc>
      </w:tr>
      <w:tr w:rsidR="00801391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  <w:r>
              <w:t>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  <w:r>
              <w:t>213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</w:p>
        </w:tc>
      </w:tr>
      <w:tr w:rsidR="00801391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  <w:r>
              <w:t>USCC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  <w:r>
              <w:t>216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91" w:rsidRDefault="00801391">
            <w:pPr>
              <w:spacing w:after="0" w:line="240" w:lineRule="auto"/>
            </w:pPr>
          </w:p>
        </w:tc>
      </w:tr>
      <w:tr w:rsidR="000E3F46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052AC0" w:rsidP="00052AC0">
            <w:pPr>
              <w:spacing w:after="0" w:line="240" w:lineRule="auto"/>
            </w:pPr>
            <w:r>
              <w:t xml:space="preserve">Is </w:t>
            </w:r>
            <w:r w:rsidR="008F6A88">
              <w:t>RR a precondition for filing IRP</w:t>
            </w:r>
            <w:r>
              <w:t>?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052AC0">
            <w:pPr>
              <w:spacing w:after="0" w:line="240" w:lineRule="auto"/>
            </w:pPr>
            <w:r>
              <w:t>CRG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052AC0">
            <w:pPr>
              <w:spacing w:after="0" w:line="240" w:lineRule="auto"/>
            </w:pPr>
            <w:r>
              <w:t>200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0E3F46">
            <w:pPr>
              <w:spacing w:after="0" w:line="240" w:lineRule="auto"/>
            </w:pPr>
          </w:p>
        </w:tc>
      </w:tr>
      <w:tr w:rsidR="000E3F46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7B6798">
            <w:pPr>
              <w:spacing w:after="0" w:line="240" w:lineRule="auto"/>
            </w:pPr>
            <w:r>
              <w:t>Expanded filing deadline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7B00AD">
            <w:pPr>
              <w:spacing w:after="0" w:line="240" w:lineRule="auto"/>
            </w:pPr>
            <w:r>
              <w:t>CENTR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7B00AD">
            <w:pPr>
              <w:spacing w:after="0" w:line="240" w:lineRule="auto"/>
            </w:pPr>
            <w:r>
              <w:t>219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46" w:rsidRDefault="000E3F46">
            <w:pPr>
              <w:spacing w:after="0" w:line="240" w:lineRule="auto"/>
            </w:pPr>
          </w:p>
        </w:tc>
      </w:tr>
      <w:tr w:rsidR="007B6798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01229C" w:rsidP="0001229C">
            <w:pPr>
              <w:spacing w:after="0" w:line="240" w:lineRule="auto"/>
            </w:pPr>
            <w:r>
              <w:t>IPC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01229C">
            <w:pPr>
              <w:spacing w:after="0" w:line="240" w:lineRule="auto"/>
            </w:pPr>
            <w:r>
              <w:t>212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</w:p>
        </w:tc>
      </w:tr>
      <w:tr w:rsidR="007B6798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  <w:r>
              <w:t>Narrowed decision timeline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E44FE8">
            <w:pPr>
              <w:spacing w:after="0" w:line="240" w:lineRule="auto"/>
            </w:pPr>
            <w:r>
              <w:t>CENTR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E44FE8">
            <w:pPr>
              <w:spacing w:after="0" w:line="240" w:lineRule="auto"/>
            </w:pPr>
            <w:r>
              <w:t>219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</w:p>
        </w:tc>
      </w:tr>
      <w:tr w:rsidR="007B6798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  <w:r>
              <w:t>Timelines flexibility for extraordinary circumstances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405798">
            <w:pPr>
              <w:spacing w:after="0" w:line="240" w:lineRule="auto"/>
            </w:pPr>
            <w:r>
              <w:t>ALAC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405798">
            <w:pPr>
              <w:spacing w:after="0" w:line="240" w:lineRule="auto"/>
            </w:pPr>
            <w:r>
              <w:t>221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</w:p>
        </w:tc>
      </w:tr>
      <w:tr w:rsidR="007B6798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  <w:r>
              <w:t>Timelines are sufficient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F521EF">
            <w:pPr>
              <w:spacing w:after="0" w:line="240" w:lineRule="auto"/>
            </w:pPr>
            <w:r>
              <w:t>NIRA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F521EF">
            <w:pPr>
              <w:spacing w:after="0" w:line="240" w:lineRule="auto"/>
            </w:pPr>
            <w:r>
              <w:t>220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8" w:rsidRDefault="007B6798">
            <w:pPr>
              <w:spacing w:after="0" w:line="240" w:lineRule="auto"/>
            </w:pPr>
          </w:p>
        </w:tc>
      </w:tr>
      <w:tr w:rsidR="0098577E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  <w:r>
              <w:t>Transcript/recording board discussions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0D4962">
            <w:pPr>
              <w:spacing w:after="0" w:line="240" w:lineRule="auto"/>
            </w:pPr>
            <w:r>
              <w:t>DCA-T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0D4962">
            <w:pPr>
              <w:spacing w:after="0" w:line="240" w:lineRule="auto"/>
            </w:pPr>
            <w:r>
              <w:t>202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</w:p>
        </w:tc>
      </w:tr>
      <w:tr w:rsidR="00755227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7" w:rsidRDefault="00755227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7" w:rsidRDefault="00755227">
            <w:pPr>
              <w:spacing w:after="0" w:line="240" w:lineRule="auto"/>
            </w:pPr>
            <w:r>
              <w:t>IPC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7" w:rsidRDefault="00755227">
            <w:pPr>
              <w:spacing w:after="0" w:line="240" w:lineRule="auto"/>
            </w:pPr>
            <w:r>
              <w:t>212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27" w:rsidRDefault="00755227">
            <w:pPr>
              <w:spacing w:after="0" w:line="240" w:lineRule="auto"/>
            </w:pPr>
          </w:p>
        </w:tc>
      </w:tr>
      <w:tr w:rsidR="0098577E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386259">
            <w:pPr>
              <w:spacing w:after="0" w:line="240" w:lineRule="auto"/>
            </w:pPr>
            <w:r>
              <w:t>Better DIDP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386259">
            <w:pPr>
              <w:spacing w:after="0" w:line="240" w:lineRule="auto"/>
            </w:pPr>
            <w:r>
              <w:t>CDT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386259">
            <w:pPr>
              <w:spacing w:after="0" w:line="240" w:lineRule="auto"/>
            </w:pPr>
            <w:r>
              <w:t>215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</w:p>
        </w:tc>
      </w:tr>
      <w:tr w:rsidR="0098577E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755227">
            <w:pPr>
              <w:spacing w:after="0" w:line="240" w:lineRule="auto"/>
            </w:pPr>
            <w:r>
              <w:t>IPC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755227">
            <w:pPr>
              <w:spacing w:after="0" w:line="240" w:lineRule="auto"/>
            </w:pPr>
            <w:r>
              <w:t>212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</w:p>
        </w:tc>
      </w:tr>
      <w:tr w:rsidR="00442090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0" w:rsidRDefault="00442090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0" w:rsidRDefault="00442090">
            <w:pPr>
              <w:spacing w:after="0" w:line="240" w:lineRule="auto"/>
            </w:pPr>
            <w:proofErr w:type="spellStart"/>
            <w:r>
              <w:t>DotMusic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0" w:rsidRDefault="00442090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90" w:rsidRDefault="00442090">
            <w:pPr>
              <w:spacing w:after="0" w:line="240" w:lineRule="auto"/>
            </w:pPr>
            <w:r>
              <w:t>See URL above</w:t>
            </w:r>
          </w:p>
        </w:tc>
      </w:tr>
      <w:tr w:rsidR="0098577E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  <w:r>
              <w:t>Full documentation BGC dismissals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680065">
            <w:pPr>
              <w:spacing w:after="0" w:line="240" w:lineRule="auto"/>
            </w:pPr>
            <w:r>
              <w:t>BC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680065">
            <w:pPr>
              <w:spacing w:after="0" w:line="240" w:lineRule="auto"/>
            </w:pPr>
            <w:r>
              <w:t>208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</w:p>
        </w:tc>
      </w:tr>
      <w:tr w:rsidR="0098577E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A776B0">
            <w:pPr>
              <w:spacing w:after="0" w:line="240" w:lineRule="auto"/>
            </w:pPr>
            <w:r>
              <w:t xml:space="preserve">Other solutions needed for RR results than board </w:t>
            </w:r>
            <w:r w:rsidR="00F55BB6">
              <w:t xml:space="preserve">member(s) </w:t>
            </w:r>
            <w:r>
              <w:t>removal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A776B0">
            <w:pPr>
              <w:spacing w:after="0" w:line="240" w:lineRule="auto"/>
            </w:pPr>
            <w:r>
              <w:t>JH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A776B0">
            <w:pPr>
              <w:spacing w:after="0" w:line="240" w:lineRule="auto"/>
            </w:pPr>
            <w:r>
              <w:t>207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7E" w:rsidRDefault="0098577E">
            <w:pPr>
              <w:spacing w:after="0" w:line="240" w:lineRule="auto"/>
            </w:pPr>
          </w:p>
        </w:tc>
      </w:tr>
      <w:tr w:rsidR="00CB16EB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  <w:r>
              <w:t>Avoid frivolous/vexatious RRs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  <w:r>
              <w:t>.</w:t>
            </w:r>
            <w:proofErr w:type="spellStart"/>
            <w:r>
              <w:t>nz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  <w:r>
              <w:t>218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</w:p>
        </w:tc>
      </w:tr>
      <w:tr w:rsidR="00CB16EB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A84E1A" w:rsidP="00A9021E">
            <w:pPr>
              <w:spacing w:after="0" w:line="240" w:lineRule="auto"/>
            </w:pPr>
            <w:r>
              <w:t>Legal fees burden unfair to ICANN board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A84E1A">
            <w:pPr>
              <w:spacing w:after="0" w:line="240" w:lineRule="auto"/>
            </w:pPr>
            <w:r>
              <w:t>NIRA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8A7A84">
            <w:pPr>
              <w:spacing w:after="0" w:line="240" w:lineRule="auto"/>
            </w:pPr>
            <w:r>
              <w:t>220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EB" w:rsidRDefault="00CB16EB">
            <w:pPr>
              <w:spacing w:after="0" w:line="240" w:lineRule="auto"/>
            </w:pPr>
          </w:p>
        </w:tc>
      </w:tr>
      <w:tr w:rsidR="00A1680D" w:rsidTr="005B341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D" w:rsidRDefault="00A1680D" w:rsidP="00A9021E">
            <w:pPr>
              <w:spacing w:after="0" w:line="240" w:lineRule="auto"/>
            </w:pPr>
            <w:r>
              <w:t>Internet number resources have and should retain separate dispute mechanisms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D" w:rsidRDefault="00A1680D">
            <w:pPr>
              <w:spacing w:after="0" w:line="240" w:lineRule="auto"/>
            </w:pPr>
            <w:r>
              <w:t>RIR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D" w:rsidRDefault="00A1680D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D" w:rsidRDefault="00187AF3">
            <w:pPr>
              <w:spacing w:after="0" w:line="240" w:lineRule="auto"/>
            </w:pPr>
            <w:hyperlink r:id="rId9" w:history="1">
              <w:r w:rsidR="00A1680D" w:rsidRPr="00F971DA">
                <w:rPr>
                  <w:rStyle w:val="Hyperlink"/>
                </w:rPr>
                <w:t>http://forum.icann.org/lists/comments-ccwg-accountability-draft-proposal-04may15/pdfWAmyiASmx0.pdf</w:t>
              </w:r>
            </w:hyperlink>
            <w:r w:rsidR="00A1680D">
              <w:t xml:space="preserve">  (posted June 12)</w:t>
            </w:r>
          </w:p>
        </w:tc>
      </w:tr>
    </w:tbl>
    <w:p w:rsidR="00483420" w:rsidRDefault="00187AF3" w:rsidP="00017BEA"/>
    <w:sectPr w:rsidR="0048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0C" w:rsidRDefault="007A1C0C" w:rsidP="005B3412">
      <w:pPr>
        <w:spacing w:after="0" w:line="240" w:lineRule="auto"/>
      </w:pPr>
      <w:r>
        <w:separator/>
      </w:r>
    </w:p>
  </w:endnote>
  <w:endnote w:type="continuationSeparator" w:id="0">
    <w:p w:rsidR="007A1C0C" w:rsidRDefault="007A1C0C" w:rsidP="005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0C" w:rsidRDefault="007A1C0C" w:rsidP="005B3412">
      <w:pPr>
        <w:spacing w:after="0" w:line="240" w:lineRule="auto"/>
      </w:pPr>
      <w:r>
        <w:separator/>
      </w:r>
    </w:p>
  </w:footnote>
  <w:footnote w:type="continuationSeparator" w:id="0">
    <w:p w:rsidR="007A1C0C" w:rsidRDefault="007A1C0C" w:rsidP="005B3412">
      <w:pPr>
        <w:spacing w:after="0" w:line="240" w:lineRule="auto"/>
      </w:pPr>
      <w:r>
        <w:continuationSeparator/>
      </w:r>
    </w:p>
  </w:footnote>
  <w:footnote w:id="1">
    <w:p w:rsidR="005B3412" w:rsidRDefault="005B3412" w:rsidP="005B3412">
      <w:pPr>
        <w:pStyle w:val="FootnoteText"/>
      </w:pPr>
      <w:r>
        <w:rPr>
          <w:rStyle w:val="FootnoteReference"/>
        </w:rPr>
        <w:footnoteRef/>
      </w:r>
      <w:r>
        <w:t xml:space="preserve"> The starting point for this exercise was the summary of public comment replies supplied by staff support, not the original replies themselves.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56F"/>
    <w:multiLevelType w:val="hybridMultilevel"/>
    <w:tmpl w:val="D90C4252"/>
    <w:lvl w:ilvl="0" w:tplc="462C920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335"/>
    <w:multiLevelType w:val="hybridMultilevel"/>
    <w:tmpl w:val="7280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2DC"/>
    <w:multiLevelType w:val="hybridMultilevel"/>
    <w:tmpl w:val="2B8045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A2B0A07"/>
    <w:multiLevelType w:val="hybridMultilevel"/>
    <w:tmpl w:val="B61C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67816"/>
    <w:multiLevelType w:val="hybridMultilevel"/>
    <w:tmpl w:val="4A6A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E1768"/>
    <w:multiLevelType w:val="hybridMultilevel"/>
    <w:tmpl w:val="4AD061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DE13227"/>
    <w:multiLevelType w:val="hybridMultilevel"/>
    <w:tmpl w:val="B720C4FC"/>
    <w:lvl w:ilvl="0" w:tplc="75ACB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33FB4"/>
    <w:multiLevelType w:val="hybridMultilevel"/>
    <w:tmpl w:val="410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12"/>
    <w:rsid w:val="00000B63"/>
    <w:rsid w:val="0001229C"/>
    <w:rsid w:val="0001378D"/>
    <w:rsid w:val="00017BEA"/>
    <w:rsid w:val="0002041B"/>
    <w:rsid w:val="00040351"/>
    <w:rsid w:val="00052AC0"/>
    <w:rsid w:val="000629A0"/>
    <w:rsid w:val="000813E0"/>
    <w:rsid w:val="000854D3"/>
    <w:rsid w:val="000864EA"/>
    <w:rsid w:val="00094D85"/>
    <w:rsid w:val="000B49D8"/>
    <w:rsid w:val="000B664F"/>
    <w:rsid w:val="000C0C3D"/>
    <w:rsid w:val="000D2328"/>
    <w:rsid w:val="000D4962"/>
    <w:rsid w:val="000D5A7F"/>
    <w:rsid w:val="000E3F46"/>
    <w:rsid w:val="000F41A1"/>
    <w:rsid w:val="00103BF2"/>
    <w:rsid w:val="00113095"/>
    <w:rsid w:val="00145577"/>
    <w:rsid w:val="00181B8A"/>
    <w:rsid w:val="00187AF3"/>
    <w:rsid w:val="0019208E"/>
    <w:rsid w:val="001A0646"/>
    <w:rsid w:val="001B420B"/>
    <w:rsid w:val="001F17BD"/>
    <w:rsid w:val="001F3AFD"/>
    <w:rsid w:val="00231A38"/>
    <w:rsid w:val="00255984"/>
    <w:rsid w:val="002803B9"/>
    <w:rsid w:val="00281073"/>
    <w:rsid w:val="0028699C"/>
    <w:rsid w:val="002B0D57"/>
    <w:rsid w:val="002F3D2C"/>
    <w:rsid w:val="003009BC"/>
    <w:rsid w:val="003355E0"/>
    <w:rsid w:val="00346A05"/>
    <w:rsid w:val="00371262"/>
    <w:rsid w:val="0038135C"/>
    <w:rsid w:val="00386259"/>
    <w:rsid w:val="00396A72"/>
    <w:rsid w:val="003B30DC"/>
    <w:rsid w:val="003E5F7B"/>
    <w:rsid w:val="00405798"/>
    <w:rsid w:val="00442090"/>
    <w:rsid w:val="004669EF"/>
    <w:rsid w:val="00471052"/>
    <w:rsid w:val="0048417D"/>
    <w:rsid w:val="00490CFF"/>
    <w:rsid w:val="004A0D95"/>
    <w:rsid w:val="004B5611"/>
    <w:rsid w:val="004B6D61"/>
    <w:rsid w:val="00504A88"/>
    <w:rsid w:val="00525879"/>
    <w:rsid w:val="00532036"/>
    <w:rsid w:val="00535B34"/>
    <w:rsid w:val="00564503"/>
    <w:rsid w:val="005868E1"/>
    <w:rsid w:val="00592274"/>
    <w:rsid w:val="005B3412"/>
    <w:rsid w:val="005C27D8"/>
    <w:rsid w:val="005C29FD"/>
    <w:rsid w:val="005C67E4"/>
    <w:rsid w:val="005E08A6"/>
    <w:rsid w:val="005E6BEF"/>
    <w:rsid w:val="00604177"/>
    <w:rsid w:val="00652709"/>
    <w:rsid w:val="00667934"/>
    <w:rsid w:val="00680065"/>
    <w:rsid w:val="006B57B0"/>
    <w:rsid w:val="006C1068"/>
    <w:rsid w:val="0070294E"/>
    <w:rsid w:val="00702D1E"/>
    <w:rsid w:val="00706DED"/>
    <w:rsid w:val="00710794"/>
    <w:rsid w:val="00711D2D"/>
    <w:rsid w:val="00723877"/>
    <w:rsid w:val="00740CE2"/>
    <w:rsid w:val="00741C5E"/>
    <w:rsid w:val="00755227"/>
    <w:rsid w:val="0077079B"/>
    <w:rsid w:val="007A1C0C"/>
    <w:rsid w:val="007A3C9C"/>
    <w:rsid w:val="007A3E3F"/>
    <w:rsid w:val="007B00AD"/>
    <w:rsid w:val="007B13CD"/>
    <w:rsid w:val="007B6798"/>
    <w:rsid w:val="007B7556"/>
    <w:rsid w:val="007C7764"/>
    <w:rsid w:val="00801391"/>
    <w:rsid w:val="0080252B"/>
    <w:rsid w:val="0085033C"/>
    <w:rsid w:val="00864919"/>
    <w:rsid w:val="008A7A84"/>
    <w:rsid w:val="008F6A88"/>
    <w:rsid w:val="00905027"/>
    <w:rsid w:val="00915F9F"/>
    <w:rsid w:val="00926EA1"/>
    <w:rsid w:val="0095334F"/>
    <w:rsid w:val="0095552A"/>
    <w:rsid w:val="00957F7F"/>
    <w:rsid w:val="00960B50"/>
    <w:rsid w:val="0097604A"/>
    <w:rsid w:val="009855C5"/>
    <w:rsid w:val="0098577E"/>
    <w:rsid w:val="009961C9"/>
    <w:rsid w:val="009A4A0F"/>
    <w:rsid w:val="009A55D4"/>
    <w:rsid w:val="009B2394"/>
    <w:rsid w:val="009D7B29"/>
    <w:rsid w:val="009F328D"/>
    <w:rsid w:val="00A1680D"/>
    <w:rsid w:val="00A37745"/>
    <w:rsid w:val="00A5348F"/>
    <w:rsid w:val="00A55A27"/>
    <w:rsid w:val="00A56671"/>
    <w:rsid w:val="00A67721"/>
    <w:rsid w:val="00A700A9"/>
    <w:rsid w:val="00A7058E"/>
    <w:rsid w:val="00A776B0"/>
    <w:rsid w:val="00A84E1A"/>
    <w:rsid w:val="00A872B6"/>
    <w:rsid w:val="00A9021E"/>
    <w:rsid w:val="00A94463"/>
    <w:rsid w:val="00A972E9"/>
    <w:rsid w:val="00AB3E2D"/>
    <w:rsid w:val="00AB6D5A"/>
    <w:rsid w:val="00AE6DAF"/>
    <w:rsid w:val="00B5644C"/>
    <w:rsid w:val="00B70695"/>
    <w:rsid w:val="00B97964"/>
    <w:rsid w:val="00BA56EA"/>
    <w:rsid w:val="00BB0FE8"/>
    <w:rsid w:val="00BD128A"/>
    <w:rsid w:val="00BD328A"/>
    <w:rsid w:val="00BF1047"/>
    <w:rsid w:val="00BF6400"/>
    <w:rsid w:val="00C250F6"/>
    <w:rsid w:val="00C648B3"/>
    <w:rsid w:val="00C82B24"/>
    <w:rsid w:val="00C968CF"/>
    <w:rsid w:val="00CB062A"/>
    <w:rsid w:val="00CB16EB"/>
    <w:rsid w:val="00CB674A"/>
    <w:rsid w:val="00CC4F4E"/>
    <w:rsid w:val="00CE1935"/>
    <w:rsid w:val="00CE47B1"/>
    <w:rsid w:val="00CF7836"/>
    <w:rsid w:val="00D10861"/>
    <w:rsid w:val="00D145D1"/>
    <w:rsid w:val="00D22054"/>
    <w:rsid w:val="00D22286"/>
    <w:rsid w:val="00D30B10"/>
    <w:rsid w:val="00D33579"/>
    <w:rsid w:val="00D63F24"/>
    <w:rsid w:val="00D71141"/>
    <w:rsid w:val="00DA2C62"/>
    <w:rsid w:val="00DA7CF6"/>
    <w:rsid w:val="00DC04D7"/>
    <w:rsid w:val="00DF6286"/>
    <w:rsid w:val="00E11C9C"/>
    <w:rsid w:val="00E44FE8"/>
    <w:rsid w:val="00E477DB"/>
    <w:rsid w:val="00E70EE8"/>
    <w:rsid w:val="00E8245B"/>
    <w:rsid w:val="00E83FC0"/>
    <w:rsid w:val="00E843C8"/>
    <w:rsid w:val="00EA6770"/>
    <w:rsid w:val="00EC03B2"/>
    <w:rsid w:val="00EE77E7"/>
    <w:rsid w:val="00F30BA0"/>
    <w:rsid w:val="00F35BA7"/>
    <w:rsid w:val="00F521EF"/>
    <w:rsid w:val="00F55BB6"/>
    <w:rsid w:val="00F6266F"/>
    <w:rsid w:val="00F6501D"/>
    <w:rsid w:val="00F71513"/>
    <w:rsid w:val="00F927A9"/>
    <w:rsid w:val="00F93BB6"/>
    <w:rsid w:val="00FB129F"/>
    <w:rsid w:val="00F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12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412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12"/>
    <w:rPr>
      <w:rFonts w:ascii="Arial" w:eastAsiaTheme="majorEastAsia" w:hAnsi="Arial" w:cs="Arial"/>
      <w:b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4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412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341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B3412"/>
    <w:rPr>
      <w:vertAlign w:val="superscript"/>
    </w:rPr>
  </w:style>
  <w:style w:type="table" w:styleId="TableGrid">
    <w:name w:val="Table Grid"/>
    <w:basedOn w:val="TableNormal"/>
    <w:uiPriority w:val="39"/>
    <w:rsid w:val="005B34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5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85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12"/>
    <w:pPr>
      <w:spacing w:after="160"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412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12"/>
    <w:rPr>
      <w:rFonts w:ascii="Arial" w:eastAsiaTheme="majorEastAsia" w:hAnsi="Arial" w:cs="Arial"/>
      <w:b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4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412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341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B3412"/>
    <w:rPr>
      <w:vertAlign w:val="superscript"/>
    </w:rPr>
  </w:style>
  <w:style w:type="table" w:styleId="TableGrid">
    <w:name w:val="Table Grid"/>
    <w:basedOn w:val="TableNormal"/>
    <w:uiPriority w:val="39"/>
    <w:rsid w:val="005B34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5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85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orum.icann.org/lists/comments-ccwg-accountability-draft-proposal-04may15/pdfzpy1fnCZN9.pdf" TargetMode="External"/><Relationship Id="rId9" Type="http://schemas.openxmlformats.org/officeDocument/2006/relationships/hyperlink" Target="http://forum.icann.org/lists/comments-ccwg-accountability-draft-proposal-04may15/pdfWAmyiASmx0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8562</Characters>
  <Application>Microsoft Macintosh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McAuley, David</dc:creator>
  <cp:lastModifiedBy>Becky Burr</cp:lastModifiedBy>
  <cp:revision>2</cp:revision>
  <cp:lastPrinted>2015-06-12T14:37:00Z</cp:lastPrinted>
  <dcterms:created xsi:type="dcterms:W3CDTF">2015-07-12T20:08:00Z</dcterms:created>
  <dcterms:modified xsi:type="dcterms:W3CDTF">2015-07-12T20:08:00Z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-1658250370</vt:i4>
  </property>
  <property fmtid="{D5CDD505-2E9C-101B-9397-08002B2CF9AE}" pid="3" name="_NewReviewCycle">
    <vt:lpwstr/>
  </property>
  <property fmtid="{D5CDD505-2E9C-101B-9397-08002B2CF9AE}" pid="4" name="_EmailSubject">
    <vt:lpwstr>Revised categorization of comments on reconsideration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</Properties>
</file>