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47BA" w14:textId="77777777" w:rsidR="002C19A5" w:rsidRPr="004957E8" w:rsidRDefault="002C19A5" w:rsidP="002C19A5">
      <w:pPr>
        <w:pStyle w:val="Heading2"/>
        <w:rPr>
          <w:sz w:val="22"/>
          <w:szCs w:val="22"/>
        </w:rPr>
      </w:pPr>
      <w:bookmarkStart w:id="0" w:name="_Toc292025306"/>
      <w:bookmarkStart w:id="1" w:name="_Toc291848689"/>
      <w:bookmarkStart w:id="2" w:name="_Toc292327609"/>
      <w:bookmarkStart w:id="3" w:name="_Toc292368580"/>
      <w:bookmarkStart w:id="4" w:name="_Toc292368647"/>
      <w:r w:rsidRPr="004957E8">
        <w:rPr>
          <w:sz w:val="22"/>
          <w:szCs w:val="22"/>
        </w:rPr>
        <w:t>4.2 Reconsideration Process Enhancement</w:t>
      </w:r>
      <w:bookmarkEnd w:id="0"/>
      <w:bookmarkEnd w:id="1"/>
      <w:bookmarkEnd w:id="2"/>
      <w:bookmarkEnd w:id="3"/>
      <w:bookmarkEnd w:id="4"/>
    </w:p>
    <w:p w14:paraId="4D087D84" w14:textId="77777777" w:rsidR="002C19A5" w:rsidRPr="004957E8" w:rsidRDefault="002C19A5" w:rsidP="002C19A5">
      <w:pPr>
        <w:pStyle w:val="Heading4"/>
        <w:numPr>
          <w:ilvl w:val="0"/>
          <w:numId w:val="12"/>
        </w:numPr>
        <w:ind w:hanging="540"/>
      </w:pPr>
      <w:r w:rsidRPr="004957E8">
        <w:t>INTRODUCTION</w:t>
      </w:r>
    </w:p>
    <w:p w14:paraId="59C40DB7" w14:textId="17653D7A" w:rsidR="002C19A5" w:rsidRPr="004957E8" w:rsidRDefault="002C19A5" w:rsidP="002C19A5">
      <w:pPr>
        <w:numPr>
          <w:ilvl w:val="0"/>
          <w:numId w:val="12"/>
        </w:numPr>
        <w:spacing w:after="0" w:line="240" w:lineRule="auto"/>
        <w:ind w:hanging="540"/>
        <w:rPr>
          <w:rFonts w:ascii="Helvetica" w:hAnsi="Helvetica"/>
        </w:rPr>
      </w:pPr>
      <w:r w:rsidRPr="004957E8">
        <w:rPr>
          <w:rFonts w:ascii="Helvetica" w:eastAsiaTheme="minorHAnsi" w:hAnsi="Helvetica" w:cs="Times New Roman"/>
          <w:bCs/>
          <w:kern w:val="20"/>
          <w:lang w:val="en-US" w:eastAsia="ja-JP"/>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w:t>
      </w:r>
      <w:r w:rsidR="00BF3B6C" w:rsidRPr="004957E8">
        <w:rPr>
          <w:rFonts w:ascii="Helvetica" w:eastAsiaTheme="minorHAnsi" w:hAnsi="Helvetica" w:cs="Times New Roman"/>
          <w:bCs/>
          <w:kern w:val="20"/>
          <w:lang w:val="en-US" w:eastAsia="ja-JP"/>
        </w:rPr>
        <w:t xml:space="preserve"> and for reconciling conflicting/inconsistent “expert opinions</w:t>
      </w:r>
      <w:r w:rsidRPr="004957E8">
        <w:rPr>
          <w:rFonts w:ascii="Helvetica" w:eastAsiaTheme="minorHAnsi" w:hAnsi="Helvetica" w:cs="Times New Roman"/>
          <w:bCs/>
          <w:kern w:val="20"/>
          <w:lang w:val="en-US" w:eastAsia="ja-JP"/>
        </w:rPr>
        <w:t>,</w:t>
      </w:r>
      <w:r w:rsidR="00BF3B6C" w:rsidRPr="004957E8">
        <w:rPr>
          <w:rFonts w:ascii="Helvetica" w:eastAsiaTheme="minorHAnsi" w:hAnsi="Helvetica" w:cs="Times New Roman"/>
          <w:bCs/>
          <w:kern w:val="20"/>
          <w:lang w:val="en-US" w:eastAsia="ja-JP"/>
        </w:rPr>
        <w:t>”</w:t>
      </w:r>
      <w:r w:rsidRPr="004957E8">
        <w:rPr>
          <w:rFonts w:ascii="Helvetica" w:eastAsiaTheme="minorHAnsi" w:hAnsi="Helvetica" w:cs="Times New Roman"/>
          <w:bCs/>
          <w:kern w:val="20"/>
          <w:lang w:val="en-US" w:eastAsia="ja-JP"/>
        </w:rPr>
        <w:t xml:space="preserve">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w:t>
      </w:r>
      <w:proofErr w:type="gramStart"/>
      <w:r w:rsidRPr="004957E8">
        <w:rPr>
          <w:rFonts w:ascii="Helvetica" w:eastAsiaTheme="minorHAnsi" w:hAnsi="Helvetica" w:cs="Times New Roman"/>
          <w:bCs/>
          <w:kern w:val="20"/>
          <w:lang w:val="en-US" w:eastAsia="ja-JP"/>
        </w:rPr>
        <w:t>requesters are provided an opportunity to rebut the Board Governance Committee's recommendation before a final decision by the entire Board</w:t>
      </w:r>
      <w:proofErr w:type="gramEnd"/>
      <w:r w:rsidRPr="004957E8">
        <w:rPr>
          <w:rFonts w:ascii="Helvetica" w:eastAsiaTheme="minorHAnsi" w:hAnsi="Helvetica" w:cs="Times New Roman"/>
          <w:bCs/>
          <w:kern w:val="20"/>
          <w:lang w:val="en-US" w:eastAsia="ja-JP"/>
        </w:rPr>
        <w:t>.  More transparency requirements and firm deadlines in issuing of determinations are also proposed.</w:t>
      </w:r>
      <w:r w:rsidRPr="004957E8">
        <w:rPr>
          <w:rFonts w:ascii="Helvetica" w:hAnsi="Helvetica"/>
        </w:rPr>
        <w:br/>
      </w:r>
    </w:p>
    <w:p w14:paraId="514EFA60" w14:textId="77777777" w:rsidR="002C19A5" w:rsidRPr="004957E8" w:rsidRDefault="002C19A5" w:rsidP="002C19A5">
      <w:pPr>
        <w:pStyle w:val="Heading4"/>
        <w:numPr>
          <w:ilvl w:val="0"/>
          <w:numId w:val="12"/>
        </w:numPr>
        <w:ind w:hanging="540"/>
      </w:pPr>
      <w:r w:rsidRPr="004957E8">
        <w:t>Standing</w:t>
      </w:r>
    </w:p>
    <w:p w14:paraId="5DE806FF" w14:textId="105F647B" w:rsidR="002C19A5" w:rsidRPr="004957E8" w:rsidRDefault="002C19A5" w:rsidP="002C19A5">
      <w:pPr>
        <w:numPr>
          <w:ilvl w:val="0"/>
          <w:numId w:val="12"/>
        </w:numPr>
        <w:spacing w:after="0" w:line="240" w:lineRule="auto"/>
        <w:ind w:hanging="540"/>
        <w:rPr>
          <w:rFonts w:ascii="Helvetica" w:eastAsiaTheme="minorHAnsi" w:hAnsi="Helvetica" w:cs="Times New Roman"/>
          <w:bCs/>
          <w:kern w:val="20"/>
          <w:lang w:val="en-US" w:eastAsia="ja-JP"/>
        </w:rPr>
      </w:pPr>
      <w:r w:rsidRPr="004957E8">
        <w:rPr>
          <w:rFonts w:ascii="Helvetica" w:eastAsiaTheme="minorHAnsi" w:hAnsi="Helvetica" w:cs="Times New Roman"/>
          <w:bCs/>
          <w:kern w:val="20"/>
          <w:lang w:val="en-US" w:eastAsia="ja-JP"/>
        </w:rPr>
        <w:t>Amend "who" has proper standing to file a Reconsideration Request to widen its scope by including Board/staff actions/inactions that contradict ICANN’s Mission or core values (was only policies before).  It is noted that under the existing Bylaws paragraph 2 significantly reduces the rights purportedly granted in paragraph 1 of the Reconsideration Request process.</w:t>
      </w:r>
    </w:p>
    <w:p w14:paraId="29614179" w14:textId="77777777" w:rsidR="002C19A5" w:rsidRPr="004957E8" w:rsidRDefault="002C19A5" w:rsidP="002C19A5">
      <w:pPr>
        <w:spacing w:after="0" w:line="240" w:lineRule="auto"/>
        <w:ind w:left="360"/>
        <w:rPr>
          <w:rFonts w:ascii="Helvetica" w:eastAsiaTheme="minorHAnsi" w:hAnsi="Helvetica" w:cs="Times New Roman"/>
          <w:bCs/>
          <w:kern w:val="20"/>
          <w:lang w:val="en-US" w:eastAsia="ja-JP"/>
        </w:rPr>
      </w:pPr>
    </w:p>
    <w:p w14:paraId="13199AD2" w14:textId="77777777" w:rsidR="002C19A5" w:rsidRPr="004957E8" w:rsidRDefault="002C19A5" w:rsidP="002C19A5">
      <w:pPr>
        <w:numPr>
          <w:ilvl w:val="0"/>
          <w:numId w:val="12"/>
        </w:numPr>
        <w:spacing w:after="0" w:line="240" w:lineRule="auto"/>
        <w:ind w:hanging="540"/>
        <w:rPr>
          <w:rFonts w:ascii="Helvetica" w:hAnsi="Helvetica"/>
          <w:b/>
          <w:bCs/>
        </w:rPr>
      </w:pPr>
      <w:r w:rsidRPr="004957E8">
        <w:rPr>
          <w:rFonts w:ascii="Helvetica" w:hAnsi="Helvetica"/>
          <w:b/>
          <w:bCs/>
        </w:rPr>
        <w:t>ICANN’s Bylaws could be revised (added text in red below):</w:t>
      </w:r>
      <w:r w:rsidRPr="004957E8">
        <w:rPr>
          <w:rFonts w:ascii="Helvetica" w:hAnsi="Helvetica"/>
          <w:b/>
          <w:bCs/>
        </w:rPr>
        <w:br/>
      </w:r>
    </w:p>
    <w:p w14:paraId="5855384A" w14:textId="62174A21"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ICANN</w:t>
      </w:r>
      <w:r w:rsidRPr="004957E8">
        <w:rPr>
          <w:rFonts w:cs="Times New Roman"/>
          <w:bCs/>
          <w:szCs w:val="22"/>
        </w:rPr>
        <w:t>‬ shall have in place a process by which any person or entity materially affected by an action of ICANN</w:t>
      </w:r>
      <w:r w:rsidRPr="004957E8">
        <w:rPr>
          <w:rFonts w:cs="Times New Roman"/>
          <w:bCs/>
          <w:szCs w:val="22"/>
        </w:rPr>
        <w:t>‬ may request review or reconsideration of that action by the Board</w:t>
      </w:r>
      <w:r w:rsidR="00577B2F" w:rsidRPr="004957E8">
        <w:rPr>
          <w:rFonts w:cs="Times New Roman"/>
          <w:bCs/>
          <w:szCs w:val="22"/>
        </w:rPr>
        <w:t>/staff</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p>
    <w:p w14:paraId="585D4C18" w14:textId="77777777" w:rsidR="002C19A5" w:rsidRPr="004957E8" w:rsidRDefault="002C19A5" w:rsidP="002C19A5">
      <w:pPr>
        <w:pStyle w:val="ListParagraph"/>
        <w:ind w:firstLine="0"/>
        <w:rPr>
          <w:rFonts w:cs="Times New Roman"/>
          <w:bCs/>
          <w:szCs w:val="22"/>
        </w:rPr>
      </w:pPr>
    </w:p>
    <w:p w14:paraId="0E3D0D10" w14:textId="77777777"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Any person or entity may submit a request for reconsideration or review of an ICANN</w:t>
      </w:r>
      <w:r w:rsidRPr="004957E8">
        <w:rPr>
          <w:rFonts w:cs="Times New Roman"/>
          <w:bCs/>
          <w:szCs w:val="22"/>
        </w:rPr>
        <w:t>‬ action or inaction ("Reconsideration Request") to the extent that he, she, or it have been adversely affected by</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572AD835" w14:textId="73E655AC"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t xml:space="preserve">One or more </w:t>
      </w:r>
      <w:r w:rsidRPr="004957E8">
        <w:rPr>
          <w:rFonts w:cs="Times New Roman"/>
          <w:bCs/>
          <w:color w:val="FF0000"/>
          <w:szCs w:val="22"/>
        </w:rPr>
        <w:t>ICANN Board or</w:t>
      </w:r>
      <w:r w:rsidRPr="004957E8">
        <w:rPr>
          <w:rFonts w:cs="Times New Roman"/>
          <w:bCs/>
          <w:szCs w:val="22"/>
        </w:rPr>
        <w:t xml:space="preserve"> staff actions or inactions that contradict established ICANN</w:t>
      </w:r>
      <w:r w:rsidRPr="004957E8">
        <w:rPr>
          <w:rFonts w:cs="Times New Roman"/>
          <w:bCs/>
          <w:szCs w:val="22"/>
        </w:rPr>
        <w:t xml:space="preserve">‬ </w:t>
      </w:r>
      <w:proofErr w:type="gramStart"/>
      <w:r w:rsidRPr="004957E8">
        <w:rPr>
          <w:rFonts w:cs="Times New Roman"/>
          <w:bCs/>
          <w:szCs w:val="22"/>
        </w:rPr>
        <w:t>policy(</w:t>
      </w:r>
      <w:proofErr w:type="spellStart"/>
      <w:proofErr w:type="gramEnd"/>
      <w:r w:rsidRPr="004957E8">
        <w:rPr>
          <w:rFonts w:cs="Times New Roman"/>
          <w:bCs/>
          <w:szCs w:val="22"/>
        </w:rPr>
        <w:t>ies</w:t>
      </w:r>
      <w:proofErr w:type="spellEnd"/>
      <w:r w:rsidRPr="004957E8">
        <w:rPr>
          <w:rFonts w:cs="Times New Roman"/>
          <w:bCs/>
          <w:szCs w:val="22"/>
        </w:rPr>
        <w:t xml:space="preserve">), </w:t>
      </w:r>
      <w:r w:rsidRPr="004957E8">
        <w:rPr>
          <w:rFonts w:cs="Times New Roman"/>
          <w:bCs/>
          <w:color w:val="FF0000"/>
          <w:szCs w:val="22"/>
        </w:rPr>
        <w:t>its Mission,</w:t>
      </w:r>
      <w:r w:rsidR="00363257" w:rsidRPr="004957E8">
        <w:rPr>
          <w:rFonts w:cs="Times New Roman"/>
          <w:bCs/>
          <w:color w:val="FF0000"/>
          <w:szCs w:val="22"/>
        </w:rPr>
        <w:t xml:space="preserve"> Commitments and/or</w:t>
      </w:r>
      <w:r w:rsidRPr="004957E8">
        <w:rPr>
          <w:rFonts w:cs="Times New Roman"/>
          <w:bCs/>
          <w:color w:val="FF0000"/>
          <w:szCs w:val="22"/>
        </w:rPr>
        <w:t xml:space="preserve"> </w:t>
      </w:r>
      <w:r w:rsidR="00363257" w:rsidRPr="004957E8">
        <w:rPr>
          <w:rFonts w:cs="Times New Roman"/>
          <w:bCs/>
          <w:color w:val="FF0000"/>
          <w:szCs w:val="22"/>
        </w:rPr>
        <w:t>C</w:t>
      </w:r>
      <w:r w:rsidRPr="004957E8">
        <w:rPr>
          <w:rFonts w:cs="Times New Roman"/>
          <w:bCs/>
          <w:color w:val="FF0000"/>
          <w:szCs w:val="22"/>
        </w:rPr>
        <w:t xml:space="preserve">ore </w:t>
      </w:r>
      <w:r w:rsidR="00363257" w:rsidRPr="004957E8">
        <w:rPr>
          <w:rFonts w:cs="Times New Roman"/>
          <w:bCs/>
          <w:color w:val="FF0000"/>
          <w:szCs w:val="22"/>
        </w:rPr>
        <w:t>Va</w:t>
      </w:r>
      <w:r w:rsidRPr="004957E8">
        <w:rPr>
          <w:rFonts w:cs="Times New Roman"/>
          <w:bCs/>
          <w:color w:val="FF0000"/>
          <w:szCs w:val="22"/>
        </w:rPr>
        <w:t>lues</w:t>
      </w:r>
      <w:r w:rsidRPr="004957E8">
        <w:rPr>
          <w:rFonts w:cs="Times New Roman"/>
          <w:bCs/>
          <w:szCs w:val="22"/>
        </w:rPr>
        <w:t>; or</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21B54857" w14:textId="1CB0C01F"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t>One or more actions or inactions of the ICANN</w:t>
      </w:r>
      <w:r w:rsidRPr="004957E8">
        <w:rPr>
          <w:rFonts w:cs="Times New Roman"/>
          <w:bCs/>
          <w:szCs w:val="22"/>
        </w:rPr>
        <w:t>‬ Board</w:t>
      </w:r>
      <w:r w:rsidR="00577B2F" w:rsidRPr="004957E8">
        <w:rPr>
          <w:rFonts w:cs="Times New Roman"/>
          <w:bCs/>
          <w:szCs w:val="22"/>
        </w:rPr>
        <w:t>/staff</w:t>
      </w:r>
      <w:r w:rsidRPr="004957E8">
        <w:rPr>
          <w:rFonts w:cs="Times New Roman"/>
          <w:bCs/>
          <w:szCs w:val="22"/>
        </w:rPr>
        <w:t xml:space="preserve"> that have been taken or refused to be taken without consideration </w:t>
      </w:r>
      <w:proofErr w:type="gramStart"/>
      <w:r w:rsidRPr="004957E8">
        <w:rPr>
          <w:rFonts w:cs="Times New Roman"/>
          <w:bCs/>
          <w:szCs w:val="22"/>
        </w:rPr>
        <w:t>of</w:t>
      </w:r>
      <w:r w:rsidRPr="004957E8">
        <w:rPr>
          <w:rFonts w:cs="Times New Roman"/>
          <w:bCs/>
          <w:strike/>
          <w:szCs w:val="22"/>
        </w:rPr>
        <w:t xml:space="preserve"> </w:t>
      </w:r>
      <w:r w:rsidRPr="004957E8">
        <w:rPr>
          <w:rFonts w:cs="Times New Roman"/>
          <w:bCs/>
          <w:szCs w:val="22"/>
        </w:rPr>
        <w:t xml:space="preserve"> </w:t>
      </w:r>
      <w:r w:rsidR="00363257" w:rsidRPr="004957E8">
        <w:rPr>
          <w:rFonts w:cs="Times New Roman"/>
          <w:bCs/>
          <w:szCs w:val="22"/>
        </w:rPr>
        <w:t>material</w:t>
      </w:r>
      <w:proofErr w:type="gramEnd"/>
      <w:r w:rsidR="00363257" w:rsidRPr="004957E8">
        <w:rPr>
          <w:rFonts w:cs="Times New Roman"/>
          <w:bCs/>
          <w:szCs w:val="22"/>
        </w:rPr>
        <w:t xml:space="preserve"> </w:t>
      </w:r>
      <w:r w:rsidRPr="004957E8">
        <w:rPr>
          <w:rFonts w:cs="Times New Roman"/>
          <w:bCs/>
          <w:szCs w:val="22"/>
        </w:rPr>
        <w:t>information, except where the party submitting the request could have submitted, but did not submit, the information for the Board's consideration at the time of action or refusal to act; or</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42A4F857" w14:textId="7D0ECEF3"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lastRenderedPageBreak/>
        <w:t>One or more actions or inactions of the ICANN</w:t>
      </w:r>
      <w:r w:rsidRPr="004957E8">
        <w:rPr>
          <w:rFonts w:cs="Times New Roman"/>
          <w:bCs/>
          <w:szCs w:val="22"/>
        </w:rPr>
        <w:t>‬ Board</w:t>
      </w:r>
      <w:r w:rsidR="00577B2F" w:rsidRPr="004957E8">
        <w:rPr>
          <w:rFonts w:cs="Times New Roman"/>
          <w:bCs/>
          <w:szCs w:val="22"/>
        </w:rPr>
        <w:t>/staff</w:t>
      </w:r>
      <w:r w:rsidRPr="004957E8">
        <w:rPr>
          <w:rFonts w:cs="Times New Roman"/>
          <w:bCs/>
          <w:szCs w:val="22"/>
        </w:rPr>
        <w:t xml:space="preserve"> that are taken as a result of the Board's reliance on false or inaccurate</w:t>
      </w:r>
      <w:r w:rsidRPr="004957E8">
        <w:rPr>
          <w:rFonts w:cs="Times New Roman"/>
          <w:bCs/>
          <w:strike/>
          <w:szCs w:val="22"/>
        </w:rPr>
        <w:t xml:space="preserve"> material</w:t>
      </w:r>
      <w:r w:rsidRPr="004957E8">
        <w:rPr>
          <w:rFonts w:cs="Times New Roman"/>
          <w:bCs/>
          <w:szCs w:val="22"/>
        </w:rPr>
        <w:t xml:space="preserve"> </w:t>
      </w:r>
      <w:r w:rsidRPr="004957E8">
        <w:rPr>
          <w:rFonts w:cs="Times New Roman"/>
          <w:bCs/>
          <w:color w:val="FF0000"/>
          <w:szCs w:val="22"/>
        </w:rPr>
        <w:t>relevant</w:t>
      </w:r>
      <w:r w:rsidRPr="004957E8">
        <w:rPr>
          <w:rFonts w:cs="Times New Roman"/>
          <w:bCs/>
          <w:szCs w:val="22"/>
        </w:rPr>
        <w:t xml:space="preserve"> information</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br/>
      </w:r>
    </w:p>
    <w:p w14:paraId="5E730CB4" w14:textId="72A9D28E" w:rsidR="004957E8" w:rsidRPr="004957E8" w:rsidRDefault="002C19A5" w:rsidP="004957E8">
      <w:pPr>
        <w:numPr>
          <w:ilvl w:val="0"/>
          <w:numId w:val="12"/>
        </w:numPr>
        <w:spacing w:after="0" w:line="240" w:lineRule="auto"/>
        <w:ind w:hanging="540"/>
        <w:rPr>
          <w:rFonts w:ascii="Helvetica" w:hAnsi="Helvetica"/>
          <w:b/>
        </w:rPr>
      </w:pPr>
      <w:r w:rsidRPr="004957E8">
        <w:rPr>
          <w:rFonts w:ascii="Helvetica" w:eastAsiaTheme="minorHAnsi" w:hAnsi="Helvetica" w:cs="Times New Roman"/>
          <w:bCs/>
          <w:kern w:val="20"/>
          <w:lang w:val="en-US" w:eastAsia="ja-JP"/>
        </w:rPr>
        <w:t xml:space="preserve">In their letter dated 15 April 2015, the CWG-Stewardship request indicated “As such, any appeal mechanism developed by the CCWG-Accountability should not cover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delegation / re-delegation issues as these are expected to be developed by the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community through the appropriate processes.” As requested by the CWG-Stewardship, decisions regarding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delegations or revocations would be excluded from standing, until </w:t>
      </w:r>
      <w:proofErr w:type="gramStart"/>
      <w:r w:rsidRPr="004957E8">
        <w:rPr>
          <w:rFonts w:ascii="Helvetica" w:eastAsiaTheme="minorHAnsi" w:hAnsi="Helvetica" w:cs="Times New Roman"/>
          <w:bCs/>
          <w:kern w:val="20"/>
          <w:lang w:val="en-US" w:eastAsia="ja-JP"/>
        </w:rPr>
        <w:t xml:space="preserve">relevant appeal mechanisms have been developed by the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community, in coordination with other interested parties</w:t>
      </w:r>
      <w:proofErr w:type="gramEnd"/>
      <w:r w:rsidRPr="004957E8">
        <w:rPr>
          <w:rFonts w:ascii="Helvetica" w:eastAsiaTheme="minorHAnsi" w:hAnsi="Helvetica" w:cs="Times New Roman"/>
          <w:bCs/>
          <w:kern w:val="20"/>
          <w:lang w:val="en-US" w:eastAsia="ja-JP"/>
        </w:rPr>
        <w:t>.</w:t>
      </w:r>
    </w:p>
    <w:p w14:paraId="01F9926D" w14:textId="77777777" w:rsidR="004957E8" w:rsidRPr="004957E8" w:rsidRDefault="004957E8" w:rsidP="004957E8">
      <w:pPr>
        <w:spacing w:after="0" w:line="240" w:lineRule="auto"/>
        <w:rPr>
          <w:rFonts w:ascii="Helvetica" w:hAnsi="Helvetica"/>
          <w:b/>
        </w:rPr>
      </w:pPr>
    </w:p>
    <w:p w14:paraId="1D184A1C" w14:textId="77777777" w:rsidR="004957E8" w:rsidRDefault="004957E8" w:rsidP="004957E8">
      <w:pPr>
        <w:numPr>
          <w:ilvl w:val="0"/>
          <w:numId w:val="12"/>
        </w:numPr>
        <w:spacing w:after="0" w:line="240" w:lineRule="auto"/>
        <w:ind w:hanging="540"/>
        <w:rPr>
          <w:rFonts w:ascii="Helvetica" w:eastAsiaTheme="minorHAnsi" w:hAnsi="Helvetica" w:cs="Times New Roman"/>
          <w:bCs/>
          <w:kern w:val="20"/>
          <w:lang w:val="en-US" w:eastAsia="ja-JP"/>
        </w:rPr>
      </w:pPr>
      <w:r w:rsidRPr="004957E8">
        <w:rPr>
          <w:rFonts w:ascii="Helvetica" w:eastAsiaTheme="minorHAnsi" w:hAnsi="Helvetica" w:cs="Times New Roman"/>
          <w:bCs/>
          <w:kern w:val="20"/>
          <w:lang w:val="en-US" w:eastAsia="ja-JP"/>
        </w:rPr>
        <w:t>Disputes related to Internet number resources are out of scope of the IRP.</w:t>
      </w:r>
    </w:p>
    <w:p w14:paraId="2DB6FDC0" w14:textId="77777777" w:rsidR="002C19A5" w:rsidRPr="004957E8" w:rsidRDefault="002C19A5" w:rsidP="004957E8">
      <w:pPr>
        <w:spacing w:after="0" w:line="240" w:lineRule="auto"/>
        <w:rPr>
          <w:rFonts w:ascii="Helvetica" w:hAnsi="Helvetica"/>
          <w:bCs/>
        </w:rPr>
      </w:pPr>
    </w:p>
    <w:p w14:paraId="60318045" w14:textId="77777777" w:rsidR="002C19A5" w:rsidRPr="004957E8" w:rsidRDefault="002C19A5" w:rsidP="002C19A5">
      <w:pPr>
        <w:pStyle w:val="Heading4"/>
        <w:numPr>
          <w:ilvl w:val="0"/>
          <w:numId w:val="12"/>
        </w:numPr>
        <w:ind w:hanging="540"/>
      </w:pPr>
      <w:r w:rsidRPr="004957E8">
        <w:t xml:space="preserve">GOALS </w:t>
      </w:r>
      <w:r w:rsidRPr="004957E8" w:rsidDel="00F75B2A">
        <w:t xml:space="preserve"> </w:t>
      </w:r>
    </w:p>
    <w:p w14:paraId="6612C8E1" w14:textId="77777777" w:rsidR="002C19A5" w:rsidRPr="004957E8" w:rsidRDefault="002C19A5" w:rsidP="002C19A5">
      <w:pPr>
        <w:numPr>
          <w:ilvl w:val="0"/>
          <w:numId w:val="12"/>
        </w:numPr>
        <w:spacing w:after="0" w:line="240" w:lineRule="auto"/>
        <w:ind w:hanging="540"/>
        <w:rPr>
          <w:rFonts w:ascii="Helvetica" w:hAnsi="Helvetica"/>
        </w:rPr>
      </w:pPr>
      <w:r w:rsidRPr="004957E8">
        <w:rPr>
          <w:rFonts w:ascii="Helvetica" w:eastAsiaTheme="minorHAnsi" w:hAnsi="Helvetica" w:cs="Times New Roman"/>
          <w:bCs/>
          <w:kern w:val="20"/>
          <w:lang w:val="en-US" w:eastAsia="ja-JP"/>
        </w:rPr>
        <w:t>The CCWG-Accountability proposals aim to</w:t>
      </w:r>
      <w:r w:rsidRPr="004957E8">
        <w:rPr>
          <w:rFonts w:ascii="Helvetica" w:hAnsi="Helvetica"/>
        </w:rPr>
        <w:t xml:space="preserve">: </w:t>
      </w:r>
    </w:p>
    <w:p w14:paraId="79B15C91" w14:textId="4A518235" w:rsidR="002C19A5" w:rsidRPr="004957E8" w:rsidRDefault="002C19A5" w:rsidP="002C19A5">
      <w:pPr>
        <w:pStyle w:val="Bullets"/>
        <w:numPr>
          <w:ilvl w:val="1"/>
          <w:numId w:val="9"/>
        </w:numPr>
        <w:ind w:left="1440"/>
        <w:rPr>
          <w:b w:val="0"/>
        </w:rPr>
      </w:pPr>
      <w:r w:rsidRPr="004957E8">
        <w:rPr>
          <w:b w:val="0"/>
        </w:rPr>
        <w:t>Broaden the types of decisions, which can be re-examined to include Board/staff action/inaction against ICANN’s Mission or core values (as stated in Bylaws / Articles)</w:t>
      </w:r>
      <w:r w:rsidR="00BF3B6C" w:rsidRPr="004957E8">
        <w:rPr>
          <w:b w:val="0"/>
        </w:rPr>
        <w:t xml:space="preserve"> and for the purpose of reconciling conflicting/inconsistent expert panel opinions.</w:t>
      </w:r>
    </w:p>
    <w:p w14:paraId="2439180B" w14:textId="77777777" w:rsidR="002C19A5" w:rsidRPr="004957E8" w:rsidRDefault="002C19A5" w:rsidP="002C19A5">
      <w:pPr>
        <w:pStyle w:val="Bullets"/>
        <w:numPr>
          <w:ilvl w:val="1"/>
          <w:numId w:val="9"/>
        </w:numPr>
        <w:ind w:left="1440"/>
        <w:rPr>
          <w:b w:val="0"/>
        </w:rPr>
      </w:pPr>
      <w:r w:rsidRPr="004957E8">
        <w:rPr>
          <w:b w:val="0"/>
        </w:rPr>
        <w:t>Provide more transparency in dismissal process.</w:t>
      </w:r>
    </w:p>
    <w:p w14:paraId="3D5C3118" w14:textId="0A5F9DB7" w:rsidR="002C19A5" w:rsidRPr="004957E8" w:rsidRDefault="002C19A5" w:rsidP="002C19A5">
      <w:pPr>
        <w:pStyle w:val="Bullets"/>
        <w:numPr>
          <w:ilvl w:val="1"/>
          <w:numId w:val="9"/>
        </w:numPr>
        <w:ind w:left="1440"/>
        <w:rPr>
          <w:b w:val="0"/>
        </w:rPr>
      </w:pPr>
      <w:r w:rsidRPr="004957E8">
        <w:rPr>
          <w:b w:val="0"/>
        </w:rPr>
        <w:t xml:space="preserve">Provide </w:t>
      </w:r>
      <w:r w:rsidR="00CC1D47" w:rsidRPr="004957E8">
        <w:rPr>
          <w:b w:val="0"/>
        </w:rPr>
        <w:t xml:space="preserve">the </w:t>
      </w:r>
      <w:r w:rsidRPr="004957E8">
        <w:rPr>
          <w:b w:val="0"/>
        </w:rPr>
        <w:t>Board with reasonable right to dismiss frivolous requests</w:t>
      </w:r>
      <w:bookmarkStart w:id="5" w:name="_GoBack"/>
      <w:bookmarkEnd w:id="5"/>
      <w:r w:rsidRPr="004957E8">
        <w:rPr>
          <w:b w:val="0"/>
        </w:rPr>
        <w:t xml:space="preserve">, but not </w:t>
      </w:r>
      <w:r w:rsidR="00363257" w:rsidRPr="004957E8">
        <w:rPr>
          <w:b w:val="0"/>
        </w:rPr>
        <w:t xml:space="preserve">solely </w:t>
      </w:r>
      <w:r w:rsidRPr="004957E8">
        <w:rPr>
          <w:b w:val="0"/>
        </w:rPr>
        <w:t xml:space="preserve">on the grounds that </w:t>
      </w:r>
      <w:r w:rsidR="00363257" w:rsidRPr="004957E8">
        <w:rPr>
          <w:b w:val="0"/>
        </w:rPr>
        <w:t xml:space="preserve">the complainant failed to </w:t>
      </w:r>
      <w:r w:rsidRPr="004957E8">
        <w:rPr>
          <w:b w:val="0"/>
        </w:rPr>
        <w:t xml:space="preserve">participate in </w:t>
      </w:r>
      <w:r w:rsidR="00363257" w:rsidRPr="004957E8">
        <w:rPr>
          <w:b w:val="0"/>
        </w:rPr>
        <w:t xml:space="preserve">a relevant policy development or public comment period or that the </w:t>
      </w:r>
      <w:r w:rsidRPr="004957E8">
        <w:rPr>
          <w:b w:val="0"/>
        </w:rPr>
        <w:t>request is vexatious or querulous</w:t>
      </w:r>
      <w:proofErr w:type="gramStart"/>
      <w:r w:rsidR="00363257" w:rsidRPr="004957E8">
        <w:rPr>
          <w:b w:val="0"/>
        </w:rPr>
        <w:t>.</w:t>
      </w:r>
      <w:r w:rsidRPr="004957E8">
        <w:rPr>
          <w:b w:val="0"/>
        </w:rPr>
        <w:t>.</w:t>
      </w:r>
      <w:proofErr w:type="gramEnd"/>
      <w:r w:rsidRPr="004957E8">
        <w:rPr>
          <w:b w:val="0"/>
        </w:rPr>
        <w:t xml:space="preserve"> </w:t>
      </w:r>
    </w:p>
    <w:p w14:paraId="14D42A0E" w14:textId="77777777" w:rsidR="002C19A5" w:rsidRPr="004957E8" w:rsidRDefault="002C19A5" w:rsidP="002C19A5">
      <w:pPr>
        <w:pStyle w:val="Bullets"/>
        <w:numPr>
          <w:ilvl w:val="1"/>
          <w:numId w:val="9"/>
        </w:numPr>
        <w:ind w:left="1440"/>
        <w:rPr>
          <w:b w:val="0"/>
        </w:rPr>
      </w:pPr>
      <w:r w:rsidRPr="004957E8">
        <w:rPr>
          <w:b w:val="0"/>
        </w:rPr>
        <w:t>Propose to amend Paragraph 9 on BGC summary dismissal as follows:</w:t>
      </w:r>
    </w:p>
    <w:p w14:paraId="2A5E27BD" w14:textId="77777777" w:rsidR="002C19A5" w:rsidRPr="004957E8" w:rsidRDefault="002C19A5" w:rsidP="002C19A5">
      <w:pPr>
        <w:pStyle w:val="Bullets"/>
        <w:numPr>
          <w:ilvl w:val="1"/>
          <w:numId w:val="14"/>
        </w:numPr>
        <w:ind w:left="2880"/>
        <w:rPr>
          <w:b w:val="0"/>
        </w:rPr>
      </w:pPr>
      <w:r w:rsidRPr="004957E8">
        <w:rPr>
          <w:b w:val="0"/>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sidRPr="004957E8">
        <w:rPr>
          <w:b w:val="0"/>
          <w:strike/>
        </w:rPr>
        <w:t>querulous or vexatious</w:t>
      </w:r>
      <w:r w:rsidRPr="004957E8">
        <w:rPr>
          <w:b w:val="0"/>
        </w:rPr>
        <w:t>; or (</w:t>
      </w:r>
      <w:r w:rsidRPr="004957E8">
        <w:rPr>
          <w:b w:val="0"/>
          <w:strike/>
        </w:rPr>
        <w:t>iii) the requestor had notice and opportunity to, but did not, participate in the public comment period relating to the contested action, if applicable</w:t>
      </w:r>
      <w:r w:rsidRPr="004957E8">
        <w:rPr>
          <w:b w:val="0"/>
        </w:rPr>
        <w:t xml:space="preserve">. The Board Governance Committee's summary dismissal of a Reconsideration Request shall be </w:t>
      </w:r>
      <w:r w:rsidRPr="004957E8">
        <w:rPr>
          <w:b w:val="0"/>
          <w:color w:val="FF0000"/>
        </w:rPr>
        <w:t>documented and promptly</w:t>
      </w:r>
      <w:r w:rsidRPr="004957E8">
        <w:rPr>
          <w:b w:val="0"/>
        </w:rPr>
        <w:t xml:space="preserve"> posted on the Website.</w:t>
      </w:r>
    </w:p>
    <w:p w14:paraId="79275087" w14:textId="77777777" w:rsidR="002C19A5" w:rsidRPr="004957E8" w:rsidRDefault="002C19A5" w:rsidP="002C19A5">
      <w:pPr>
        <w:pStyle w:val="Heading4"/>
        <w:numPr>
          <w:ilvl w:val="0"/>
          <w:numId w:val="12"/>
        </w:numPr>
        <w:ind w:hanging="540"/>
      </w:pPr>
      <w:r w:rsidRPr="004957E8">
        <w:t>Composition</w:t>
      </w:r>
    </w:p>
    <w:p w14:paraId="74494732"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The group considers there is need to rely less on the</w:t>
      </w:r>
      <w:r w:rsidR="00CC1D47" w:rsidRPr="004957E8">
        <w:rPr>
          <w:rFonts w:ascii="Helvetica" w:eastAsia="MS Mincho" w:hAnsi="Helvetica" w:cs="Times New Roman"/>
          <w:bCs/>
          <w:lang w:val="en-US" w:eastAsia="en-US"/>
        </w:rPr>
        <w:t xml:space="preserve"> ICANN</w:t>
      </w:r>
      <w:r w:rsidRPr="004957E8">
        <w:rPr>
          <w:rFonts w:ascii="Helvetica" w:eastAsia="MS Mincho" w:hAnsi="Helvetica" w:cs="Times New Roman"/>
          <w:bCs/>
          <w:lang w:val="en-US" w:eastAsia="en-US"/>
        </w:rPr>
        <w:t xml:space="preserve"> legal department (who holds a strong legal obligation to protect the corporation) to guide the BGC on its recommendations.  More Board member engagement is needed in the overall decision-making process.</w:t>
      </w:r>
    </w:p>
    <w:p w14:paraId="3A3D489E" w14:textId="77777777" w:rsidR="002C19A5" w:rsidRPr="004957E8" w:rsidRDefault="002C19A5" w:rsidP="002C19A5">
      <w:pPr>
        <w:ind w:left="360"/>
        <w:rPr>
          <w:rFonts w:ascii="Helvetica" w:hAnsi="Helvetica"/>
          <w:bCs/>
        </w:rPr>
      </w:pPr>
    </w:p>
    <w:p w14:paraId="5C17AE30" w14:textId="7BCC49F4"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lastRenderedPageBreak/>
        <w:t xml:space="preserve">Requests should no longer go to ICANN’s lawyers (in-house or out-house) for the first substantive evaluation.  Instead, the Requests </w:t>
      </w:r>
      <w:r w:rsidR="00363257" w:rsidRPr="004957E8">
        <w:rPr>
          <w:rFonts w:ascii="Helvetica" w:eastAsia="MS Mincho" w:hAnsi="Helvetica" w:cs="Times New Roman"/>
          <w:bCs/>
          <w:lang w:val="en-US" w:eastAsia="en-US"/>
        </w:rPr>
        <w:t>shall</w:t>
      </w:r>
      <w:r w:rsidRPr="004957E8">
        <w:rPr>
          <w:rFonts w:ascii="Helvetica" w:eastAsia="MS Mincho" w:hAnsi="Helvetica" w:cs="Times New Roman"/>
          <w:bCs/>
          <w:lang w:val="en-US" w:eastAsia="en-US"/>
        </w:rPr>
        <w:t xml:space="preserve"> go to ICANN’s Ombudsman who </w:t>
      </w:r>
      <w:r w:rsidR="00CC1D47" w:rsidRPr="004957E8">
        <w:rPr>
          <w:rFonts w:ascii="Helvetica" w:eastAsia="MS Mincho" w:hAnsi="Helvetica" w:cs="Times New Roman"/>
          <w:bCs/>
          <w:lang w:val="en-US" w:eastAsia="en-US"/>
        </w:rPr>
        <w:t>w</w:t>
      </w:r>
      <w:r w:rsidRPr="004957E8">
        <w:rPr>
          <w:rFonts w:ascii="Helvetica" w:eastAsia="MS Mincho" w:hAnsi="Helvetica" w:cs="Times New Roman"/>
          <w:bCs/>
          <w:lang w:val="en-US" w:eastAsia="en-US"/>
        </w:rPr>
        <w:t>ould make the init</w:t>
      </w:r>
      <w:r w:rsidR="004957E8">
        <w:rPr>
          <w:rFonts w:ascii="Helvetica" w:eastAsia="MS Mincho" w:hAnsi="Helvetica" w:cs="Times New Roman"/>
          <w:bCs/>
          <w:lang w:val="en-US" w:eastAsia="en-US"/>
        </w:rPr>
        <w:t xml:space="preserve">ial recommendation to the BGC. </w:t>
      </w:r>
      <w:r w:rsidRPr="004957E8">
        <w:rPr>
          <w:rFonts w:ascii="Helvetica" w:eastAsia="MS Mincho" w:hAnsi="Helvetica" w:cs="Times New Roman"/>
          <w:bCs/>
          <w:lang w:val="en-US" w:eastAsia="en-US"/>
        </w:rPr>
        <w:t>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13824AA5" w14:textId="77777777" w:rsidR="002C19A5" w:rsidRPr="004957E8" w:rsidRDefault="002C19A5" w:rsidP="002C19A5">
      <w:pPr>
        <w:ind w:left="360"/>
        <w:rPr>
          <w:rFonts w:ascii="Helvetica" w:hAnsi="Helvetica"/>
          <w:b/>
          <w:bCs/>
        </w:rPr>
      </w:pPr>
    </w:p>
    <w:p w14:paraId="0876624E"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All final determinations of reconsideration requests are to be made by the entire Board (not only requests about Board actions as is the current practice).  </w:t>
      </w:r>
    </w:p>
    <w:p w14:paraId="40A5ECF4" w14:textId="77777777" w:rsidR="002C19A5" w:rsidRPr="004957E8" w:rsidRDefault="002C19A5" w:rsidP="002C19A5">
      <w:pPr>
        <w:ind w:left="360"/>
        <w:rPr>
          <w:rFonts w:ascii="Helvetica" w:hAnsi="Helvetica"/>
          <w:bCs/>
        </w:rPr>
      </w:pPr>
    </w:p>
    <w:p w14:paraId="38802355" w14:textId="77777777" w:rsidR="002C19A5" w:rsidRPr="004957E8" w:rsidRDefault="002C19A5" w:rsidP="002C19A5">
      <w:pPr>
        <w:numPr>
          <w:ilvl w:val="0"/>
          <w:numId w:val="12"/>
        </w:numPr>
        <w:spacing w:after="0" w:line="240" w:lineRule="auto"/>
        <w:ind w:hanging="540"/>
        <w:rPr>
          <w:rFonts w:ascii="Helvetica" w:hAnsi="Helvetica"/>
          <w:b/>
          <w:bCs/>
        </w:rPr>
      </w:pPr>
      <w:r w:rsidRPr="004957E8">
        <w:rPr>
          <w:rFonts w:ascii="Helvetica" w:eastAsia="MS Mincho" w:hAnsi="Helvetica" w:cs="Times New Roman"/>
          <w:bCs/>
          <w:lang w:val="en-US" w:eastAsia="en-US"/>
        </w:rPr>
        <w:t>Amend Paragraph 3</w:t>
      </w:r>
      <w:r w:rsidRPr="004957E8">
        <w:rPr>
          <w:rFonts w:ascii="Helvetica" w:hAnsi="Helvetica"/>
          <w:b/>
          <w:bCs/>
        </w:rPr>
        <w:t>:</w:t>
      </w:r>
    </w:p>
    <w:p w14:paraId="26D853CA" w14:textId="77777777" w:rsidR="002C19A5" w:rsidRPr="004957E8" w:rsidRDefault="002C19A5" w:rsidP="002C19A5">
      <w:pPr>
        <w:ind w:left="360"/>
        <w:rPr>
          <w:rFonts w:ascii="Helvetica" w:hAnsi="Helvetica"/>
          <w:b/>
          <w:bCs/>
        </w:rPr>
      </w:pPr>
    </w:p>
    <w:p w14:paraId="5413330A" w14:textId="77777777"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The Board has designated the Board Governance Committee to review and consider any such Reconsideration Requests. The Board Governance Committee shall have the authority to:</w:t>
      </w:r>
    </w:p>
    <w:p w14:paraId="7F99EB7C" w14:textId="77777777" w:rsidR="002C19A5" w:rsidRPr="004957E8" w:rsidRDefault="002C19A5" w:rsidP="002C19A5">
      <w:pPr>
        <w:pStyle w:val="Bullets"/>
        <w:numPr>
          <w:ilvl w:val="1"/>
          <w:numId w:val="14"/>
        </w:numPr>
        <w:ind w:left="2880"/>
        <w:rPr>
          <w:b w:val="0"/>
        </w:rPr>
      </w:pPr>
      <w:r w:rsidRPr="004957E8">
        <w:rPr>
          <w:b w:val="0"/>
        </w:rPr>
        <w:t>Evaluate requests for review or reconsideration;</w:t>
      </w:r>
    </w:p>
    <w:p w14:paraId="4EEBE09E" w14:textId="77777777" w:rsidR="002C19A5" w:rsidRPr="004957E8" w:rsidRDefault="002C19A5" w:rsidP="002C19A5">
      <w:pPr>
        <w:pStyle w:val="Bullets"/>
        <w:numPr>
          <w:ilvl w:val="1"/>
          <w:numId w:val="14"/>
        </w:numPr>
        <w:ind w:left="2880"/>
        <w:rPr>
          <w:b w:val="0"/>
        </w:rPr>
      </w:pPr>
      <w:r w:rsidRPr="004957E8">
        <w:rPr>
          <w:b w:val="0"/>
        </w:rPr>
        <w:t>Summarily dismiss insufficient requests;</w:t>
      </w:r>
    </w:p>
    <w:p w14:paraId="4A14EEE1" w14:textId="77777777" w:rsidR="002C19A5" w:rsidRPr="004957E8" w:rsidRDefault="002C19A5" w:rsidP="002C19A5">
      <w:pPr>
        <w:pStyle w:val="Bullets"/>
        <w:numPr>
          <w:ilvl w:val="1"/>
          <w:numId w:val="14"/>
        </w:numPr>
        <w:ind w:left="2880"/>
        <w:rPr>
          <w:b w:val="0"/>
        </w:rPr>
      </w:pPr>
      <w:r w:rsidRPr="004957E8">
        <w:rPr>
          <w:b w:val="0"/>
        </w:rPr>
        <w:t>Evaluate requests for urgent consideration;</w:t>
      </w:r>
    </w:p>
    <w:p w14:paraId="201D13A5" w14:textId="77777777" w:rsidR="002C19A5" w:rsidRPr="004957E8" w:rsidRDefault="002C19A5" w:rsidP="002C19A5">
      <w:pPr>
        <w:pStyle w:val="Bullets"/>
        <w:numPr>
          <w:ilvl w:val="1"/>
          <w:numId w:val="14"/>
        </w:numPr>
        <w:ind w:left="2880"/>
        <w:rPr>
          <w:b w:val="0"/>
        </w:rPr>
      </w:pPr>
      <w:r w:rsidRPr="004957E8">
        <w:rPr>
          <w:b w:val="0"/>
        </w:rPr>
        <w:t>Conduct whatever factual investigation is deemed appropriate;</w:t>
      </w:r>
    </w:p>
    <w:p w14:paraId="1687559E" w14:textId="77777777" w:rsidR="002C19A5" w:rsidRPr="004957E8" w:rsidRDefault="002C19A5" w:rsidP="002C19A5">
      <w:pPr>
        <w:pStyle w:val="Bullets"/>
        <w:numPr>
          <w:ilvl w:val="1"/>
          <w:numId w:val="14"/>
        </w:numPr>
        <w:ind w:left="2880"/>
        <w:rPr>
          <w:b w:val="0"/>
        </w:rPr>
      </w:pPr>
      <w:r w:rsidRPr="004957E8">
        <w:rPr>
          <w:b w:val="0"/>
        </w:rPr>
        <w:t>Request additional written submissions from the affected party, or from other parties;</w:t>
      </w:r>
    </w:p>
    <w:p w14:paraId="60EC5C79" w14:textId="77777777" w:rsidR="002C19A5" w:rsidRPr="004957E8" w:rsidRDefault="002C19A5" w:rsidP="002C19A5">
      <w:pPr>
        <w:pStyle w:val="Bullets"/>
        <w:numPr>
          <w:ilvl w:val="1"/>
          <w:numId w:val="14"/>
        </w:numPr>
        <w:ind w:left="2880"/>
        <w:rPr>
          <w:b w:val="0"/>
        </w:rPr>
      </w:pPr>
      <w:r w:rsidRPr="004957E8">
        <w:rPr>
          <w:b w:val="0"/>
          <w:strike/>
        </w:rPr>
        <w:t xml:space="preserve">Make a final determination on Reconsideration Requests regarding </w:t>
      </w:r>
      <w:proofErr w:type="gramStart"/>
      <w:r w:rsidRPr="004957E8">
        <w:rPr>
          <w:b w:val="0"/>
          <w:strike/>
        </w:rPr>
        <w:t>staff  action</w:t>
      </w:r>
      <w:proofErr w:type="gramEnd"/>
      <w:r w:rsidRPr="004957E8">
        <w:rPr>
          <w:b w:val="0"/>
          <w:strike/>
        </w:rPr>
        <w:t xml:space="preserve"> or inaction, without reference to the Board of Directors</w:t>
      </w:r>
      <w:r w:rsidRPr="004957E8">
        <w:rPr>
          <w:b w:val="0"/>
        </w:rPr>
        <w:t>; and</w:t>
      </w:r>
    </w:p>
    <w:p w14:paraId="66A47222" w14:textId="77777777" w:rsidR="002C19A5" w:rsidRPr="004957E8" w:rsidRDefault="002C19A5" w:rsidP="002C19A5">
      <w:pPr>
        <w:pStyle w:val="Bullets"/>
        <w:numPr>
          <w:ilvl w:val="1"/>
          <w:numId w:val="14"/>
        </w:numPr>
        <w:ind w:left="2880"/>
        <w:rPr>
          <w:b w:val="0"/>
        </w:rPr>
      </w:pPr>
      <w:r w:rsidRPr="004957E8">
        <w:rPr>
          <w:b w:val="0"/>
        </w:rPr>
        <w:t>Make a recommendation to the Board of Directors on the merits of the request, as necessary.</w:t>
      </w:r>
    </w:p>
    <w:p w14:paraId="4DBB7CEF" w14:textId="77777777" w:rsidR="002C19A5" w:rsidRPr="004957E8" w:rsidRDefault="002C19A5" w:rsidP="002C19A5">
      <w:pPr>
        <w:ind w:left="360"/>
        <w:rPr>
          <w:rFonts w:ascii="Helvetica" w:hAnsi="Helvetica"/>
          <w:b/>
          <w:bCs/>
        </w:rPr>
      </w:pPr>
    </w:p>
    <w:p w14:paraId="2CB4BCF5" w14:textId="77777777"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And delete Paragraph 15 since the Board will make all final decisions regarding requests related to staff action/inaction</w:t>
      </w:r>
      <w:r w:rsidRPr="004957E8">
        <w:rPr>
          <w:rFonts w:ascii="Helvetica" w:hAnsi="Helvetica"/>
          <w:bCs/>
        </w:rPr>
        <w:t>.</w:t>
      </w:r>
    </w:p>
    <w:p w14:paraId="2CC1DE91" w14:textId="77777777" w:rsidR="002C19A5" w:rsidRPr="004957E8" w:rsidRDefault="002C19A5" w:rsidP="002C19A5">
      <w:pPr>
        <w:ind w:left="360"/>
        <w:rPr>
          <w:rFonts w:ascii="Helvetica" w:hAnsi="Helvetica"/>
          <w:bCs/>
        </w:rPr>
      </w:pPr>
    </w:p>
    <w:p w14:paraId="2484392B" w14:textId="77777777" w:rsidR="002C19A5" w:rsidRPr="004957E8" w:rsidRDefault="002C19A5" w:rsidP="002C19A5">
      <w:pPr>
        <w:pStyle w:val="Heading4"/>
        <w:numPr>
          <w:ilvl w:val="0"/>
          <w:numId w:val="12"/>
        </w:numPr>
        <w:ind w:hanging="540"/>
      </w:pPr>
      <w:r w:rsidRPr="004957E8">
        <w:t>Decision-Making</w:t>
      </w:r>
    </w:p>
    <w:p w14:paraId="7F91EDF3" w14:textId="77777777" w:rsidR="002C19A5" w:rsidRPr="004957E8" w:rsidRDefault="002C19A5" w:rsidP="002C19A5">
      <w:pPr>
        <w:numPr>
          <w:ilvl w:val="0"/>
          <w:numId w:val="12"/>
        </w:numPr>
        <w:tabs>
          <w:tab w:val="left" w:pos="8730"/>
        </w:tabs>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14:paraId="1C62807C" w14:textId="77777777" w:rsidR="002C19A5" w:rsidRPr="004957E8" w:rsidRDefault="002C19A5" w:rsidP="002C19A5">
      <w:pPr>
        <w:tabs>
          <w:tab w:val="left" w:pos="8730"/>
        </w:tabs>
        <w:ind w:left="360"/>
        <w:rPr>
          <w:rFonts w:ascii="Helvetica" w:hAnsi="Helvetica"/>
          <w:bCs/>
        </w:rPr>
      </w:pPr>
    </w:p>
    <w:p w14:paraId="09E7DC9B"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eastAsia="MS Mincho" w:hAnsi="Helvetica" w:cs="Times New Roman"/>
          <w:bCs/>
          <w:lang w:val="en-US" w:eastAsia="en-US"/>
        </w:rPr>
        <w:t>Provide a rebuttal opportunity to the BGC’s final recommendation (although requesters can’t raise new issues in a rebuttal) before the full Board finally decides.</w:t>
      </w:r>
    </w:p>
    <w:p w14:paraId="1F06EBB2" w14:textId="77777777" w:rsidR="002C19A5" w:rsidRPr="004957E8" w:rsidRDefault="002C19A5" w:rsidP="002C19A5">
      <w:pPr>
        <w:tabs>
          <w:tab w:val="left" w:pos="8730"/>
        </w:tabs>
        <w:ind w:left="360"/>
        <w:rPr>
          <w:rFonts w:ascii="Helvetica" w:hAnsi="Helvetica"/>
          <w:bCs/>
        </w:rPr>
      </w:pPr>
    </w:p>
    <w:p w14:paraId="678CC6C8" w14:textId="4D96ECFA" w:rsidR="002C19A5" w:rsidRPr="004957E8" w:rsidRDefault="002C19A5" w:rsidP="002C19A5">
      <w:pPr>
        <w:numPr>
          <w:ilvl w:val="0"/>
          <w:numId w:val="12"/>
        </w:numPr>
        <w:tabs>
          <w:tab w:val="left" w:pos="8640"/>
          <w:tab w:val="left" w:pos="8820"/>
        </w:tabs>
        <w:spacing w:after="0" w:line="240" w:lineRule="auto"/>
        <w:ind w:hanging="540"/>
        <w:rPr>
          <w:rFonts w:ascii="Helvetica" w:hAnsi="Helvetica"/>
          <w:bCs/>
        </w:rPr>
      </w:pPr>
      <w:r w:rsidRPr="004957E8">
        <w:rPr>
          <w:rFonts w:ascii="Helvetica" w:eastAsia="MS Mincho" w:hAnsi="Helvetica" w:cs="Times New Roman"/>
          <w:bCs/>
          <w:lang w:val="en-US" w:eastAsia="en-US"/>
        </w:rPr>
        <w:lastRenderedPageBreak/>
        <w:t xml:space="preserve">Adding hard deadlines to the process, including </w:t>
      </w:r>
      <w:r w:rsidR="00363257" w:rsidRPr="004957E8">
        <w:rPr>
          <w:rFonts w:ascii="Helvetica" w:eastAsia="MS Mincho" w:hAnsi="Helvetica" w:cs="Times New Roman"/>
          <w:bCs/>
          <w:lang w:val="en-US" w:eastAsia="en-US"/>
        </w:rPr>
        <w:t xml:space="preserve">an affirmative </w:t>
      </w:r>
      <w:r w:rsidR="00577B2F" w:rsidRPr="004957E8">
        <w:rPr>
          <w:rFonts w:ascii="Helvetica" w:eastAsia="MS Mincho" w:hAnsi="Helvetica" w:cs="Times New Roman"/>
          <w:bCs/>
          <w:lang w:val="en-US" w:eastAsia="en-US"/>
        </w:rPr>
        <w:t>goal</w:t>
      </w:r>
      <w:r w:rsidR="00363257" w:rsidRPr="004957E8">
        <w:rPr>
          <w:rFonts w:ascii="Helvetica" w:eastAsia="MS Mincho" w:hAnsi="Helvetica" w:cs="Times New Roman"/>
          <w:bCs/>
          <w:lang w:val="en-US" w:eastAsia="en-US"/>
        </w:rPr>
        <w:t xml:space="preserve"> that </w:t>
      </w:r>
      <w:r w:rsidRPr="004957E8">
        <w:rPr>
          <w:rFonts w:ascii="Helvetica" w:eastAsia="MS Mincho" w:hAnsi="Helvetica" w:cs="Times New Roman"/>
          <w:bCs/>
          <w:lang w:val="en-US" w:eastAsia="en-US"/>
        </w:rPr>
        <w:t xml:space="preserve">final determinations of the Board </w:t>
      </w:r>
      <w:r w:rsidR="00363257" w:rsidRPr="004957E8">
        <w:rPr>
          <w:rFonts w:ascii="Helvetica" w:eastAsia="MS Mincho" w:hAnsi="Helvetica" w:cs="Times New Roman"/>
          <w:bCs/>
          <w:lang w:val="en-US" w:eastAsia="en-US"/>
        </w:rPr>
        <w:t xml:space="preserve">be issued </w:t>
      </w:r>
      <w:proofErr w:type="spellStart"/>
      <w:r w:rsidRPr="004957E8">
        <w:rPr>
          <w:rFonts w:ascii="Helvetica" w:eastAsia="MS Mincho" w:hAnsi="Helvetica" w:cs="Times New Roman"/>
          <w:bCs/>
          <w:lang w:val="en-US" w:eastAsia="en-US"/>
        </w:rPr>
        <w:t>issued</w:t>
      </w:r>
      <w:proofErr w:type="spellEnd"/>
      <w:r w:rsidRPr="004957E8">
        <w:rPr>
          <w:rFonts w:ascii="Helvetica" w:eastAsia="MS Mincho" w:hAnsi="Helvetica" w:cs="Times New Roman"/>
          <w:bCs/>
          <w:lang w:val="en-US" w:eastAsia="en-US"/>
        </w:rPr>
        <w:t xml:space="preserve"> within</w:t>
      </w:r>
      <w:r w:rsidR="00363257" w:rsidRPr="004957E8">
        <w:rPr>
          <w:rFonts w:ascii="Helvetica" w:eastAsia="MS Mincho" w:hAnsi="Helvetica" w:cs="Times New Roman"/>
          <w:bCs/>
          <w:lang w:val="en-US" w:eastAsia="en-US"/>
        </w:rPr>
        <w:t xml:space="preserve"> sixty days from request filing wherever possible, and in no case more than</w:t>
      </w:r>
      <w:r w:rsidRPr="004957E8">
        <w:rPr>
          <w:rFonts w:ascii="Helvetica" w:eastAsia="MS Mincho" w:hAnsi="Helvetica" w:cs="Times New Roman"/>
          <w:bCs/>
          <w:lang w:val="en-US" w:eastAsia="en-US"/>
        </w:rPr>
        <w:t xml:space="preserve"> 120 days from </w:t>
      </w:r>
      <w:r w:rsidR="00363257" w:rsidRPr="004957E8">
        <w:rPr>
          <w:rFonts w:ascii="Helvetica" w:eastAsia="MS Mincho" w:hAnsi="Helvetica" w:cs="Times New Roman"/>
          <w:bCs/>
          <w:lang w:val="en-US" w:eastAsia="en-US"/>
        </w:rPr>
        <w:t xml:space="preserve">the date of the </w:t>
      </w:r>
      <w:r w:rsidRPr="004957E8">
        <w:rPr>
          <w:rFonts w:ascii="Helvetica" w:eastAsia="MS Mincho" w:hAnsi="Helvetica" w:cs="Times New Roman"/>
          <w:bCs/>
          <w:lang w:val="en-US" w:eastAsia="en-US"/>
        </w:rPr>
        <w:t>request.</w:t>
      </w:r>
      <w:r w:rsidRPr="004957E8">
        <w:rPr>
          <w:rFonts w:ascii="Helvetica" w:hAnsi="Helvetica"/>
          <w:bCs/>
        </w:rPr>
        <w:t xml:space="preserve"> </w:t>
      </w:r>
    </w:p>
    <w:p w14:paraId="1EB2CC90" w14:textId="77777777" w:rsidR="002C19A5" w:rsidRPr="004957E8" w:rsidRDefault="002C19A5" w:rsidP="002C19A5">
      <w:pPr>
        <w:tabs>
          <w:tab w:val="left" w:pos="8730"/>
        </w:tabs>
        <w:ind w:left="360"/>
        <w:rPr>
          <w:rFonts w:ascii="Helvetica" w:hAnsi="Helvetica"/>
          <w:bCs/>
        </w:rPr>
      </w:pPr>
    </w:p>
    <w:p w14:paraId="4C5E64FD"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eastAsia="MS Mincho" w:hAnsi="Helvetica" w:cs="Times New Roman"/>
          <w:bCs/>
          <w:lang w:val="en-US" w:eastAsia="en-US"/>
        </w:rPr>
        <w:t>Propose to amend reconsideration rules as follows</w:t>
      </w:r>
      <w:r w:rsidRPr="004957E8">
        <w:rPr>
          <w:rFonts w:ascii="Helvetica" w:hAnsi="Helvetica"/>
          <w:bCs/>
        </w:rPr>
        <w:t>:</w:t>
      </w:r>
    </w:p>
    <w:p w14:paraId="5C550BFC" w14:textId="77777777" w:rsidR="002C19A5" w:rsidRPr="004957E8" w:rsidRDefault="002C19A5" w:rsidP="002C19A5">
      <w:pPr>
        <w:tabs>
          <w:tab w:val="left" w:pos="8730"/>
        </w:tabs>
        <w:rPr>
          <w:rFonts w:ascii="Helvetica" w:hAnsi="Helvetica"/>
          <w:bCs/>
        </w:rPr>
      </w:pPr>
    </w:p>
    <w:p w14:paraId="45B9A6BA" w14:textId="77777777" w:rsidR="002C19A5" w:rsidRPr="004957E8" w:rsidRDefault="002C19A5" w:rsidP="002C19A5">
      <w:pPr>
        <w:numPr>
          <w:ilvl w:val="0"/>
          <w:numId w:val="12"/>
        </w:numPr>
        <w:tabs>
          <w:tab w:val="left" w:pos="8730"/>
        </w:tabs>
        <w:spacing w:after="0" w:line="240" w:lineRule="auto"/>
        <w:ind w:hanging="540"/>
        <w:rPr>
          <w:rFonts w:ascii="Helvetica" w:hAnsi="Helvetica" w:cs="Times New Roman"/>
          <w:bCs/>
        </w:rPr>
      </w:pPr>
      <w:r w:rsidRPr="004957E8">
        <w:rPr>
          <w:rFonts w:ascii="Helvetica" w:hAnsi="Helvetica" w:cs="Times New Roman"/>
          <w:bCs/>
        </w:rPr>
        <w:t xml:space="preserve">The Board Governance Committee shall make a final </w:t>
      </w:r>
      <w:r w:rsidRPr="004957E8">
        <w:rPr>
          <w:rFonts w:ascii="Helvetica" w:hAnsi="Helvetica" w:cs="Times New Roman"/>
          <w:bCs/>
          <w:strike/>
        </w:rPr>
        <w:t>determination or a</w:t>
      </w:r>
      <w:r w:rsidRPr="004957E8">
        <w:rPr>
          <w:rFonts w:ascii="Helvetica" w:hAnsi="Helvetica" w:cs="Times New Roman"/>
          <w:bCs/>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4957E8">
        <w:rPr>
          <w:rFonts w:ascii="Helvetica" w:hAnsi="Helvetica" w:cs="Times New Roman"/>
          <w:bCs/>
          <w:strike/>
        </w:rPr>
        <w:t>determination or</w:t>
      </w:r>
      <w:r w:rsidRPr="004957E8">
        <w:rPr>
          <w:rFonts w:ascii="Helvetica" w:hAnsi="Helvetica" w:cs="Times New Roman"/>
          <w:bCs/>
        </w:rPr>
        <w:t xml:space="preserve"> recommendation. In any event, the BGC’s final recommendation to the Board shall be made within 90 days of receipt of the Request.  The final recommendation shall be promptly posted on ICANN</w:t>
      </w:r>
      <w:r w:rsidRPr="004957E8">
        <w:rPr>
          <w:rFonts w:ascii="Helvetica" w:hAnsi="Helvetica" w:cs="Times New Roman"/>
          <w:bCs/>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roofErr w:type="gramStart"/>
      <w:r w:rsidRPr="004957E8">
        <w:rPr>
          <w:rFonts w:ascii="Helvetica" w:hAnsi="Helvetica" w:cs="Times New Roman"/>
          <w:bCs/>
        </w:rPr>
        <w:t>.</w:t>
      </w:r>
      <w:r w:rsidRPr="004957E8">
        <w:rPr>
          <w:rFonts w:ascii="Helvetica" w:hAnsi="Helvetica" w:cs="Times New Roman"/>
          <w:bCs/>
        </w:rPr>
        <w:t>‬</w:t>
      </w:r>
      <w:proofErr w:type="gramEnd"/>
      <w:r w:rsidRPr="004957E8">
        <w:rPr>
          <w:rFonts w:ascii="Helvetica" w:hAnsi="Helvetica" w:cs="Times New Roman"/>
          <w:bCs/>
        </w:rPr>
        <w:t>‬</w:t>
      </w:r>
    </w:p>
    <w:p w14:paraId="7E3E01C9" w14:textId="77777777" w:rsidR="002C19A5" w:rsidRPr="004957E8" w:rsidRDefault="002C19A5" w:rsidP="002C19A5">
      <w:pPr>
        <w:tabs>
          <w:tab w:val="left" w:pos="8730"/>
        </w:tabs>
        <w:rPr>
          <w:rFonts w:ascii="Helvetica" w:hAnsi="Helvetica"/>
          <w:bCs/>
        </w:rPr>
      </w:pPr>
    </w:p>
    <w:p w14:paraId="2BD78284"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hAnsi="Helvetica" w:cs="Times New Roman"/>
          <w:bCs/>
        </w:rPr>
        <w:t>The Board shall not be bound to follow the recommendations of the Board Governance Committee. The final decision of the Board and its rational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4957E8">
        <w:rPr>
          <w:rFonts w:ascii="Helvetica" w:hAnsi="Helvetica" w:cs="Times New Roman"/>
          <w:bCs/>
        </w:rPr>
        <w:t>‬'s website. In any event, the Board’s final decision shall be made within 120 days of receipt of the Request.  The final recommendation shall be promptly posted on ICANN</w:t>
      </w:r>
      <w:r w:rsidRPr="004957E8">
        <w:rPr>
          <w:rFonts w:ascii="Helvetica" w:hAnsi="Helvetica" w:cs="Times New Roman"/>
          <w:bCs/>
        </w:rPr>
        <w:t>‬'s website and shall address each of the arguments raised in the request.  The Board's decision on the recommendation is final.</w:t>
      </w:r>
      <w:r w:rsidRPr="004957E8">
        <w:rPr>
          <w:rFonts w:ascii="Helvetica" w:hAnsi="Helvetica"/>
          <w:bCs/>
        </w:rPr>
        <w:t xml:space="preserve"> </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p>
    <w:p w14:paraId="05B6DD98" w14:textId="77777777" w:rsidR="002C19A5" w:rsidRPr="004957E8" w:rsidRDefault="002C19A5" w:rsidP="002C19A5">
      <w:pPr>
        <w:pStyle w:val="Heading4"/>
        <w:numPr>
          <w:ilvl w:val="0"/>
          <w:numId w:val="12"/>
        </w:numPr>
        <w:ind w:hanging="540"/>
      </w:pPr>
      <w:r w:rsidRPr="004957E8">
        <w:t>ACCESSIBILITY</w:t>
      </w:r>
    </w:p>
    <w:p w14:paraId="535FC950" w14:textId="132B56CC"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Extend the time deadline for filing a Reconsideration Request from 15 to 30 days from when Requester learns of the decision/inaction</w:t>
      </w:r>
      <w:r w:rsidRPr="004957E8">
        <w:rPr>
          <w:rFonts w:ascii="Helvetica" w:hAnsi="Helvetica"/>
          <w:bCs/>
        </w:rPr>
        <w:t>.  </w:t>
      </w:r>
    </w:p>
    <w:p w14:paraId="1CBAEBA4" w14:textId="77777777" w:rsidR="002C19A5" w:rsidRPr="004957E8" w:rsidRDefault="002C19A5" w:rsidP="002C19A5">
      <w:pPr>
        <w:ind w:left="360"/>
        <w:rPr>
          <w:rFonts w:ascii="Helvetica" w:hAnsi="Helvetica"/>
          <w:bCs/>
        </w:rPr>
      </w:pPr>
    </w:p>
    <w:p w14:paraId="49EEA36E" w14:textId="77777777"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Amend paragraph 5 as follows</w:t>
      </w:r>
      <w:r w:rsidRPr="004957E8">
        <w:rPr>
          <w:rFonts w:ascii="Helvetica" w:hAnsi="Helvetica"/>
          <w:bCs/>
        </w:rPr>
        <w:t>:</w:t>
      </w:r>
    </w:p>
    <w:p w14:paraId="63009D48" w14:textId="77777777" w:rsidR="002C19A5" w:rsidRPr="004957E8" w:rsidRDefault="002C19A5" w:rsidP="002C19A5">
      <w:pPr>
        <w:ind w:left="360"/>
        <w:rPr>
          <w:rFonts w:ascii="Helvetica" w:hAnsi="Helvetica"/>
          <w:bCs/>
        </w:rPr>
      </w:pPr>
    </w:p>
    <w:p w14:paraId="299EC9B2" w14:textId="37A4DE12" w:rsidR="002C19A5" w:rsidRPr="004957E8" w:rsidRDefault="002C19A5" w:rsidP="002C19A5">
      <w:pPr>
        <w:pStyle w:val="ListParagraph"/>
        <w:numPr>
          <w:ilvl w:val="0"/>
          <w:numId w:val="13"/>
        </w:numPr>
        <w:rPr>
          <w:rFonts w:cs="Times New Roman"/>
          <w:bCs/>
          <w:szCs w:val="22"/>
        </w:rPr>
      </w:pPr>
      <w:r w:rsidRPr="004957E8">
        <w:rPr>
          <w:rFonts w:cs="Times New Roman"/>
          <w:bCs/>
          <w:szCs w:val="22"/>
        </w:rPr>
        <w:t>All Reconsideration Requests must be submitted to an e-mail address designated by the Board Governance Committee within</w:t>
      </w:r>
      <w:r w:rsidRPr="004957E8">
        <w:rPr>
          <w:rFonts w:cs="Times New Roman"/>
          <w:bCs/>
          <w:strike/>
          <w:szCs w:val="22"/>
        </w:rPr>
        <w:t xml:space="preserve"> </w:t>
      </w:r>
      <w:r w:rsidRPr="004957E8">
        <w:rPr>
          <w:rFonts w:cs="Times New Roman"/>
          <w:bCs/>
          <w:szCs w:val="22"/>
        </w:rPr>
        <w:t>30 days after:</w:t>
      </w:r>
    </w:p>
    <w:p w14:paraId="4BAC72C7" w14:textId="77777777" w:rsidR="002C19A5" w:rsidRPr="004957E8" w:rsidRDefault="002C19A5" w:rsidP="002C19A5">
      <w:pPr>
        <w:numPr>
          <w:ilvl w:val="0"/>
          <w:numId w:val="11"/>
        </w:numPr>
        <w:spacing w:after="0" w:line="240" w:lineRule="auto"/>
        <w:ind w:left="2880"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r w:rsidRPr="004957E8">
        <w:rPr>
          <w:rFonts w:ascii="Helvetica" w:eastAsia="MS Mincho" w:hAnsi="Helvetica" w:cs="Times New Roman"/>
          <w:bCs/>
          <w:lang w:val="en-US" w:eastAsia="en-US"/>
        </w:rPr>
        <w:br/>
      </w:r>
    </w:p>
    <w:p w14:paraId="31BC1037" w14:textId="77777777" w:rsidR="002C19A5" w:rsidRPr="004957E8" w:rsidRDefault="002C19A5" w:rsidP="002C19A5">
      <w:pPr>
        <w:numPr>
          <w:ilvl w:val="0"/>
          <w:numId w:val="11"/>
        </w:numPr>
        <w:spacing w:after="0" w:line="240" w:lineRule="auto"/>
        <w:ind w:left="2880"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For requests challenging staff actions, the date on which the party submitting the request became aware of, or reasonably should </w:t>
      </w:r>
      <w:r w:rsidRPr="004957E8">
        <w:rPr>
          <w:rFonts w:ascii="Helvetica" w:eastAsia="MS Mincho" w:hAnsi="Helvetica" w:cs="Times New Roman"/>
          <w:bCs/>
          <w:lang w:val="en-US" w:eastAsia="en-US"/>
        </w:rPr>
        <w:lastRenderedPageBreak/>
        <w:t>have become aware of, the challenged staff action; or</w:t>
      </w:r>
      <w:r w:rsidRPr="004957E8">
        <w:rPr>
          <w:rFonts w:ascii="Helvetica" w:eastAsia="MS Mincho" w:hAnsi="Helvetica" w:cs="Times New Roman"/>
          <w:bCs/>
          <w:lang w:val="en-US" w:eastAsia="en-US"/>
        </w:rPr>
        <w:br/>
      </w:r>
    </w:p>
    <w:p w14:paraId="16C6D23E" w14:textId="77777777" w:rsidR="002C19A5" w:rsidRPr="004957E8" w:rsidRDefault="002C19A5" w:rsidP="002C19A5">
      <w:pPr>
        <w:numPr>
          <w:ilvl w:val="0"/>
          <w:numId w:val="11"/>
        </w:numPr>
        <w:spacing w:after="0" w:line="240" w:lineRule="auto"/>
        <w:ind w:left="2880" w:hanging="540"/>
        <w:rPr>
          <w:rFonts w:ascii="Helvetica" w:hAnsi="Helvetica"/>
          <w:bCs/>
        </w:rPr>
      </w:pPr>
      <w:r w:rsidRPr="004957E8">
        <w:rPr>
          <w:rFonts w:ascii="Helvetica" w:eastAsia="MS Mincho" w:hAnsi="Helvetica" w:cs="Times New Roman"/>
          <w:bCs/>
          <w:lang w:val="en-US" w:eastAsia="en-US"/>
        </w:rPr>
        <w:t>For requests challenging either Board or staff inaction, the date on which the affected person reasonably concluded, or reasonably should have concluded, that action would not be taken in a timely manner.</w:t>
      </w:r>
      <w:r w:rsidRPr="004957E8">
        <w:rPr>
          <w:rFonts w:ascii="Helvetica" w:hAnsi="Helvetica"/>
          <w:bCs/>
        </w:rPr>
        <w:br/>
      </w:r>
    </w:p>
    <w:p w14:paraId="647C5A34" w14:textId="77777777" w:rsidR="002C19A5" w:rsidRPr="004957E8" w:rsidRDefault="002C19A5" w:rsidP="002C19A5">
      <w:pPr>
        <w:pStyle w:val="Heading4"/>
        <w:numPr>
          <w:ilvl w:val="0"/>
          <w:numId w:val="12"/>
        </w:numPr>
        <w:ind w:hanging="540"/>
      </w:pPr>
      <w:r w:rsidRPr="004957E8">
        <w:t>Due Process</w:t>
      </w:r>
    </w:p>
    <w:p w14:paraId="119D7A40" w14:textId="2D9B2BE8"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ICANN’s Document and Information Disclosure Policy (DIDP) </w:t>
      </w:r>
      <w:r w:rsidR="00363257" w:rsidRPr="004957E8">
        <w:rPr>
          <w:rFonts w:ascii="Helvetica" w:eastAsia="MS Mincho" w:hAnsi="Helvetica" w:cs="Times New Roman"/>
          <w:bCs/>
          <w:lang w:val="en-US" w:eastAsia="en-US"/>
        </w:rPr>
        <w:t xml:space="preserve">is an important issue to be addressed in Work Stream 2 and </w:t>
      </w:r>
      <w:r w:rsidRPr="004957E8">
        <w:rPr>
          <w:rFonts w:ascii="Helvetica" w:eastAsia="MS Mincho" w:hAnsi="Helvetica" w:cs="Times New Roman"/>
          <w:bCs/>
          <w:lang w:val="en-US" w:eastAsia="en-US"/>
        </w:rPr>
        <w:t>should be improved to accommodate the legitimate need for requesters to obtain internal ICANN documents that are relevant to their requests.</w:t>
      </w:r>
    </w:p>
    <w:p w14:paraId="6167984E" w14:textId="77777777" w:rsidR="002C19A5" w:rsidRPr="004957E8" w:rsidRDefault="002C19A5" w:rsidP="002C19A5">
      <w:pPr>
        <w:ind w:left="360"/>
        <w:rPr>
          <w:rFonts w:ascii="Helvetica" w:eastAsia="MS Mincho" w:hAnsi="Helvetica" w:cs="Times New Roman"/>
          <w:bCs/>
          <w:lang w:val="en-US" w:eastAsia="en-US"/>
        </w:rPr>
      </w:pPr>
    </w:p>
    <w:p w14:paraId="5E4AC4DF" w14:textId="68CA47D4" w:rsidR="002C19A5" w:rsidRPr="004957E8" w:rsidRDefault="00374EF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A</w:t>
      </w:r>
      <w:r w:rsidR="002C19A5" w:rsidRPr="004957E8">
        <w:rPr>
          <w:rFonts w:ascii="Helvetica" w:eastAsia="MS Mincho" w:hAnsi="Helvetica" w:cs="Times New Roman"/>
          <w:bCs/>
          <w:lang w:val="en-US" w:eastAsia="en-US"/>
        </w:rPr>
        <w:t>ll briefing materials</w:t>
      </w:r>
      <w:r w:rsidR="00363257" w:rsidRPr="004957E8">
        <w:rPr>
          <w:rStyle w:val="CommentReference"/>
          <w:rFonts w:ascii="Helvetica" w:hAnsi="Helvetica"/>
          <w:sz w:val="22"/>
          <w:szCs w:val="22"/>
        </w:rPr>
        <w:t xml:space="preserve"> </w:t>
      </w:r>
      <w:r w:rsidR="002C19A5" w:rsidRPr="004957E8">
        <w:rPr>
          <w:rFonts w:ascii="Helvetica" w:eastAsia="MS Mincho" w:hAnsi="Helvetica" w:cs="Times New Roman"/>
          <w:bCs/>
          <w:lang w:val="en-US" w:eastAsia="en-US"/>
        </w:rPr>
        <w:t xml:space="preserve">supplied to the Board should be provided </w:t>
      </w:r>
      <w:r w:rsidRPr="004957E8">
        <w:rPr>
          <w:rFonts w:ascii="Helvetica" w:eastAsia="MS Mincho" w:hAnsi="Helvetica" w:cs="Times New Roman"/>
          <w:bCs/>
          <w:lang w:val="en-US" w:eastAsia="en-US"/>
        </w:rPr>
        <w:t xml:space="preserve">to the Requester </w:t>
      </w:r>
      <w:r w:rsidR="002C19A5" w:rsidRPr="004957E8">
        <w:rPr>
          <w:rFonts w:ascii="Helvetica" w:eastAsia="MS Mincho" w:hAnsi="Helvetica" w:cs="Times New Roman"/>
          <w:bCs/>
          <w:lang w:val="en-US" w:eastAsia="en-US"/>
        </w:rPr>
        <w:t xml:space="preserve">so that they may know the arguments against them and have an opportunity to respond (subject to legitimate and documented confidentiality </w:t>
      </w:r>
      <w:r w:rsidR="00577B2F" w:rsidRPr="004957E8">
        <w:rPr>
          <w:rFonts w:ascii="Helvetica" w:eastAsia="MS Mincho" w:hAnsi="Helvetica" w:cs="Times New Roman"/>
          <w:bCs/>
          <w:lang w:val="en-US" w:eastAsia="en-US"/>
        </w:rPr>
        <w:t xml:space="preserve">and privilege </w:t>
      </w:r>
      <w:r w:rsidR="002C19A5" w:rsidRPr="004957E8">
        <w:rPr>
          <w:rFonts w:ascii="Helvetica" w:eastAsia="MS Mincho" w:hAnsi="Helvetica" w:cs="Times New Roman"/>
          <w:bCs/>
          <w:lang w:val="en-US" w:eastAsia="en-US"/>
        </w:rPr>
        <w:t>requirements).</w:t>
      </w:r>
    </w:p>
    <w:p w14:paraId="756F855C" w14:textId="77777777" w:rsidR="002C19A5" w:rsidRPr="004957E8" w:rsidRDefault="002C19A5" w:rsidP="002C19A5">
      <w:pPr>
        <w:ind w:left="360"/>
        <w:rPr>
          <w:rFonts w:ascii="Helvetica" w:eastAsia="MS Mincho" w:hAnsi="Helvetica" w:cs="Times New Roman"/>
          <w:bCs/>
          <w:lang w:val="en-US" w:eastAsia="en-US"/>
        </w:rPr>
      </w:pPr>
    </w:p>
    <w:p w14:paraId="525C1F45" w14:textId="47578CA3"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Final decisions should be issued sooner – </w:t>
      </w:r>
      <w:r w:rsidR="00577B2F" w:rsidRPr="004957E8">
        <w:rPr>
          <w:rFonts w:ascii="Helvetica" w:eastAsia="MS Mincho" w:hAnsi="Helvetica" w:cs="Times New Roman"/>
          <w:bCs/>
          <w:lang w:val="en-US" w:eastAsia="en-US"/>
        </w:rPr>
        <w:t xml:space="preserve">changes will include an affirmative goal that final determinations of the Board </w:t>
      </w:r>
      <w:r w:rsidR="00BF3B6C" w:rsidRPr="004957E8">
        <w:rPr>
          <w:rFonts w:ascii="Helvetica" w:eastAsia="MS Mincho" w:hAnsi="Helvetica" w:cs="Times New Roman"/>
          <w:bCs/>
          <w:lang w:val="en-US" w:eastAsia="en-US"/>
        </w:rPr>
        <w:t xml:space="preserve">should </w:t>
      </w:r>
      <w:r w:rsidR="00577B2F" w:rsidRPr="004957E8">
        <w:rPr>
          <w:rFonts w:ascii="Helvetica" w:eastAsia="MS Mincho" w:hAnsi="Helvetica" w:cs="Times New Roman"/>
          <w:bCs/>
          <w:lang w:val="en-US" w:eastAsia="en-US"/>
        </w:rPr>
        <w:t>be issued within sixty days from request filing wherever possible, and in no case more than 120 days from the date of the request</w:t>
      </w:r>
      <w:r w:rsidRPr="004957E8">
        <w:rPr>
          <w:rFonts w:ascii="Helvetica" w:eastAsia="MS Mincho" w:hAnsi="Helvetica" w:cs="Times New Roman"/>
          <w:bCs/>
          <w:lang w:val="en-US" w:eastAsia="en-US"/>
        </w:rPr>
        <w:t>.</w:t>
      </w:r>
    </w:p>
    <w:p w14:paraId="332875DB" w14:textId="77777777" w:rsidR="002C19A5" w:rsidRPr="004957E8" w:rsidRDefault="002C19A5" w:rsidP="002C19A5">
      <w:pPr>
        <w:ind w:left="360"/>
        <w:rPr>
          <w:rFonts w:ascii="Helvetica" w:eastAsia="MS Mincho" w:hAnsi="Helvetica" w:cs="Times New Roman"/>
          <w:bCs/>
          <w:lang w:val="en-US" w:eastAsia="en-US"/>
        </w:rPr>
      </w:pPr>
    </w:p>
    <w:p w14:paraId="323E1997"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Requesters should be provided more time to learn of action/inaction and to file the request.</w:t>
      </w:r>
    </w:p>
    <w:p w14:paraId="13689731" w14:textId="77777777" w:rsidR="002C19A5" w:rsidRPr="004957E8" w:rsidRDefault="002C19A5" w:rsidP="002C19A5">
      <w:pPr>
        <w:ind w:left="360"/>
        <w:rPr>
          <w:rFonts w:ascii="Helvetica" w:eastAsia="MS Mincho" w:hAnsi="Helvetica" w:cs="Times New Roman"/>
          <w:bCs/>
          <w:lang w:val="en-US" w:eastAsia="en-US"/>
        </w:rPr>
      </w:pPr>
    </w:p>
    <w:p w14:paraId="2E7CE468"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Transparency improvements throughout the process are called for, including more complete documentation and prompt publication of submissions and decisions including their rationale.</w:t>
      </w:r>
      <w:r w:rsidRPr="004957E8">
        <w:rPr>
          <w:rFonts w:ascii="Helvetica" w:eastAsia="MS Mincho" w:hAnsi="Helvetica" w:cs="Times New Roman"/>
          <w:bCs/>
          <w:lang w:val="en-US" w:eastAsia="en-US"/>
        </w:rPr>
        <w:br/>
      </w:r>
    </w:p>
    <w:p w14:paraId="085326B4" w14:textId="77777777" w:rsidR="002C19A5" w:rsidRPr="004957E8" w:rsidRDefault="002C19A5" w:rsidP="002C19A5">
      <w:pPr>
        <w:ind w:left="360"/>
        <w:rPr>
          <w:rFonts w:ascii="Helvetica" w:hAnsi="Helvetica"/>
          <w:bCs/>
        </w:rPr>
      </w:pPr>
    </w:p>
    <w:p w14:paraId="6683675A" w14:textId="77777777" w:rsidR="00A31CB0" w:rsidRPr="004957E8" w:rsidRDefault="00A31CB0" w:rsidP="002C19A5">
      <w:pPr>
        <w:rPr>
          <w:rFonts w:ascii="Helvetica" w:hAnsi="Helvetica"/>
        </w:rPr>
      </w:pPr>
    </w:p>
    <w:sectPr w:rsidR="00A31CB0" w:rsidRPr="004957E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81997" w15:done="0"/>
  <w15:commentEx w15:paraId="7B9E519E" w15:done="0"/>
  <w15:commentEx w15:paraId="3C9C8E4D" w15:done="0"/>
  <w15:commentEx w15:paraId="1E907617" w15:done="0"/>
  <w15:commentEx w15:paraId="1427C381" w15:done="0"/>
  <w15:commentEx w15:paraId="50BC123B" w15:done="0"/>
  <w15:commentEx w15:paraId="2FBB2DEC" w15:done="0"/>
  <w15:commentEx w15:paraId="05B3C5DB" w15:done="0"/>
  <w15:commentEx w15:paraId="007A8312" w15:done="0"/>
  <w15:commentEx w15:paraId="13CBF1CF" w15:done="0"/>
  <w15:commentEx w15:paraId="20AE59AA" w15:done="0"/>
  <w15:commentEx w15:paraId="79386DAE" w15:done="0"/>
  <w15:commentEx w15:paraId="6CF2A540" w15:done="0"/>
  <w15:commentEx w15:paraId="26EC3973" w15:done="0"/>
  <w15:commentEx w15:paraId="5E3CFB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63"/>
      <w:numFmt w:val="decimal"/>
      <w:lvlText w:val="%1"/>
      <w:lvlJc w:val="left"/>
      <w:pPr>
        <w:tabs>
          <w:tab w:val="num" w:pos="720"/>
        </w:tabs>
        <w:ind w:left="720" w:hanging="360"/>
      </w:pPr>
    </w:lvl>
    <w:lvl w:ilvl="1" w:tplc="00005F4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16"/>
    <w:multiLevelType w:val="hybridMultilevel"/>
    <w:tmpl w:val="000049BB"/>
    <w:lvl w:ilvl="0" w:tplc="00006F11">
      <w:start w:val="150"/>
      <w:numFmt w:val="decimal"/>
      <w:lvlText w:val="%1"/>
      <w:lvlJc w:val="left"/>
      <w:pPr>
        <w:tabs>
          <w:tab w:val="num" w:pos="720"/>
        </w:tabs>
        <w:ind w:left="720" w:hanging="360"/>
      </w:pPr>
    </w:lvl>
    <w:lvl w:ilvl="1" w:tplc="000074AD">
      <w:start w:val="6"/>
      <w:numFmt w:val="lowerLetter"/>
      <w:lvlText w:val="%2."/>
      <w:lvlJc w:val="left"/>
      <w:pPr>
        <w:tabs>
          <w:tab w:val="num" w:pos="1440"/>
        </w:tabs>
        <w:ind w:left="1440" w:hanging="360"/>
      </w:pPr>
    </w:lvl>
    <w:lvl w:ilvl="2" w:tplc="00004E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decimal"/>
      <w:lvlText w:val="%1"/>
      <w:lvlJc w:val="left"/>
      <w:pPr>
        <w:tabs>
          <w:tab w:val="num" w:pos="720"/>
        </w:tabs>
        <w:ind w:left="720" w:hanging="360"/>
      </w:pPr>
    </w:lvl>
    <w:lvl w:ilvl="1" w:tplc="000073D9">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16"/>
    <w:multiLevelType w:val="hybridMultilevel"/>
    <w:tmpl w:val="0000182F"/>
    <w:lvl w:ilvl="0" w:tplc="00004D67">
      <w:start w:val="138"/>
      <w:numFmt w:val="decimal"/>
      <w:lvlText w:val="%1"/>
      <w:lvlJc w:val="left"/>
      <w:pPr>
        <w:tabs>
          <w:tab w:val="num" w:pos="720"/>
        </w:tabs>
        <w:ind w:left="720" w:hanging="360"/>
      </w:pPr>
    </w:lvl>
    <w:lvl w:ilvl="1" w:tplc="000059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2"/>
      <w:numFmt w:val="lowerLetter"/>
      <w:lvlText w:val="%1."/>
      <w:lvlJc w:val="left"/>
      <w:pPr>
        <w:tabs>
          <w:tab w:val="num" w:pos="720"/>
        </w:tabs>
        <w:ind w:left="720" w:hanging="360"/>
      </w:pPr>
    </w:lvl>
    <w:lvl w:ilvl="1" w:tplc="00000A4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24"/>
    <w:multiLevelType w:val="hybridMultilevel"/>
    <w:tmpl w:val="00000588"/>
    <w:lvl w:ilvl="0" w:tplc="00005579">
      <w:start w:val="1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D0"/>
    <w:multiLevelType w:val="hybridMultilevel"/>
    <w:tmpl w:val="00004E57"/>
    <w:lvl w:ilvl="0" w:tplc="00004F68">
      <w:start w:val="144"/>
      <w:numFmt w:val="decimal"/>
      <w:lvlText w:val="%1"/>
      <w:lvlJc w:val="left"/>
      <w:pPr>
        <w:tabs>
          <w:tab w:val="num" w:pos="720"/>
        </w:tabs>
        <w:ind w:left="720" w:hanging="360"/>
      </w:pPr>
    </w:lvl>
    <w:lvl w:ilvl="1" w:tplc="00005876">
      <w:start w:val="1"/>
      <w:numFmt w:val="bullet"/>
      <w:lvlText w:val=""/>
      <w:lvlJc w:val="left"/>
      <w:pPr>
        <w:tabs>
          <w:tab w:val="num" w:pos="1440"/>
        </w:tabs>
        <w:ind w:left="1440" w:hanging="360"/>
      </w:pPr>
    </w:lvl>
    <w:lvl w:ilvl="2" w:tplc="000066F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CFE"/>
    <w:multiLevelType w:val="hybridMultilevel"/>
    <w:tmpl w:val="00002852"/>
    <w:lvl w:ilvl="0" w:tplc="000048DB">
      <w:start w:val="159"/>
      <w:numFmt w:val="decimal"/>
      <w:lvlText w:val="%1"/>
      <w:lvlJc w:val="left"/>
      <w:pPr>
        <w:tabs>
          <w:tab w:val="num" w:pos="720"/>
        </w:tabs>
        <w:ind w:left="720" w:hanging="360"/>
      </w:pPr>
    </w:lvl>
    <w:lvl w:ilvl="1" w:tplc="00002725">
      <w:start w:val="1"/>
      <w:numFmt w:val="decimal"/>
      <w:lvlText w:val="%2."/>
      <w:lvlJc w:val="left"/>
      <w:pPr>
        <w:tabs>
          <w:tab w:val="num" w:pos="1440"/>
        </w:tabs>
        <w:ind w:left="1440" w:hanging="360"/>
      </w:pPr>
    </w:lvl>
    <w:lvl w:ilvl="2" w:tplc="0000164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9">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3675B"/>
    <w:multiLevelType w:val="hybridMultilevel"/>
    <w:tmpl w:val="82E8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8"/>
  </w:num>
  <w:num w:numId="10">
    <w:abstractNumId w:val="14"/>
  </w:num>
  <w:num w:numId="11">
    <w:abstractNumId w:val="10"/>
  </w:num>
  <w:num w:numId="12">
    <w:abstractNumId w:val="13"/>
  </w:num>
  <w:num w:numId="13">
    <w:abstractNumId w:val="11"/>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8"/>
    <w:rsid w:val="00000BE0"/>
    <w:rsid w:val="000120AB"/>
    <w:rsid w:val="0001245A"/>
    <w:rsid w:val="00014780"/>
    <w:rsid w:val="000150EB"/>
    <w:rsid w:val="00025DC0"/>
    <w:rsid w:val="00037E2E"/>
    <w:rsid w:val="00056B18"/>
    <w:rsid w:val="00063D02"/>
    <w:rsid w:val="000662DB"/>
    <w:rsid w:val="000733DF"/>
    <w:rsid w:val="00083C60"/>
    <w:rsid w:val="00091C67"/>
    <w:rsid w:val="000A769B"/>
    <w:rsid w:val="000C0611"/>
    <w:rsid w:val="000E5E65"/>
    <w:rsid w:val="000F0CC3"/>
    <w:rsid w:val="000F4163"/>
    <w:rsid w:val="00106F76"/>
    <w:rsid w:val="00107B28"/>
    <w:rsid w:val="00112FF4"/>
    <w:rsid w:val="001302C2"/>
    <w:rsid w:val="00133A7D"/>
    <w:rsid w:val="001537D8"/>
    <w:rsid w:val="00153AF0"/>
    <w:rsid w:val="00162134"/>
    <w:rsid w:val="001842F0"/>
    <w:rsid w:val="001A5F06"/>
    <w:rsid w:val="001A63FB"/>
    <w:rsid w:val="001B10D9"/>
    <w:rsid w:val="001C0130"/>
    <w:rsid w:val="001D020D"/>
    <w:rsid w:val="00215261"/>
    <w:rsid w:val="00220809"/>
    <w:rsid w:val="00236818"/>
    <w:rsid w:val="0024031E"/>
    <w:rsid w:val="00241D0F"/>
    <w:rsid w:val="00255214"/>
    <w:rsid w:val="002679A5"/>
    <w:rsid w:val="00281B6C"/>
    <w:rsid w:val="00292AAA"/>
    <w:rsid w:val="002A3972"/>
    <w:rsid w:val="002A65A6"/>
    <w:rsid w:val="002C19A5"/>
    <w:rsid w:val="002C3726"/>
    <w:rsid w:val="002E106B"/>
    <w:rsid w:val="002E3747"/>
    <w:rsid w:val="002E5E44"/>
    <w:rsid w:val="002F6513"/>
    <w:rsid w:val="00303E43"/>
    <w:rsid w:val="00310DE5"/>
    <w:rsid w:val="0031279C"/>
    <w:rsid w:val="00315978"/>
    <w:rsid w:val="00336331"/>
    <w:rsid w:val="00337DC2"/>
    <w:rsid w:val="00345B67"/>
    <w:rsid w:val="003626AB"/>
    <w:rsid w:val="00363257"/>
    <w:rsid w:val="00366683"/>
    <w:rsid w:val="0037171E"/>
    <w:rsid w:val="00374EF5"/>
    <w:rsid w:val="00376271"/>
    <w:rsid w:val="00376F14"/>
    <w:rsid w:val="0038624D"/>
    <w:rsid w:val="00390DDE"/>
    <w:rsid w:val="003A5562"/>
    <w:rsid w:val="003A6026"/>
    <w:rsid w:val="003A6777"/>
    <w:rsid w:val="003B0DEC"/>
    <w:rsid w:val="003C75BB"/>
    <w:rsid w:val="003D1606"/>
    <w:rsid w:val="003E392D"/>
    <w:rsid w:val="003F5FEB"/>
    <w:rsid w:val="0042676C"/>
    <w:rsid w:val="00435F28"/>
    <w:rsid w:val="00453E49"/>
    <w:rsid w:val="0048390F"/>
    <w:rsid w:val="004957E8"/>
    <w:rsid w:val="00496325"/>
    <w:rsid w:val="004A4705"/>
    <w:rsid w:val="004A59C0"/>
    <w:rsid w:val="004C4DAE"/>
    <w:rsid w:val="004C5CCB"/>
    <w:rsid w:val="004D1251"/>
    <w:rsid w:val="004D453A"/>
    <w:rsid w:val="004E56A7"/>
    <w:rsid w:val="004E58F9"/>
    <w:rsid w:val="004E7604"/>
    <w:rsid w:val="004F3621"/>
    <w:rsid w:val="005072A8"/>
    <w:rsid w:val="00507E4B"/>
    <w:rsid w:val="00514417"/>
    <w:rsid w:val="005374F5"/>
    <w:rsid w:val="005429AB"/>
    <w:rsid w:val="00577B2F"/>
    <w:rsid w:val="005839AA"/>
    <w:rsid w:val="0058407F"/>
    <w:rsid w:val="00585DC4"/>
    <w:rsid w:val="00594688"/>
    <w:rsid w:val="005A11B9"/>
    <w:rsid w:val="005B79F6"/>
    <w:rsid w:val="005C132A"/>
    <w:rsid w:val="005F5713"/>
    <w:rsid w:val="006151C7"/>
    <w:rsid w:val="00617E79"/>
    <w:rsid w:val="006276A8"/>
    <w:rsid w:val="00635EE7"/>
    <w:rsid w:val="006438B8"/>
    <w:rsid w:val="006471A8"/>
    <w:rsid w:val="00661875"/>
    <w:rsid w:val="006619B5"/>
    <w:rsid w:val="00690A46"/>
    <w:rsid w:val="006959A2"/>
    <w:rsid w:val="006B1108"/>
    <w:rsid w:val="006E1762"/>
    <w:rsid w:val="006E31B9"/>
    <w:rsid w:val="006E504B"/>
    <w:rsid w:val="006F3B4E"/>
    <w:rsid w:val="006F5945"/>
    <w:rsid w:val="0070480B"/>
    <w:rsid w:val="007066C8"/>
    <w:rsid w:val="00742159"/>
    <w:rsid w:val="00746CAD"/>
    <w:rsid w:val="0075442A"/>
    <w:rsid w:val="00763512"/>
    <w:rsid w:val="00765D34"/>
    <w:rsid w:val="007729FE"/>
    <w:rsid w:val="007808AF"/>
    <w:rsid w:val="00792750"/>
    <w:rsid w:val="007B2210"/>
    <w:rsid w:val="007B60CE"/>
    <w:rsid w:val="007C50EB"/>
    <w:rsid w:val="007C56AB"/>
    <w:rsid w:val="007E53F7"/>
    <w:rsid w:val="007F49C4"/>
    <w:rsid w:val="008055CE"/>
    <w:rsid w:val="00811ADD"/>
    <w:rsid w:val="00822B75"/>
    <w:rsid w:val="00833726"/>
    <w:rsid w:val="00836413"/>
    <w:rsid w:val="00846ACF"/>
    <w:rsid w:val="00854B36"/>
    <w:rsid w:val="00871AE4"/>
    <w:rsid w:val="008755B1"/>
    <w:rsid w:val="0088704B"/>
    <w:rsid w:val="00890161"/>
    <w:rsid w:val="008B002E"/>
    <w:rsid w:val="008B5488"/>
    <w:rsid w:val="008B737B"/>
    <w:rsid w:val="008B73D8"/>
    <w:rsid w:val="008B763A"/>
    <w:rsid w:val="008C218F"/>
    <w:rsid w:val="008D009B"/>
    <w:rsid w:val="008D078A"/>
    <w:rsid w:val="008D6FA3"/>
    <w:rsid w:val="008F0A20"/>
    <w:rsid w:val="008F40C0"/>
    <w:rsid w:val="00902FDE"/>
    <w:rsid w:val="009060C8"/>
    <w:rsid w:val="00924E48"/>
    <w:rsid w:val="0093555B"/>
    <w:rsid w:val="00942BC8"/>
    <w:rsid w:val="00942D13"/>
    <w:rsid w:val="00944A28"/>
    <w:rsid w:val="00954374"/>
    <w:rsid w:val="00960A2E"/>
    <w:rsid w:val="0097329C"/>
    <w:rsid w:val="00983F07"/>
    <w:rsid w:val="009931AB"/>
    <w:rsid w:val="009A7577"/>
    <w:rsid w:val="009C267D"/>
    <w:rsid w:val="009C36C6"/>
    <w:rsid w:val="009C6177"/>
    <w:rsid w:val="009D1517"/>
    <w:rsid w:val="009D21D8"/>
    <w:rsid w:val="009F32F5"/>
    <w:rsid w:val="00A02CDD"/>
    <w:rsid w:val="00A177DA"/>
    <w:rsid w:val="00A25524"/>
    <w:rsid w:val="00A30536"/>
    <w:rsid w:val="00A30D48"/>
    <w:rsid w:val="00A31CB0"/>
    <w:rsid w:val="00A366C8"/>
    <w:rsid w:val="00A4780D"/>
    <w:rsid w:val="00A6573F"/>
    <w:rsid w:val="00A940FA"/>
    <w:rsid w:val="00A97D8B"/>
    <w:rsid w:val="00AA0661"/>
    <w:rsid w:val="00AD1B12"/>
    <w:rsid w:val="00AE04DF"/>
    <w:rsid w:val="00AE23FE"/>
    <w:rsid w:val="00B13406"/>
    <w:rsid w:val="00B47A55"/>
    <w:rsid w:val="00B509B1"/>
    <w:rsid w:val="00B6514E"/>
    <w:rsid w:val="00B67C3B"/>
    <w:rsid w:val="00B962BF"/>
    <w:rsid w:val="00BA6124"/>
    <w:rsid w:val="00BA7C1B"/>
    <w:rsid w:val="00BB011D"/>
    <w:rsid w:val="00BB051B"/>
    <w:rsid w:val="00BC5FA6"/>
    <w:rsid w:val="00BD3532"/>
    <w:rsid w:val="00BD479E"/>
    <w:rsid w:val="00BE544C"/>
    <w:rsid w:val="00BF3B6C"/>
    <w:rsid w:val="00BF5674"/>
    <w:rsid w:val="00C04B9A"/>
    <w:rsid w:val="00C1048D"/>
    <w:rsid w:val="00C24241"/>
    <w:rsid w:val="00C331B5"/>
    <w:rsid w:val="00C34EDF"/>
    <w:rsid w:val="00C36C3E"/>
    <w:rsid w:val="00C52C1E"/>
    <w:rsid w:val="00C57256"/>
    <w:rsid w:val="00C65F16"/>
    <w:rsid w:val="00C821B2"/>
    <w:rsid w:val="00C83DDB"/>
    <w:rsid w:val="00C86D36"/>
    <w:rsid w:val="00C92C64"/>
    <w:rsid w:val="00C961BA"/>
    <w:rsid w:val="00CA02D8"/>
    <w:rsid w:val="00CB05F9"/>
    <w:rsid w:val="00CB0DBB"/>
    <w:rsid w:val="00CC1D47"/>
    <w:rsid w:val="00CF0D61"/>
    <w:rsid w:val="00D13639"/>
    <w:rsid w:val="00D173C0"/>
    <w:rsid w:val="00D30440"/>
    <w:rsid w:val="00D53B03"/>
    <w:rsid w:val="00D63B6B"/>
    <w:rsid w:val="00D7438F"/>
    <w:rsid w:val="00D820BE"/>
    <w:rsid w:val="00DA32D6"/>
    <w:rsid w:val="00DB7082"/>
    <w:rsid w:val="00DC2152"/>
    <w:rsid w:val="00DC7B27"/>
    <w:rsid w:val="00DD2579"/>
    <w:rsid w:val="00DD36C3"/>
    <w:rsid w:val="00DF5423"/>
    <w:rsid w:val="00E05035"/>
    <w:rsid w:val="00E126DD"/>
    <w:rsid w:val="00E3367B"/>
    <w:rsid w:val="00E34D40"/>
    <w:rsid w:val="00E36EC0"/>
    <w:rsid w:val="00E410D4"/>
    <w:rsid w:val="00E51969"/>
    <w:rsid w:val="00E75BB6"/>
    <w:rsid w:val="00E96B0C"/>
    <w:rsid w:val="00ED1855"/>
    <w:rsid w:val="00EF5B0F"/>
    <w:rsid w:val="00F02452"/>
    <w:rsid w:val="00F0322C"/>
    <w:rsid w:val="00F13CE5"/>
    <w:rsid w:val="00F15D61"/>
    <w:rsid w:val="00F37CC6"/>
    <w:rsid w:val="00F60F4A"/>
    <w:rsid w:val="00F64021"/>
    <w:rsid w:val="00F775DC"/>
    <w:rsid w:val="00F954F1"/>
    <w:rsid w:val="00FA31A7"/>
    <w:rsid w:val="00FA6EDB"/>
    <w:rsid w:val="00FB5CCE"/>
    <w:rsid w:val="00FB7F04"/>
    <w:rsid w:val="00FC1836"/>
    <w:rsid w:val="00FD5B70"/>
    <w:rsid w:val="00FD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Grace Abuhamad</cp:lastModifiedBy>
  <cp:revision>2</cp:revision>
  <dcterms:created xsi:type="dcterms:W3CDTF">2015-07-31T22:38:00Z</dcterms:created>
  <dcterms:modified xsi:type="dcterms:W3CDTF">2015-07-31T22:38:00Z</dcterms:modified>
</cp:coreProperties>
</file>