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1.2" w:lineRule="auto"/>
        <w:contextualSpacing w:val="0"/>
      </w:pPr>
      <w:r w:rsidDel="00000000" w:rsidR="00000000" w:rsidRPr="00000000">
        <w:rPr>
          <w:rtl w:val="0"/>
        </w:rPr>
      </w:r>
    </w:p>
    <w:tbl>
      <w:tblPr>
        <w:tblStyle w:val="Table1"/>
        <w:bidiVisual w:val="0"/>
        <w:tblW w:w="9025.511811023624" w:type="dxa"/>
        <w:jc w:val="left"/>
        <w:tblLayout w:type="fixed"/>
        <w:tblLook w:val="0600"/>
      </w:tblPr>
      <w:tblGrid>
        <w:gridCol w:w="1870.4185661002905"/>
        <w:gridCol w:w="7155.093244923333"/>
        <w:tblGridChange w:id="0">
          <w:tblGrid>
            <w:gridCol w:w="1870.4185661002905"/>
            <w:gridCol w:w="7155.093244923333"/>
          </w:tblGrid>
        </w:tblGridChange>
      </w:tblGrid>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highlight w:val="white"/>
                <w:rtl w:val="0"/>
              </w:rPr>
              <w:t xml:space="preserve">The policies and frameworks, if any, that ICANN needs to develop or enhance</w:t>
            </w:r>
          </w:p>
          <w:p w:rsidR="00000000" w:rsidDel="00000000" w:rsidP="00000000" w:rsidRDefault="00000000" w:rsidRPr="00000000">
            <w:pPr>
              <w:spacing w:line="331.2" w:lineRule="auto"/>
              <w:contextualSpacing w:val="0"/>
            </w:pPr>
            <w:r w:rsidDel="00000000" w:rsidR="00000000" w:rsidRPr="00000000">
              <w:rPr>
                <w:sz w:val="21"/>
                <w:szCs w:val="21"/>
                <w:highlight w:val="white"/>
                <w:rtl w:val="0"/>
              </w:rPr>
              <w:t xml:space="preserve">in order to fulfill its commitment to</w:t>
            </w:r>
          </w:p>
          <w:p w:rsidR="00000000" w:rsidDel="00000000" w:rsidP="00000000" w:rsidRDefault="00000000" w:rsidRPr="00000000">
            <w:pPr>
              <w:spacing w:line="331.2" w:lineRule="auto"/>
              <w:contextualSpacing w:val="0"/>
            </w:pPr>
            <w:r w:rsidDel="00000000" w:rsidR="00000000" w:rsidRPr="00000000">
              <w:rPr>
                <w:sz w:val="21"/>
                <w:szCs w:val="21"/>
                <w:highlight w:val="white"/>
                <w:rtl w:val="0"/>
              </w:rPr>
              <w:t xml:space="preserve">respect</w:t>
            </w:r>
          </w:p>
          <w:p w:rsidR="00000000" w:rsidDel="00000000" w:rsidP="00000000" w:rsidRDefault="00000000" w:rsidRPr="00000000">
            <w:pPr>
              <w:spacing w:line="331.2" w:lineRule="auto"/>
              <w:contextualSpacing w:val="0"/>
            </w:pPr>
            <w:r w:rsidDel="00000000" w:rsidR="00000000" w:rsidRPr="00000000">
              <w:rPr>
                <w:sz w:val="21"/>
                <w:szCs w:val="21"/>
                <w:highlight w:val="white"/>
                <w:rtl w:val="0"/>
              </w:rPr>
              <w:t xml:space="preserve">Human Rights</w:t>
            </w:r>
          </w:p>
          <w:p w:rsidR="00000000" w:rsidDel="00000000" w:rsidP="00000000" w:rsidRDefault="00000000" w:rsidRPr="00000000">
            <w:pPr>
              <w:spacing w:line="331.2"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highlight w:val="white"/>
                <w:rtl w:val="0"/>
              </w:rPr>
              <w:t xml:space="preserve">While operationalizing the human rights bylaw, ICANN can prioritize areas of focus, such as its operations, internal procedures, and/or new policies consistent with its Mission.  ICANN’s commitment to respect human rights and to take human rights into consideration in  its operations and policies in the foregoing manner is consistent with the human rights provision of the bylaws. </w:t>
            </w:r>
            <w:r w:rsidDel="00000000" w:rsidR="00000000" w:rsidRPr="00000000">
              <w:rPr>
                <w:highlight w:val="white"/>
                <w:rtl w:val="0"/>
              </w:rPr>
              <w:t xml:space="preserve">This could involve the use of a human rights impact assessment of how ICANN’s operations could impact human rights.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1"/>
                <w:szCs w:val="21"/>
                <w:highlight w:val="white"/>
                <w:rtl w:val="0"/>
              </w:rPr>
              <w:t xml:space="preserve">Consistent with ICANN’s</w:t>
            </w:r>
          </w:p>
          <w:p w:rsidR="00000000" w:rsidDel="00000000" w:rsidP="00000000" w:rsidRDefault="00000000" w:rsidRPr="00000000">
            <w:pPr>
              <w:spacing w:line="331.2" w:lineRule="auto"/>
              <w:contextualSpacing w:val="0"/>
            </w:pPr>
            <w:r w:rsidDel="00000000" w:rsidR="00000000" w:rsidRPr="00000000">
              <w:rPr>
                <w:sz w:val="21"/>
                <w:szCs w:val="21"/>
                <w:highlight w:val="white"/>
                <w:rtl w:val="0"/>
              </w:rPr>
              <w:t xml:space="preserve">existing processes and protocols, consider how these new</w:t>
            </w:r>
          </w:p>
          <w:p w:rsidR="00000000" w:rsidDel="00000000" w:rsidP="00000000" w:rsidRDefault="00000000" w:rsidRPr="00000000">
            <w:pPr>
              <w:spacing w:line="331.2" w:lineRule="auto"/>
              <w:contextualSpacing w:val="0"/>
            </w:pPr>
            <w:r w:rsidDel="00000000" w:rsidR="00000000" w:rsidRPr="00000000">
              <w:rPr>
                <w:sz w:val="21"/>
                <w:szCs w:val="21"/>
                <w:highlight w:val="white"/>
                <w:rtl w:val="0"/>
              </w:rPr>
              <w:t xml:space="preserve">frameworks should be discussed and drafted to ensure broad multistakeholder</w:t>
            </w:r>
          </w:p>
          <w:p w:rsidR="00000000" w:rsidDel="00000000" w:rsidP="00000000" w:rsidRDefault="00000000" w:rsidRPr="00000000">
            <w:pPr>
              <w:spacing w:line="331.2" w:lineRule="auto"/>
              <w:contextualSpacing w:val="0"/>
            </w:pPr>
            <w:r w:rsidDel="00000000" w:rsidR="00000000" w:rsidRPr="00000000">
              <w:rPr>
                <w:highlight w:val="white"/>
                <w:rtl w:val="0"/>
              </w:rPr>
              <w:t xml:space="preserve">involvement in the proces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highlight w:val="white"/>
                <w:rtl w:val="0"/>
              </w:rPr>
              <w:t xml:space="preserve">And:</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sz w:val="21"/>
                <w:szCs w:val="21"/>
                <w:highlight w:val="white"/>
                <w:rtl w:val="0"/>
              </w:rPr>
              <w:t xml:space="preserve">Consider how the interpretation and implementation of this Bylaw will interact with</w:t>
            </w:r>
          </w:p>
          <w:p w:rsidR="00000000" w:rsidDel="00000000" w:rsidP="00000000" w:rsidRDefault="00000000" w:rsidRPr="00000000">
            <w:pPr>
              <w:spacing w:line="331.2" w:lineRule="auto"/>
              <w:contextualSpacing w:val="0"/>
            </w:pPr>
            <w:r w:rsidDel="00000000" w:rsidR="00000000" w:rsidRPr="00000000">
              <w:rPr>
                <w:sz w:val="21"/>
                <w:szCs w:val="21"/>
                <w:highlight w:val="white"/>
                <w:rtl w:val="0"/>
              </w:rPr>
              <w:t xml:space="preserve">existing and future ICANN policies and procedures.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highlight w:val="white"/>
                <w:rtl w:val="0"/>
              </w:rPr>
              <w:t xml:space="preserve">ICANN should consider incorporating Human Rights Impact Assessments (HRIA) in its Policy Development Processes (PDPs).   The determination of the impact of a proposed policy on human rights will take place through a Policy Impact Assessment (PIA) that occurs during the drafting of the Preliminary Issue Report (PIR) in the PDP.   If the PIA identifies potential impact(s) on specific human rights, a Human Rights Impact Assessment (HRIA) would be triggered for those specific rights and would be undertaken during the drafting of the WG’s Initial Report.  The HRIA would be an integral part of the WG’s Final Report.</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highlight w:val="white"/>
                <w:rtl w:val="0"/>
              </w:rPr>
              <w:t xml:space="preserve">In order to operationalize these policy changes an appropriate mechanism should be established, for example a Cross Community Working Group on Human Rights could be established which would make proposals for the supporting organizations to implement in their respective policy development processes.</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highlight w:val="white"/>
                <w:rtl w:val="0"/>
              </w:rPr>
              <w:t xml:space="preserve">ICANN should also consider ensuring that it does not violate human rights in its operations.  ICANN might consider instruments such as HRIA to carry out a preliminary assessment of the effect of its operations, however, this is up to the ICANN corporation to decide and implement. The results of such IAs should be incorporated in ICANN’s annual reporting.  </w:t>
            </w:r>
          </w:p>
        </w:tc>
      </w:tr>
      <w:tr>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31.2" w:lineRule="auto"/>
              <w:contextualSpacing w:val="0"/>
            </w:pPr>
            <w:r w:rsidDel="00000000" w:rsidR="00000000" w:rsidRPr="00000000">
              <w:rPr>
                <w:sz w:val="21"/>
                <w:szCs w:val="21"/>
                <w:highlight w:val="white"/>
                <w:rtl w:val="0"/>
              </w:rPr>
              <w:t xml:space="preserve">Consider what effect, if any, this Bylaw will have on ICANN’s</w:t>
            </w:r>
          </w:p>
          <w:p w:rsidR="00000000" w:rsidDel="00000000" w:rsidP="00000000" w:rsidRDefault="00000000" w:rsidRPr="00000000">
            <w:pPr>
              <w:spacing w:line="331.2" w:lineRule="auto"/>
              <w:contextualSpacing w:val="0"/>
            </w:pPr>
            <w:r w:rsidDel="00000000" w:rsidR="00000000" w:rsidRPr="00000000">
              <w:rPr>
                <w:sz w:val="21"/>
                <w:szCs w:val="21"/>
                <w:highlight w:val="white"/>
                <w:rtl w:val="0"/>
              </w:rPr>
              <w:t xml:space="preserve">consideration of advice given by the Governmental Advisory Committee</w:t>
            </w:r>
          </w:p>
          <w:p w:rsidR="00000000" w:rsidDel="00000000" w:rsidP="00000000" w:rsidRDefault="00000000" w:rsidRPr="00000000">
            <w:pPr>
              <w:spacing w:line="331.2" w:lineRule="auto"/>
              <w:contextualSpacing w:val="0"/>
            </w:pPr>
            <w:r w:rsidDel="00000000" w:rsidR="00000000" w:rsidRPr="00000000">
              <w:rPr>
                <w:sz w:val="21"/>
                <w:szCs w:val="21"/>
                <w:highlight w:val="white"/>
                <w:rtl w:val="0"/>
              </w:rPr>
              <w:t xml:space="preserve">(GAC)</w:t>
            </w:r>
          </w:p>
        </w:tc>
        <w:tc>
          <w:tcPr>
            <w:tcBorders>
              <w:top w:color="000000" w:space="0" w:sz="6" w:val="single"/>
              <w:left w:color="000000" w:space="0" w:sz="6" w:val="single"/>
              <w:bottom w:color="000000" w:space="0" w:sz="6" w:val="single"/>
              <w:right w:color="000000" w:space="0" w:sz="6" w:val="single"/>
            </w:tcBorders>
            <w:shd w:fill="ffffff"/>
            <w:tcMar>
              <w:top w:w="100.0" w:type="dxa"/>
              <w:left w:w="100.0" w:type="dxa"/>
              <w:bottom w:w="100.0" w:type="dxa"/>
              <w:right w:w="100.0" w:type="dxa"/>
            </w:tcMar>
          </w:tcPr>
          <w:p w:rsidR="00000000" w:rsidDel="00000000" w:rsidP="00000000" w:rsidRDefault="00000000" w:rsidRPr="00000000">
            <w:pPr>
              <w:spacing w:line="397.44" w:lineRule="auto"/>
              <w:contextualSpacing w:val="0"/>
            </w:pPr>
            <w:r w:rsidDel="00000000" w:rsidR="00000000" w:rsidRPr="00000000">
              <w:rPr>
                <w:rtl w:val="0"/>
              </w:rPr>
              <w:t xml:space="preserve">There are different Human Rights obligations for states and for non-state actors. The bylaw outlines ICANN’s core value to respect human rights, this does not change the obligation of governments to protect human rights. Consequently, there is no change to the status of GAC advice.</w:t>
            </w:r>
          </w:p>
        </w:tc>
      </w:tr>
    </w:tbl>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