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E4" w:rsidRPr="00D537D8" w:rsidRDefault="00E25DE4" w:rsidP="00E25DE4">
      <w:pPr>
        <w:spacing w:after="120"/>
        <w:rPr>
          <w:rFonts w:ascii="Arial" w:hAnsi="Arial" w:cs="Arial"/>
          <w:b/>
          <w:color w:val="000000"/>
        </w:rPr>
      </w:pPr>
      <w:r w:rsidRPr="00D537D8">
        <w:rPr>
          <w:rFonts w:ascii="Arial" w:hAnsi="Arial" w:cs="Arial"/>
          <w:b/>
          <w:bCs/>
          <w:color w:val="000000"/>
        </w:rPr>
        <w:t>تمهيد</w:t>
      </w:r>
    </w:p>
    <w:p w:rsidR="00E25DE4" w:rsidRPr="00D537D8" w:rsidRDefault="00E25DE4" w:rsidP="00E25DE4">
      <w:pPr>
        <w:spacing w:after="120"/>
        <w:rPr>
          <w:rFonts w:ascii="Arial" w:hAnsi="Arial" w:cs="Arial"/>
          <w:color w:val="000000"/>
        </w:rPr>
      </w:pPr>
      <w:r w:rsidRPr="00D537D8">
        <w:rPr>
          <w:rFonts w:ascii="Arial" w:hAnsi="Arial" w:cs="Arial"/>
          <w:color w:val="000000"/>
        </w:rPr>
        <w:t xml:space="preserve">أدت لوائح </w:t>
      </w:r>
      <w:r w:rsidRPr="00D537D8">
        <w:rPr>
          <w:rFonts w:ascii="Arial" w:hAnsi="Arial" w:cs="Arial"/>
          <w:color w:val="000000"/>
          <w:rtl w:val="0"/>
        </w:rPr>
        <w:t>ICANN</w:t>
      </w:r>
      <w:r w:rsidRPr="00D537D8">
        <w:rPr>
          <w:rFonts w:ascii="Arial" w:hAnsi="Arial" w:cs="Arial"/>
          <w:color w:val="000000"/>
        </w:rPr>
        <w:t xml:space="preserve"> الداخلية التي تم اعتمادها حديثًا إلى إنشاء العديد من مجموعات العمل الفرعية المعنية بالمساءلة في مسار العمل 2. ومن بينها، مجموعة العمل الفرعية حول الاختصاص القضائي، وهي تطرح الأسئلة التالية من أجل الحصول على تعقيبات وإسهامات المجتمع داخل مداولات المجموعة الفرعية.</w:t>
      </w:r>
    </w:p>
    <w:p w:rsidR="00E25DE4" w:rsidRPr="00D537D8" w:rsidRDefault="00E25DE4" w:rsidP="00E25DE4">
      <w:pPr>
        <w:spacing w:after="120"/>
        <w:rPr>
          <w:rFonts w:ascii="Arial" w:hAnsi="Arial" w:cs="Arial"/>
          <w:color w:val="000000"/>
        </w:rPr>
      </w:pPr>
      <w:r w:rsidRPr="00D537D8">
        <w:rPr>
          <w:rFonts w:ascii="Arial" w:hAnsi="Arial" w:cs="Arial"/>
          <w:color w:val="000000"/>
        </w:rPr>
        <w:t xml:space="preserve">ووفقًا لما جاء من توجيهات في </w:t>
      </w:r>
      <w:hyperlink r:id="rId7" w:anchor="article27">
        <w:r w:rsidRPr="00D537D8">
          <w:rPr>
            <w:rStyle w:val="Hyperlink"/>
            <w:rFonts w:ascii="Arial" w:hAnsi="Arial" w:cs="Arial"/>
          </w:rPr>
          <w:t>المادة 27 من اللائحة الداخلية، القسم 27.1(ب)(6)</w:t>
        </w:r>
      </w:hyperlink>
      <w:r w:rsidRPr="00D537D8">
        <w:rPr>
          <w:rFonts w:ascii="Arial" w:hAnsi="Arial" w:cs="Arial"/>
          <w:color w:val="000000"/>
        </w:rPr>
        <w:t xml:space="preserve"> وإلى أقصى ما تم النص عليه في </w:t>
      </w:r>
      <w:hyperlink r:id="rId8">
        <w:r w:rsidRPr="00D537D8">
          <w:rPr>
            <w:rFonts w:ascii="Arial" w:hAnsi="Arial" w:cs="Arial"/>
            <w:color w:val="0000FF"/>
            <w:u w:val="single"/>
          </w:rPr>
          <w:t>التقرير النهائي</w:t>
        </w:r>
      </w:hyperlink>
      <w:r w:rsidRPr="00D537D8">
        <w:rPr>
          <w:rFonts w:ascii="Arial" w:hAnsi="Arial" w:cs="Arial"/>
        </w:rPr>
        <w:t> لمجموعة عمل المجتمعات المتعددة المعنية بالمساءلة،</w:t>
      </w:r>
      <w:r w:rsidRPr="00D537D8">
        <w:rPr>
          <w:rStyle w:val="FootnoteReference"/>
          <w:rFonts w:ascii="Arial" w:hAnsi="Arial" w:cs="Arial"/>
          <w:color w:val="000000"/>
          <w:rtl w:val="0"/>
        </w:rPr>
        <w:footnoteReference w:id="1"/>
      </w:r>
      <w:r w:rsidRPr="00D537D8">
        <w:rPr>
          <w:rFonts w:ascii="Arial" w:hAnsi="Arial" w:cs="Arial"/>
          <w:color w:val="000000"/>
        </w:rPr>
        <w:t xml:space="preserve"> تتناول المجموعة الفرعية المعنية بالاختصاص القضائي الأسئلة ذات الصلة باختصاص </w:t>
      </w:r>
      <w:r w:rsidRPr="00D537D8">
        <w:rPr>
          <w:rFonts w:ascii="Arial" w:hAnsi="Arial" w:cs="Arial"/>
          <w:color w:val="000000"/>
          <w:rtl w:val="0"/>
        </w:rPr>
        <w:t>ICANN</w:t>
      </w:r>
      <w:r w:rsidRPr="00D537D8">
        <w:rPr>
          <w:rFonts w:ascii="Arial" w:hAnsi="Arial" w:cs="Arial"/>
          <w:color w:val="000000"/>
        </w:rPr>
        <w:t>،</w:t>
      </w:r>
      <w:r w:rsidRPr="00D537D8">
        <w:rPr>
          <w:rStyle w:val="FootnoteReference"/>
          <w:rFonts w:ascii="Arial" w:hAnsi="Arial" w:cs="Arial"/>
          <w:color w:val="000000"/>
          <w:rtl w:val="0"/>
        </w:rPr>
        <w:footnoteReference w:customMarkFollows="1" w:id="2"/>
        <w:t>*</w:t>
      </w:r>
      <w:r w:rsidRPr="00D537D8">
        <w:rPr>
          <w:rFonts w:ascii="Arial" w:hAnsi="Arial" w:cs="Arial"/>
          <w:color w:val="000000"/>
        </w:rPr>
        <w:t xml:space="preserve"> ويشمل ذلك كيفية تأثير اختيار الاختصاص القضائي والقوانين المرعية لتسوية النزاعات على مساءلة </w:t>
      </w:r>
      <w:r w:rsidRPr="00D537D8">
        <w:rPr>
          <w:rFonts w:ascii="Arial" w:hAnsi="Arial" w:cs="Arial"/>
          <w:color w:val="000000"/>
          <w:rtl w:val="0"/>
        </w:rPr>
        <w:t>ICANN</w:t>
      </w:r>
      <w:r w:rsidRPr="00D537D8">
        <w:rPr>
          <w:rFonts w:ascii="Arial" w:hAnsi="Arial" w:cs="Arial"/>
          <w:color w:val="000000"/>
        </w:rPr>
        <w:t xml:space="preserve"> والعمل الفعل للسياسات.</w:t>
      </w:r>
    </w:p>
    <w:p w:rsidR="00E25DE4" w:rsidRPr="00D537D8" w:rsidRDefault="00E25DE4" w:rsidP="00E25DE4">
      <w:pPr>
        <w:spacing w:after="120"/>
        <w:rPr>
          <w:rFonts w:ascii="Arial" w:hAnsi="Arial" w:cs="Arial"/>
          <w:color w:val="000000"/>
        </w:rPr>
      </w:pPr>
      <w:r w:rsidRPr="00D537D8">
        <w:rPr>
          <w:rFonts w:ascii="Arial" w:hAnsi="Arial" w:cs="Arial"/>
          <w:color w:val="000000"/>
        </w:rPr>
        <w:t>ولمساعدة المجموعة الفرعية في هذه المحاولات فإننا نطلب منكم النظر في الرد في الأسئلة النوعية التالية. في هذا الشأن، تطلب المجموعة الفرعية إجابات واضحة وواقعية (بالإيجاب أو النفي أو الحيادية) بما يساعد على ضمان الاستنارة بهذه الإجابات في مداولات المجموعة الفرعية وأنا تكون مستندة إلى حقائق وتتناول مشكلات فعلية. كما أن المجموعة الفرعية معنية بكافة أنواع الخبرات الفعلية ذات الصلة بالاختصاص القضائي، وليس فقط الخبرات التي تنطوي على نزاعات فعلية/قضايا أمام المحاكم.</w:t>
      </w:r>
    </w:p>
    <w:p w:rsidR="00E25DE4" w:rsidRPr="00D537D8" w:rsidRDefault="00E25DE4" w:rsidP="00E25DE4">
      <w:pPr>
        <w:pStyle w:val="BodyText"/>
        <w:spacing w:after="120"/>
        <w:ind w:firstLine="0"/>
        <w:rPr>
          <w:rFonts w:ascii="Arial" w:hAnsi="Arial" w:cs="Arial"/>
        </w:rPr>
      </w:pPr>
      <w:r w:rsidRPr="00D537D8">
        <w:rPr>
          <w:rFonts w:ascii="Arial" w:hAnsi="Arial" w:cs="Arial"/>
          <w:b/>
          <w:bCs/>
        </w:rPr>
        <w:t>1.</w:t>
      </w:r>
      <w:r w:rsidRPr="00D537D8">
        <w:rPr>
          <w:rFonts w:ascii="Arial" w:hAnsi="Arial" w:cs="Arial"/>
        </w:rPr>
        <w:tab/>
      </w:r>
      <w:r w:rsidRPr="00D537D8">
        <w:rPr>
          <w:rFonts w:ascii="Arial" w:hAnsi="Arial" w:cs="Arial"/>
          <w:color w:val="000000"/>
        </w:rPr>
        <w:t xml:space="preserve">هل تأثرت أعمالك أو خصوصيتك أو قدرتك على استخدام أو شراء الخدمات ذات الصلة بأسماء النطاقات بسبب اختصاص </w:t>
      </w:r>
      <w:r w:rsidRPr="00D537D8">
        <w:rPr>
          <w:rFonts w:ascii="Arial" w:hAnsi="Arial" w:cs="Arial"/>
          <w:color w:val="000000"/>
          <w:rtl w:val="0"/>
        </w:rPr>
        <w:t>ICANN</w:t>
      </w:r>
      <w:r w:rsidRPr="00D537D8">
        <w:rPr>
          <w:rFonts w:ascii="Arial" w:hAnsi="Arial" w:cs="Arial"/>
          <w:color w:val="000000"/>
        </w:rPr>
        <w:t xml:space="preserve"> القضائي* بأي شكل من الأشكال؟</w:t>
      </w:r>
    </w:p>
    <w:p w:rsidR="00E25DE4" w:rsidRPr="00D537D8" w:rsidRDefault="00E25DE4" w:rsidP="00E25DE4">
      <w:pPr>
        <w:pStyle w:val="BodyText"/>
        <w:ind w:firstLine="0"/>
        <w:rPr>
          <w:rFonts w:ascii="Arial" w:eastAsia="Arabic Transparent" w:hAnsi="Arial" w:cs="Arial"/>
          <w:color w:val="000000"/>
        </w:rPr>
      </w:pPr>
      <w:r w:rsidRPr="00D537D8">
        <w:rPr>
          <w:rFonts w:ascii="Arial" w:hAnsi="Arial" w:cs="Arial"/>
          <w:color w:val="000000"/>
        </w:rPr>
        <w:t>إذا كانت الإجابة بنعم، برجاء وصف الحالات الخاصة أو المواقف أو الأحداث، بما في ذلك التاريخ والأطراف المعنية، وروابط لأي من المستندات ذات الصلة. برجاء ملاحظة أن كلمة "تأثرت" قد تشير إلى التأثيرات الإيجابية و/أو السلبية.</w:t>
      </w:r>
    </w:p>
    <w:p w:rsidR="00E25DE4" w:rsidRPr="00D537D8" w:rsidRDefault="00E25DE4" w:rsidP="00E25DE4">
      <w:pPr>
        <w:pStyle w:val="BodyText"/>
        <w:spacing w:after="120"/>
        <w:ind w:firstLine="0"/>
        <w:rPr>
          <w:rFonts w:ascii="Arial" w:hAnsi="Arial" w:cs="Arial"/>
        </w:rPr>
      </w:pPr>
      <w:r w:rsidRPr="00D537D8">
        <w:rPr>
          <w:rFonts w:ascii="Arial" w:hAnsi="Arial" w:cs="Arial"/>
          <w:b/>
          <w:bCs/>
          <w:color w:val="000000"/>
        </w:rPr>
        <w:t>2.</w:t>
      </w:r>
      <w:r w:rsidRPr="00D537D8">
        <w:rPr>
          <w:rFonts w:ascii="Arial" w:hAnsi="Arial" w:cs="Arial"/>
        </w:rPr>
        <w:tab/>
        <w:t xml:space="preserve">هل أثرت المنطقة أو الاختصاص القضائي لـ </w:t>
      </w:r>
      <w:r w:rsidRPr="00D537D8">
        <w:rPr>
          <w:rFonts w:ascii="Arial" w:hAnsi="Arial" w:cs="Arial"/>
          <w:rtl w:val="0"/>
        </w:rPr>
        <w:t>ICANN</w:t>
      </w:r>
      <w:r w:rsidRPr="00D537D8">
        <w:rPr>
          <w:rFonts w:ascii="Arial" w:hAnsi="Arial" w:cs="Arial"/>
        </w:rPr>
        <w:t xml:space="preserve"> على أي عملية لفض المنازعات أو التقاضي ذات الصلة بأسماء النطاقات التي كنت مشارك فيها؟</w:t>
      </w:r>
    </w:p>
    <w:p w:rsidR="00E25DE4" w:rsidRPr="00D537D8" w:rsidRDefault="00E25DE4" w:rsidP="00E25DE4">
      <w:pPr>
        <w:pStyle w:val="BodyText"/>
        <w:ind w:firstLine="0"/>
        <w:rPr>
          <w:rFonts w:ascii="Arial" w:hAnsi="Arial" w:cs="Arial"/>
        </w:rPr>
      </w:pPr>
      <w:r w:rsidRPr="00D537D8">
        <w:rPr>
          <w:rFonts w:ascii="Arial" w:hAnsi="Arial" w:cs="Arial"/>
        </w:rPr>
        <w:t>إذا كانت الإجابة بنعم، برجاء وصف الحالات الخاصة أو المواقف أو الأحداث، بما في ذلك التاريخ والأطراف المعنية، وروابط لأي من المستندات ذات الصلة. برجاء ملاحظة أن كلمة "تأثر</w:t>
      </w:r>
      <w:bookmarkStart w:id="0" w:name="_GoBack"/>
      <w:bookmarkEnd w:id="0"/>
      <w:r w:rsidRPr="00D537D8">
        <w:rPr>
          <w:rFonts w:ascii="Arial" w:hAnsi="Arial" w:cs="Arial"/>
        </w:rPr>
        <w:t>ت" قد تشير إلى التأثيرات الإيجابية و/أو السلبية.</w:t>
      </w:r>
    </w:p>
    <w:p w:rsidR="00E25DE4" w:rsidRPr="00D537D8" w:rsidRDefault="00E25DE4" w:rsidP="00E25DE4">
      <w:pPr>
        <w:pStyle w:val="BodyText"/>
        <w:spacing w:after="120"/>
        <w:ind w:firstLine="0"/>
        <w:rPr>
          <w:rFonts w:ascii="Arial" w:eastAsia="Arabic Transparent" w:hAnsi="Arial" w:cs="Arial"/>
          <w:color w:val="000000"/>
        </w:rPr>
      </w:pPr>
      <w:r w:rsidRPr="00D537D8">
        <w:rPr>
          <w:rFonts w:ascii="Arial" w:hAnsi="Arial" w:cs="Arial"/>
          <w:b/>
          <w:bCs/>
        </w:rPr>
        <w:t>3.</w:t>
      </w:r>
      <w:r w:rsidRPr="00D537D8">
        <w:rPr>
          <w:rFonts w:ascii="Arial" w:hAnsi="Arial" w:cs="Arial"/>
        </w:rPr>
        <w:tab/>
      </w:r>
      <w:r w:rsidRPr="00D537D8">
        <w:rPr>
          <w:rFonts w:ascii="Arial" w:hAnsi="Arial" w:cs="Arial"/>
          <w:color w:val="000000"/>
        </w:rPr>
        <w:t>هل لديك نسخ و/أو روابط لأي من التقارير القابلة للتحقيق حول خبرات وتجارب الأطراف الأخرى قد تجيب على الأسئلة الواردة أعلاه؟ إذا كانت الإجابة "نعم"، فالرجاء إضافة هذه النسخ و/أو الروابط.</w:t>
      </w:r>
    </w:p>
    <w:p w:rsidR="00E25DE4" w:rsidRPr="00D537D8" w:rsidRDefault="00E25DE4" w:rsidP="00E25DE4">
      <w:pPr>
        <w:pStyle w:val="BodyText"/>
        <w:ind w:firstLine="0"/>
        <w:rPr>
          <w:rFonts w:ascii="Arial" w:eastAsia="Arabic Transparent" w:hAnsi="Arial" w:cs="Arial"/>
          <w:b/>
          <w:color w:val="000000"/>
        </w:rPr>
      </w:pPr>
      <w:r w:rsidRPr="00D537D8">
        <w:rPr>
          <w:rFonts w:ascii="Arial" w:hAnsi="Arial" w:cs="Arial"/>
          <w:b/>
          <w:bCs/>
          <w:color w:val="000000"/>
        </w:rPr>
        <w:t>4.</w:t>
      </w:r>
      <w:r w:rsidRPr="00D537D8">
        <w:rPr>
          <w:rFonts w:ascii="Arial" w:hAnsi="Arial" w:cs="Arial"/>
        </w:rPr>
        <w:tab/>
      </w:r>
      <w:r w:rsidRPr="00D537D8">
        <w:rPr>
          <w:rFonts w:ascii="Arial" w:hAnsi="Arial" w:cs="Arial"/>
          <w:b/>
          <w:bCs/>
          <w:color w:val="000000"/>
        </w:rPr>
        <w:t>أ.</w:t>
      </w:r>
      <w:r w:rsidRPr="00D537D8">
        <w:rPr>
          <w:rFonts w:ascii="Arial" w:hAnsi="Arial" w:cs="Arial"/>
        </w:rPr>
        <w:t xml:space="preserve"> هل أنت على علم بأي مثال (أمثلة) مادية موثقة تعذر فيها على </w:t>
      </w:r>
      <w:r w:rsidRPr="00D537D8">
        <w:rPr>
          <w:rFonts w:ascii="Arial" w:hAnsi="Arial" w:cs="Arial"/>
          <w:rtl w:val="0"/>
        </w:rPr>
        <w:t>ICANN</w:t>
      </w:r>
      <w:r w:rsidRPr="00D537D8">
        <w:rPr>
          <w:rFonts w:ascii="Arial" w:hAnsi="Arial" w:cs="Arial"/>
        </w:rPr>
        <w:t xml:space="preserve"> متابعة مهمتها بسبب مكان عملها أو الولاية القضائية التي تعمل فيها؟* إذا كان الأمر كذلك، برجاء توفير الوثائق.</w:t>
      </w:r>
    </w:p>
    <w:p w:rsidR="00A677EF" w:rsidRPr="00D537D8" w:rsidRDefault="00E25DE4" w:rsidP="00E25DE4">
      <w:pPr>
        <w:pStyle w:val="BodyText"/>
        <w:ind w:firstLine="0"/>
        <w:rPr>
          <w:rFonts w:ascii="Arial" w:hAnsi="Arial" w:cs="Arial"/>
        </w:rPr>
      </w:pPr>
      <w:r w:rsidRPr="00D537D8">
        <w:rPr>
          <w:rFonts w:ascii="Arial" w:hAnsi="Arial" w:cs="Arial"/>
        </w:rPr>
        <w:tab/>
        <w:t xml:space="preserve">ب. هل أنت على دراية وقدرة على توثيق وجود ولاية قضائية بديلة لن تُمنع </w:t>
      </w:r>
      <w:r w:rsidRPr="00D537D8">
        <w:rPr>
          <w:rFonts w:ascii="Arial" w:hAnsi="Arial" w:cs="Arial"/>
          <w:rtl w:val="0"/>
        </w:rPr>
        <w:t>ICANN</w:t>
      </w:r>
      <w:r w:rsidRPr="00D537D8">
        <w:rPr>
          <w:rFonts w:ascii="Arial" w:hAnsi="Arial" w:cs="Arial"/>
        </w:rPr>
        <w:t xml:space="preserve"> فيها من متابعة مهمتها فيها؟ إذا كان الأمر كذلك، برجاء توفير الوثائق. </w:t>
      </w:r>
    </w:p>
    <w:sectPr w:rsidR="00A677EF" w:rsidRPr="00D537D8" w:rsidSect="00B9771E">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AE" w:rsidRDefault="00E62DAE" w:rsidP="00B50466">
      <w:r>
        <w:separator/>
      </w:r>
    </w:p>
  </w:endnote>
  <w:endnote w:type="continuationSeparator" w:id="0">
    <w:p w:rsidR="00E62DAE" w:rsidRDefault="00E62DAE" w:rsidP="00B5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ransparent">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6B" w:rsidRDefault="00EB296B">
    <w:pPr>
      <w:pStyle w:val="Footer"/>
    </w:pPr>
  </w:p>
  <w:p w:rsidR="00EB296B" w:rsidRDefault="00C96DF1" w:rsidP="002F27DC">
    <w:pPr>
      <w:pStyle w:val="Footer"/>
    </w:pPr>
    <w:r>
      <w:fldChar w:fldCharType="begin"/>
    </w:r>
    <w:r>
      <w:rPr>
        <w:rFonts w:cs="Times New Roman"/>
      </w:rPr>
      <w:instrText xml:space="preserve"> </w:instrText>
    </w:r>
    <w:r>
      <w:rPr>
        <w:rtl w:val="0"/>
      </w:rPr>
      <w:instrText>DOCPROPERTY "SWDocID"  \* MERGEFORMAT</w:instrText>
    </w:r>
    <w:r>
      <w:rPr>
        <w:rFonts w:cs="Times New Roman"/>
      </w:rPr>
      <w:instrText xml:space="preserve"> </w:instrText>
    </w:r>
    <w:r>
      <w:fldChar w:fldCharType="separate"/>
    </w:r>
    <w:r w:rsidRPr="00C96DF1">
      <w:rPr>
        <w:sz w:val="16"/>
        <w:rtl w:val="0"/>
      </w:rPr>
      <w:t>ME1 24013371v.2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6B" w:rsidRDefault="00EB296B">
    <w:pPr>
      <w:pStyle w:val="Footer"/>
    </w:pPr>
  </w:p>
  <w:p w:rsidR="00EB296B" w:rsidRPr="00D537D8" w:rsidRDefault="00C96DF1" w:rsidP="002F27DC">
    <w:pPr>
      <w:pStyle w:val="Footer"/>
      <w:rPr>
        <w:rFonts w:ascii="Arial" w:hAnsi="Arial" w:cs="Arial"/>
      </w:rPr>
    </w:pPr>
    <w:r w:rsidRPr="00D537D8">
      <w:rPr>
        <w:rFonts w:ascii="Arial" w:hAnsi="Arial" w:cs="Arial"/>
      </w:rPr>
      <w:fldChar w:fldCharType="begin"/>
    </w:r>
    <w:r w:rsidRPr="00D537D8">
      <w:rPr>
        <w:rFonts w:ascii="Arial" w:hAnsi="Arial" w:cs="Arial"/>
      </w:rPr>
      <w:instrText xml:space="preserve"> </w:instrText>
    </w:r>
    <w:r w:rsidRPr="00D537D8">
      <w:rPr>
        <w:rFonts w:ascii="Arial" w:hAnsi="Arial" w:cs="Arial"/>
        <w:rtl w:val="0"/>
      </w:rPr>
      <w:instrText>DOCPROPERTY "SWDocID"  \* MERGEFORMAT</w:instrText>
    </w:r>
    <w:r w:rsidRPr="00D537D8">
      <w:rPr>
        <w:rFonts w:ascii="Arial" w:hAnsi="Arial" w:cs="Arial"/>
      </w:rPr>
      <w:instrText xml:space="preserve"> </w:instrText>
    </w:r>
    <w:r w:rsidRPr="00D537D8">
      <w:rPr>
        <w:rFonts w:ascii="Arial" w:hAnsi="Arial" w:cs="Arial"/>
      </w:rPr>
      <w:fldChar w:fldCharType="separate"/>
    </w:r>
    <w:r>
      <w:rPr>
        <w:rFonts w:ascii="Arial" w:hAnsi="Arial" w:cs="Arial"/>
        <w:rtl w:val="0"/>
      </w:rPr>
      <w:t>ME1 24013371v.2</w:t>
    </w:r>
    <w:r w:rsidRPr="00D537D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AE" w:rsidRDefault="00E62DAE" w:rsidP="00B50466">
      <w:r>
        <w:separator/>
      </w:r>
    </w:p>
  </w:footnote>
  <w:footnote w:type="continuationSeparator" w:id="0">
    <w:p w:rsidR="00E62DAE" w:rsidRDefault="00E62DAE" w:rsidP="00B50466">
      <w:r>
        <w:continuationSeparator/>
      </w:r>
    </w:p>
  </w:footnote>
  <w:footnote w:id="1">
    <w:p w:rsidR="00E25DE4" w:rsidRPr="00CB5AF6" w:rsidRDefault="00E25DE4" w:rsidP="001C0D9F">
      <w:pPr>
        <w:pStyle w:val="FootnoteText"/>
        <w:spacing w:after="120"/>
        <w:rPr>
          <w:sz w:val="22"/>
          <w:szCs w:val="22"/>
        </w:rPr>
      </w:pPr>
      <w:r>
        <w:rPr>
          <w:rStyle w:val="FootnoteReference"/>
          <w:sz w:val="22"/>
          <w:rtl w:val="0"/>
        </w:rPr>
        <w:footnoteRef/>
      </w:r>
      <w:r>
        <w:rPr>
          <w:rFonts w:cs="Times New Roman"/>
          <w:sz w:val="22"/>
          <w:szCs w:val="22"/>
        </w:rPr>
        <w:t xml:space="preserve"> انظر التقرير الرئيسي لمجموعة عمل المجتمعات المتعددة المعنية بالمساءلة، الفقرة </w:t>
      </w:r>
      <w:r>
        <w:rPr>
          <w:sz w:val="22"/>
          <w:szCs w:val="22"/>
        </w:rPr>
        <w:t xml:space="preserve">6 </w:t>
      </w:r>
      <w:r>
        <w:rPr>
          <w:rFonts w:cs="Times New Roman"/>
          <w:sz w:val="22"/>
          <w:szCs w:val="22"/>
        </w:rPr>
        <w:t>و</w:t>
      </w:r>
      <w:r>
        <w:rPr>
          <w:sz w:val="22"/>
          <w:szCs w:val="22"/>
        </w:rPr>
        <w:t xml:space="preserve">234 </w:t>
      </w:r>
      <w:r>
        <w:rPr>
          <w:rFonts w:cs="Times New Roman"/>
          <w:sz w:val="22"/>
          <w:szCs w:val="22"/>
        </w:rPr>
        <w:t xml:space="preserve">والملحق </w:t>
      </w:r>
      <w:r>
        <w:rPr>
          <w:sz w:val="22"/>
          <w:szCs w:val="22"/>
        </w:rPr>
        <w:t>12</w:t>
      </w:r>
      <w:r>
        <w:rPr>
          <w:rFonts w:cs="Times New Roman"/>
          <w:sz w:val="22"/>
          <w:szCs w:val="22"/>
        </w:rPr>
        <w:t xml:space="preserve">، الفقرة </w:t>
      </w:r>
      <w:r>
        <w:rPr>
          <w:sz w:val="22"/>
          <w:szCs w:val="22"/>
        </w:rPr>
        <w:t xml:space="preserve">25 </w:t>
      </w:r>
      <w:r>
        <w:rPr>
          <w:rFonts w:cs="Times New Roman"/>
          <w:sz w:val="22"/>
          <w:szCs w:val="22"/>
        </w:rPr>
        <w:t xml:space="preserve">إلى </w:t>
      </w:r>
      <w:r>
        <w:rPr>
          <w:sz w:val="22"/>
          <w:szCs w:val="22"/>
        </w:rPr>
        <w:t>31.</w:t>
      </w:r>
    </w:p>
  </w:footnote>
  <w:footnote w:id="2">
    <w:p w:rsidR="001C0D9F" w:rsidRDefault="001C0D9F">
      <w:pPr>
        <w:pStyle w:val="FootnoteText"/>
      </w:pPr>
      <w:r>
        <w:rPr>
          <w:rStyle w:val="FootnoteReference"/>
        </w:rPr>
        <w:t>*</w:t>
      </w:r>
      <w:r>
        <w:t xml:space="preserve"> </w:t>
      </w:r>
      <w:r>
        <w:rPr>
          <w:rFonts w:cs="Times New Roman"/>
          <w:sz w:val="22"/>
          <w:szCs w:val="22"/>
        </w:rPr>
        <w:t xml:space="preserve">وبالنسبة لهذا الاستبيان، يشير </w:t>
      </w:r>
      <w:r>
        <w:rPr>
          <w:sz w:val="22"/>
          <w:szCs w:val="22"/>
        </w:rPr>
        <w:t>"</w:t>
      </w:r>
      <w:r>
        <w:rPr>
          <w:rFonts w:cs="Times New Roman"/>
          <w:sz w:val="22"/>
          <w:szCs w:val="22"/>
        </w:rPr>
        <w:t xml:space="preserve">اختصاص </w:t>
      </w:r>
      <w:r>
        <w:rPr>
          <w:sz w:val="22"/>
          <w:rtl w:val="0"/>
        </w:rPr>
        <w:t>ICANN</w:t>
      </w:r>
      <w:r>
        <w:rPr>
          <w:rFonts w:cs="Times New Roman"/>
          <w:sz w:val="22"/>
          <w:szCs w:val="22"/>
        </w:rPr>
        <w:t xml:space="preserve"> القضائي</w:t>
      </w:r>
      <w:r>
        <w:rPr>
          <w:sz w:val="22"/>
          <w:szCs w:val="22"/>
        </w:rPr>
        <w:t xml:space="preserve">" </w:t>
      </w:r>
      <w:r>
        <w:rPr>
          <w:rFonts w:cs="Times New Roman"/>
          <w:sz w:val="22"/>
          <w:szCs w:val="22"/>
        </w:rPr>
        <w:t xml:space="preserve">إلى أن </w:t>
      </w:r>
      <w:r>
        <w:rPr>
          <w:sz w:val="22"/>
          <w:szCs w:val="22"/>
        </w:rPr>
        <w:t>(</w:t>
      </w:r>
      <w:r>
        <w:rPr>
          <w:rFonts w:cs="Times New Roman"/>
          <w:sz w:val="22"/>
          <w:szCs w:val="22"/>
        </w:rPr>
        <w:t>أ</w:t>
      </w:r>
      <w:r>
        <w:rPr>
          <w:sz w:val="22"/>
          <w:szCs w:val="22"/>
        </w:rPr>
        <w:t xml:space="preserve">) </w:t>
      </w:r>
      <w:r>
        <w:rPr>
          <w:sz w:val="22"/>
          <w:rtl w:val="0"/>
        </w:rPr>
        <w:t>ICANN</w:t>
      </w:r>
      <w:r>
        <w:rPr>
          <w:rFonts w:cs="Times New Roman"/>
          <w:sz w:val="22"/>
          <w:szCs w:val="22"/>
        </w:rPr>
        <w:t xml:space="preserve"> خاضعة للقوانين الأمريكية وقوانين ولاية كاليفورنيا نتيجة لتأسيسها وموقعها الكائن في كاليفورنيا، أو </w:t>
      </w:r>
      <w:r>
        <w:rPr>
          <w:sz w:val="22"/>
          <w:szCs w:val="22"/>
        </w:rPr>
        <w:t>(</w:t>
      </w:r>
      <w:r>
        <w:rPr>
          <w:rFonts w:cs="Times New Roman"/>
          <w:sz w:val="22"/>
          <w:szCs w:val="22"/>
        </w:rPr>
        <w:t>ب</w:t>
      </w:r>
      <w:r>
        <w:rPr>
          <w:sz w:val="22"/>
          <w:szCs w:val="22"/>
        </w:rPr>
        <w:t xml:space="preserve">) </w:t>
      </w:r>
      <w:r>
        <w:rPr>
          <w:rFonts w:cs="Times New Roman"/>
          <w:sz w:val="22"/>
          <w:szCs w:val="22"/>
        </w:rPr>
        <w:t xml:space="preserve">تخضع </w:t>
      </w:r>
      <w:r>
        <w:rPr>
          <w:sz w:val="22"/>
          <w:rtl w:val="0"/>
        </w:rPr>
        <w:t>ICANN</w:t>
      </w:r>
      <w:r>
        <w:rPr>
          <w:rFonts w:cs="Times New Roman"/>
          <w:sz w:val="22"/>
          <w:szCs w:val="22"/>
        </w:rPr>
        <w:t xml:space="preserve"> لقوانين أية دولة أخرى نتيجة موقعها داخل تلك الدولة أو اتصالها بها، أو </w:t>
      </w:r>
      <w:r>
        <w:rPr>
          <w:sz w:val="22"/>
          <w:szCs w:val="22"/>
        </w:rPr>
        <w:t>(</w:t>
      </w:r>
      <w:r>
        <w:rPr>
          <w:rFonts w:cs="Times New Roman"/>
          <w:sz w:val="22"/>
          <w:szCs w:val="22"/>
        </w:rPr>
        <w:t>ج</w:t>
      </w:r>
      <w:r>
        <w:rPr>
          <w:sz w:val="22"/>
          <w:szCs w:val="22"/>
        </w:rPr>
        <w:t xml:space="preserve">) </w:t>
      </w:r>
      <w:r>
        <w:rPr>
          <w:rFonts w:cs="Times New Roman"/>
          <w:sz w:val="22"/>
          <w:szCs w:val="22"/>
        </w:rPr>
        <w:t xml:space="preserve">أي أحكام تخص </w:t>
      </w:r>
      <w:r>
        <w:rPr>
          <w:sz w:val="22"/>
          <w:szCs w:val="22"/>
        </w:rPr>
        <w:t>"</w:t>
      </w:r>
      <w:r>
        <w:rPr>
          <w:rFonts w:cs="Times New Roman"/>
          <w:sz w:val="22"/>
          <w:szCs w:val="22"/>
        </w:rPr>
        <w:t>اختيار للقوانين</w:t>
      </w:r>
      <w:r>
        <w:rPr>
          <w:sz w:val="22"/>
          <w:szCs w:val="22"/>
        </w:rPr>
        <w:t xml:space="preserve">" </w:t>
      </w:r>
      <w:r>
        <w:rPr>
          <w:rFonts w:cs="Times New Roman"/>
          <w:sz w:val="22"/>
          <w:szCs w:val="22"/>
        </w:rPr>
        <w:t xml:space="preserve">أو مكان التحكيم في الاتفاقيات المبرمة مع </w:t>
      </w:r>
      <w:r>
        <w:rPr>
          <w:sz w:val="22"/>
          <w:rtl w:val="0"/>
        </w:rPr>
        <w:t>ICANN</w:t>
      </w:r>
      <w:r>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1E" w:rsidRPr="00D537D8" w:rsidRDefault="00B9771E" w:rsidP="00B9771E">
    <w:pPr>
      <w:pStyle w:val="Header"/>
      <w:spacing w:after="120"/>
      <w:rPr>
        <w:rFonts w:ascii="Arial" w:hAnsi="Arial" w:cs="Arial"/>
      </w:rPr>
    </w:pPr>
    <w:r w:rsidRPr="00D537D8">
      <w:rPr>
        <w:rFonts w:ascii="Arial" w:hAnsi="Arial" w:cs="Arial"/>
        <w:b/>
        <w:bCs/>
      </w:rPr>
      <w:t>استبيان مجموعة الاختصاص القضائي الفرعية، مسار العمل 2 لمجموعة عمل المجتمعات المتعددة المعنية بالمساءلة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434B5C"/>
    <w:rsid w:val="00005A89"/>
    <w:rsid w:val="00014E13"/>
    <w:rsid w:val="00017AF5"/>
    <w:rsid w:val="00045295"/>
    <w:rsid w:val="0011144F"/>
    <w:rsid w:val="001272AF"/>
    <w:rsid w:val="001439AD"/>
    <w:rsid w:val="001C0D9F"/>
    <w:rsid w:val="00222373"/>
    <w:rsid w:val="002D3C8E"/>
    <w:rsid w:val="002E6E38"/>
    <w:rsid w:val="002F27DC"/>
    <w:rsid w:val="0030695F"/>
    <w:rsid w:val="003516D0"/>
    <w:rsid w:val="00356F41"/>
    <w:rsid w:val="003B7101"/>
    <w:rsid w:val="003E01DB"/>
    <w:rsid w:val="00434B5C"/>
    <w:rsid w:val="00524E12"/>
    <w:rsid w:val="005E7538"/>
    <w:rsid w:val="005F44C5"/>
    <w:rsid w:val="00673952"/>
    <w:rsid w:val="006E2528"/>
    <w:rsid w:val="007343D0"/>
    <w:rsid w:val="00747843"/>
    <w:rsid w:val="00784EC2"/>
    <w:rsid w:val="00795C8B"/>
    <w:rsid w:val="007A1937"/>
    <w:rsid w:val="007A238E"/>
    <w:rsid w:val="007A5DDE"/>
    <w:rsid w:val="007C30E8"/>
    <w:rsid w:val="007C420D"/>
    <w:rsid w:val="007C5559"/>
    <w:rsid w:val="00801EC3"/>
    <w:rsid w:val="00826C99"/>
    <w:rsid w:val="00885D43"/>
    <w:rsid w:val="00907F2B"/>
    <w:rsid w:val="0094719D"/>
    <w:rsid w:val="00A46900"/>
    <w:rsid w:val="00A677EF"/>
    <w:rsid w:val="00AC2500"/>
    <w:rsid w:val="00AF7749"/>
    <w:rsid w:val="00B3121A"/>
    <w:rsid w:val="00B50466"/>
    <w:rsid w:val="00B9771E"/>
    <w:rsid w:val="00BA6BDB"/>
    <w:rsid w:val="00C04B04"/>
    <w:rsid w:val="00C25B0E"/>
    <w:rsid w:val="00C43405"/>
    <w:rsid w:val="00C96DF1"/>
    <w:rsid w:val="00D07C41"/>
    <w:rsid w:val="00D537D8"/>
    <w:rsid w:val="00D85A86"/>
    <w:rsid w:val="00E05EA1"/>
    <w:rsid w:val="00E25DE4"/>
    <w:rsid w:val="00E62DAE"/>
    <w:rsid w:val="00E87F72"/>
    <w:rsid w:val="00EB296B"/>
    <w:rsid w:val="00F23E27"/>
    <w:rsid w:val="00F82392"/>
    <w:rsid w:val="00FE3B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D411790A-06F6-431E-A60B-EAA0CA53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ransparent" w:eastAsia="Arabic Transparent" w:hAnsi="Arabic Transparent" w:cs="Arabic Transparent"/>
        <w:lang w:val="en-US" w:eastAsia="ar-EG" w:bidi="ar-EG"/>
      </w:rPr>
    </w:rPrDefault>
    <w:pPrDefault/>
  </w:docDefaults>
  <w:latentStyles w:defLockedState="0" w:defUIPriority="99" w:defSemiHidden="0" w:defUnhideWhenUsed="0" w:defQFormat="0" w:count="374">
    <w:lsdException w:name="Normal" w:uiPriority="1" w:qFormat="1"/>
    <w:lsdException w:name="heading 1" w:uiPriority="2" w:qFormat="1"/>
    <w:lsdException w:name="heading 2" w:uiPriority="2" w:qFormat="1"/>
    <w:lsdException w:name="heading 3" w:uiPriority="2" w:qFormat="1"/>
    <w:lsdException w:name="heading 4" w:uiPriority="2"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1" w:unhideWhenUsed="1"/>
    <w:lsdException w:name="index heading" w:semiHidden="1" w:unhideWhenUsed="1"/>
    <w:lsdException w:name="caption" w:uiPriority="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1"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E25DE4"/>
    <w:pPr>
      <w:bidi/>
    </w:pPr>
    <w:rPr>
      <w:rFonts w:eastAsia="Calibri"/>
      <w:sz w:val="24"/>
      <w:szCs w:val="24"/>
      <w:rtl/>
      <w:lang w:eastAsia="ja-JP"/>
    </w:rPr>
  </w:style>
  <w:style w:type="paragraph" w:styleId="Heading1">
    <w:name w:val="heading 1"/>
    <w:basedOn w:val="Normal"/>
    <w:next w:val="Normal"/>
    <w:link w:val="Heading1Char"/>
    <w:uiPriority w:val="2"/>
    <w:qFormat/>
    <w:rsid w:val="00F82392"/>
    <w:pPr>
      <w:keepNext/>
      <w:spacing w:after="240"/>
      <w:jc w:val="both"/>
      <w:outlineLvl w:val="0"/>
    </w:pPr>
    <w:rPr>
      <w:rFonts w:eastAsia="Times New Roman"/>
      <w:bCs/>
    </w:rPr>
  </w:style>
  <w:style w:type="paragraph" w:styleId="Heading2">
    <w:name w:val="heading 2"/>
    <w:basedOn w:val="Normal"/>
    <w:next w:val="Normal"/>
    <w:link w:val="Heading2Char"/>
    <w:uiPriority w:val="2"/>
    <w:qFormat/>
    <w:rsid w:val="00F82392"/>
    <w:pPr>
      <w:spacing w:after="240"/>
      <w:jc w:val="both"/>
      <w:outlineLvl w:val="1"/>
    </w:pPr>
    <w:rPr>
      <w:rFonts w:eastAsia="Times New Roman"/>
      <w:bCs/>
      <w:iCs/>
    </w:rPr>
  </w:style>
  <w:style w:type="paragraph" w:styleId="Heading3">
    <w:name w:val="heading 3"/>
    <w:basedOn w:val="Normal"/>
    <w:next w:val="Normal"/>
    <w:link w:val="Heading3Char"/>
    <w:uiPriority w:val="2"/>
    <w:qFormat/>
    <w:rsid w:val="00F82392"/>
    <w:pPr>
      <w:spacing w:after="240"/>
      <w:jc w:val="both"/>
      <w:outlineLvl w:val="2"/>
    </w:pPr>
    <w:rPr>
      <w:rFonts w:eastAsia="Times New Roman"/>
      <w:bCs/>
    </w:rPr>
  </w:style>
  <w:style w:type="paragraph" w:styleId="Heading4">
    <w:name w:val="heading 4"/>
    <w:basedOn w:val="Normal"/>
    <w:next w:val="Normal"/>
    <w:link w:val="Heading4Char"/>
    <w:uiPriority w:val="2"/>
    <w:qFormat/>
    <w:rsid w:val="00F82392"/>
    <w:pPr>
      <w:spacing w:after="240"/>
      <w:jc w:val="both"/>
      <w:outlineLvl w:val="3"/>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2392"/>
    <w:rPr>
      <w:rFonts w:eastAsia="Times New Roman"/>
      <w:bCs/>
    </w:rPr>
  </w:style>
  <w:style w:type="character" w:customStyle="1" w:styleId="Heading2Char">
    <w:name w:val="Heading 2 Char"/>
    <w:link w:val="Heading2"/>
    <w:uiPriority w:val="2"/>
    <w:semiHidden/>
    <w:rsid w:val="00F82392"/>
    <w:rPr>
      <w:rFonts w:eastAsia="Times New Roman"/>
      <w:bCs/>
      <w:iCs/>
    </w:rPr>
  </w:style>
  <w:style w:type="character" w:customStyle="1" w:styleId="Heading3Char">
    <w:name w:val="Heading 3 Char"/>
    <w:link w:val="Heading3"/>
    <w:uiPriority w:val="2"/>
    <w:semiHidden/>
    <w:rsid w:val="00F82392"/>
    <w:rPr>
      <w:rFonts w:eastAsia="Times New Roman"/>
      <w:bCs/>
    </w:rPr>
  </w:style>
  <w:style w:type="character" w:customStyle="1" w:styleId="Heading4Char">
    <w:name w:val="Heading 4 Char"/>
    <w:link w:val="Heading4"/>
    <w:uiPriority w:val="2"/>
    <w:semiHidden/>
    <w:rsid w:val="00F82392"/>
    <w:rPr>
      <w:rFonts w:eastAsia="Times New Roman"/>
      <w:bCs/>
      <w:szCs w:val="28"/>
    </w:rPr>
  </w:style>
  <w:style w:type="paragraph" w:styleId="Header">
    <w:name w:val="header"/>
    <w:basedOn w:val="Normal"/>
    <w:link w:val="HeaderChar"/>
    <w:uiPriority w:val="2"/>
    <w:rsid w:val="00F82392"/>
    <w:pPr>
      <w:tabs>
        <w:tab w:val="center" w:pos="4320"/>
        <w:tab w:val="right" w:pos="8640"/>
      </w:tabs>
    </w:pPr>
    <w:rPr>
      <w:rFonts w:eastAsia="Times New Roman"/>
    </w:rPr>
  </w:style>
  <w:style w:type="character" w:customStyle="1" w:styleId="HeaderChar">
    <w:name w:val="Header Char"/>
    <w:link w:val="Header"/>
    <w:uiPriority w:val="2"/>
    <w:rsid w:val="00F82392"/>
    <w:rPr>
      <w:rFonts w:eastAsia="Times New Roman"/>
    </w:rPr>
  </w:style>
  <w:style w:type="paragraph" w:styleId="Footer">
    <w:name w:val="footer"/>
    <w:basedOn w:val="Normal"/>
    <w:link w:val="FooterChar"/>
    <w:uiPriority w:val="1"/>
    <w:rsid w:val="00F82392"/>
    <w:pPr>
      <w:tabs>
        <w:tab w:val="center" w:pos="4320"/>
        <w:tab w:val="right" w:pos="8640"/>
      </w:tabs>
    </w:pPr>
    <w:rPr>
      <w:rFonts w:eastAsia="Times New Roman"/>
    </w:rPr>
  </w:style>
  <w:style w:type="character" w:customStyle="1" w:styleId="FooterChar">
    <w:name w:val="Footer Char"/>
    <w:link w:val="Footer"/>
    <w:uiPriority w:val="1"/>
    <w:rsid w:val="00F82392"/>
    <w:rPr>
      <w:rFonts w:eastAsia="Times New Roman"/>
    </w:rPr>
  </w:style>
  <w:style w:type="paragraph" w:styleId="Caption">
    <w:name w:val="caption"/>
    <w:basedOn w:val="Normal"/>
    <w:next w:val="Normal"/>
    <w:uiPriority w:val="1"/>
    <w:qFormat/>
    <w:rsid w:val="00F82392"/>
    <w:pPr>
      <w:spacing w:before="120" w:after="120"/>
    </w:pPr>
    <w:rPr>
      <w:rFonts w:eastAsia="Times New Roman"/>
      <w:b/>
      <w:bCs/>
    </w:rPr>
  </w:style>
  <w:style w:type="paragraph" w:styleId="Title">
    <w:name w:val="Title"/>
    <w:basedOn w:val="Normal"/>
    <w:link w:val="TitleChar"/>
    <w:uiPriority w:val="2"/>
    <w:qFormat/>
    <w:rsid w:val="00F82392"/>
    <w:pPr>
      <w:spacing w:after="240"/>
      <w:jc w:val="center"/>
      <w:outlineLvl w:val="0"/>
    </w:pPr>
    <w:rPr>
      <w:rFonts w:eastAsia="Times New Roman" w:cs="Arial"/>
      <w:b/>
      <w:bCs/>
      <w:kern w:val="28"/>
      <w:szCs w:val="32"/>
    </w:rPr>
  </w:style>
  <w:style w:type="character" w:customStyle="1" w:styleId="TitleChar">
    <w:name w:val="Title Char"/>
    <w:link w:val="Title"/>
    <w:uiPriority w:val="2"/>
    <w:rsid w:val="00F82392"/>
    <w:rPr>
      <w:rFonts w:eastAsia="Times New Roman" w:cs="Arial"/>
      <w:b/>
      <w:bCs/>
      <w:kern w:val="28"/>
      <w:szCs w:val="32"/>
    </w:rPr>
  </w:style>
  <w:style w:type="paragraph" w:styleId="BodyText">
    <w:name w:val="Body Text"/>
    <w:basedOn w:val="Normal"/>
    <w:link w:val="BodyTextChar"/>
    <w:qFormat/>
    <w:rsid w:val="00F82392"/>
    <w:pPr>
      <w:spacing w:after="240"/>
      <w:ind w:firstLine="720"/>
    </w:pPr>
    <w:rPr>
      <w:rFonts w:eastAsia="Times New Roman"/>
    </w:rPr>
  </w:style>
  <w:style w:type="character" w:customStyle="1" w:styleId="BodyTextChar">
    <w:name w:val="Body Text Char"/>
    <w:link w:val="BodyText"/>
    <w:rsid w:val="00F82392"/>
    <w:rPr>
      <w:rFonts w:eastAsia="Times New Roman"/>
    </w:rPr>
  </w:style>
  <w:style w:type="paragraph" w:styleId="Subtitle">
    <w:name w:val="Subtitle"/>
    <w:basedOn w:val="Normal"/>
    <w:link w:val="SubtitleChar"/>
    <w:uiPriority w:val="1"/>
    <w:qFormat/>
    <w:rsid w:val="00F82392"/>
    <w:pPr>
      <w:spacing w:after="240"/>
      <w:jc w:val="center"/>
      <w:outlineLvl w:val="1"/>
    </w:pPr>
    <w:rPr>
      <w:rFonts w:eastAsia="Times New Roman" w:cs="Arial"/>
    </w:rPr>
  </w:style>
  <w:style w:type="character" w:customStyle="1" w:styleId="SubtitleChar">
    <w:name w:val="Subtitle Char"/>
    <w:link w:val="Subtitle"/>
    <w:uiPriority w:val="1"/>
    <w:rsid w:val="00F82392"/>
    <w:rPr>
      <w:rFonts w:eastAsia="Times New Roman" w:cs="Arial"/>
    </w:rPr>
  </w:style>
  <w:style w:type="paragraph" w:styleId="BlockText">
    <w:name w:val="Block Text"/>
    <w:basedOn w:val="Normal"/>
    <w:uiPriority w:val="1"/>
    <w:qFormat/>
    <w:rsid w:val="00F82392"/>
    <w:pPr>
      <w:spacing w:after="240"/>
    </w:pPr>
    <w:rPr>
      <w:rFonts w:eastAsia="Times New Roman"/>
    </w:rPr>
  </w:style>
  <w:style w:type="character" w:styleId="Strong">
    <w:name w:val="Strong"/>
    <w:uiPriority w:val="1"/>
    <w:qFormat/>
    <w:rsid w:val="00F82392"/>
    <w:rPr>
      <w:b/>
      <w:bCs/>
    </w:rPr>
  </w:style>
  <w:style w:type="character" w:styleId="Emphasis">
    <w:name w:val="Emphasis"/>
    <w:uiPriority w:val="1"/>
    <w:qFormat/>
    <w:rsid w:val="00F82392"/>
    <w:rPr>
      <w:i/>
      <w:iCs/>
    </w:rPr>
  </w:style>
  <w:style w:type="paragraph" w:customStyle="1" w:styleId="BlockQuote">
    <w:name w:val="Block Quote"/>
    <w:basedOn w:val="Normal"/>
    <w:uiPriority w:val="1"/>
    <w:qFormat/>
    <w:rsid w:val="00F82392"/>
    <w:pPr>
      <w:spacing w:after="240"/>
      <w:ind w:left="1440" w:right="1440"/>
    </w:pPr>
    <w:rPr>
      <w:rFonts w:eastAsia="Times New Roman" w:cs="Courier New"/>
    </w:rPr>
  </w:style>
  <w:style w:type="paragraph" w:customStyle="1" w:styleId="BlockQuote75">
    <w:name w:val="Block Quote .75"/>
    <w:basedOn w:val="Normal"/>
    <w:uiPriority w:val="1"/>
    <w:rsid w:val="00F82392"/>
    <w:pPr>
      <w:spacing w:after="240"/>
      <w:ind w:left="1080" w:right="1080"/>
    </w:pPr>
    <w:rPr>
      <w:rFonts w:eastAsia="Times New Roman" w:cs="Courier New"/>
    </w:rPr>
  </w:style>
  <w:style w:type="paragraph" w:customStyle="1" w:styleId="BlockQuoteDouble">
    <w:name w:val="Block Quote Double"/>
    <w:basedOn w:val="Normal"/>
    <w:uiPriority w:val="1"/>
    <w:rsid w:val="00F82392"/>
    <w:pPr>
      <w:spacing w:line="480" w:lineRule="auto"/>
      <w:ind w:left="1440" w:right="1440"/>
    </w:pPr>
    <w:rPr>
      <w:rFonts w:eastAsia="Times New Roman"/>
    </w:rPr>
  </w:style>
  <w:style w:type="paragraph" w:customStyle="1" w:styleId="BlockTextDouble">
    <w:name w:val="Block Text Double"/>
    <w:basedOn w:val="Normal"/>
    <w:uiPriority w:val="1"/>
    <w:rsid w:val="00F82392"/>
    <w:pPr>
      <w:spacing w:line="480" w:lineRule="auto"/>
    </w:pPr>
    <w:rPr>
      <w:rFonts w:eastAsia="Times New Roman" w:cs="Courier New"/>
    </w:rPr>
  </w:style>
  <w:style w:type="paragraph" w:customStyle="1" w:styleId="BlockTextJustified">
    <w:name w:val="Block Text Justified"/>
    <w:basedOn w:val="Normal"/>
    <w:uiPriority w:val="1"/>
    <w:rsid w:val="00F82392"/>
    <w:pPr>
      <w:spacing w:after="240"/>
      <w:jc w:val="both"/>
    </w:pPr>
    <w:rPr>
      <w:rFonts w:eastAsia="Times New Roman" w:cs="Courier New"/>
    </w:rPr>
  </w:style>
  <w:style w:type="paragraph" w:customStyle="1" w:styleId="BodyTextDouble">
    <w:name w:val="Body Text Double"/>
    <w:basedOn w:val="Normal"/>
    <w:rsid w:val="00F82392"/>
    <w:pPr>
      <w:spacing w:line="480" w:lineRule="auto"/>
      <w:ind w:firstLine="720"/>
    </w:pPr>
    <w:rPr>
      <w:rFonts w:eastAsia="Times New Roman" w:cs="Courier New"/>
    </w:rPr>
  </w:style>
  <w:style w:type="character" w:customStyle="1" w:styleId="Citation">
    <w:name w:val="Citation"/>
    <w:uiPriority w:val="1"/>
    <w:rsid w:val="00F82392"/>
    <w:rPr>
      <w:u w:val="single"/>
    </w:rPr>
  </w:style>
  <w:style w:type="paragraph" w:customStyle="1" w:styleId="FootnoteQuote">
    <w:name w:val="Footnote Quote"/>
    <w:basedOn w:val="FootnoteText"/>
    <w:uiPriority w:val="1"/>
    <w:rsid w:val="00F82392"/>
    <w:pPr>
      <w:spacing w:after="240"/>
      <w:ind w:left="1080" w:right="1080"/>
    </w:pPr>
    <w:rPr>
      <w:rFonts w:eastAsia="Times New Roman"/>
    </w:rPr>
  </w:style>
  <w:style w:type="paragraph" w:styleId="FootnoteText">
    <w:name w:val="footnote text"/>
    <w:basedOn w:val="Normal"/>
    <w:link w:val="FootnoteTextChar"/>
    <w:uiPriority w:val="99"/>
    <w:rsid w:val="00B50466"/>
    <w:rPr>
      <w:sz w:val="20"/>
    </w:rPr>
  </w:style>
  <w:style w:type="character" w:customStyle="1" w:styleId="FootnoteTextChar">
    <w:name w:val="Footnote Text Char"/>
    <w:link w:val="FootnoteText"/>
    <w:uiPriority w:val="99"/>
    <w:rsid w:val="00B50466"/>
    <w:rPr>
      <w:rFonts w:eastAsia="Calibri"/>
      <w:sz w:val="20"/>
    </w:rPr>
  </w:style>
  <w:style w:type="paragraph" w:customStyle="1" w:styleId="Title1">
    <w:name w:val="Title 1"/>
    <w:basedOn w:val="Normal"/>
    <w:uiPriority w:val="2"/>
    <w:rsid w:val="00F82392"/>
    <w:pPr>
      <w:spacing w:after="240"/>
      <w:jc w:val="center"/>
    </w:pPr>
    <w:rPr>
      <w:rFonts w:eastAsia="Times New Roman" w:cs="Courier New"/>
      <w:b/>
      <w:caps/>
    </w:rPr>
  </w:style>
  <w:style w:type="paragraph" w:customStyle="1" w:styleId="Title2">
    <w:name w:val="Title 2"/>
    <w:basedOn w:val="Title"/>
    <w:uiPriority w:val="2"/>
    <w:rsid w:val="00F82392"/>
    <w:rPr>
      <w:b w:val="0"/>
      <w:u w:val="single"/>
    </w:rPr>
  </w:style>
  <w:style w:type="paragraph" w:customStyle="1" w:styleId="ColorfulGrid-Accent11">
    <w:name w:val="Colorful Grid - Accent 11"/>
    <w:basedOn w:val="Normal"/>
    <w:next w:val="Normal"/>
    <w:link w:val="ColorfulGrid-Accent1Char"/>
    <w:uiPriority w:val="1"/>
    <w:qFormat/>
    <w:rsid w:val="00F82392"/>
    <w:rPr>
      <w:rFonts w:eastAsia="Times New Roman"/>
      <w:i/>
      <w:iCs/>
      <w:color w:val="000000"/>
    </w:rPr>
  </w:style>
  <w:style w:type="character" w:customStyle="1" w:styleId="ColorfulGrid-Accent1Char">
    <w:name w:val="Colorful Grid - Accent 1 Char"/>
    <w:link w:val="ColorfulGrid-Accent11"/>
    <w:uiPriority w:val="1"/>
    <w:rsid w:val="00F82392"/>
    <w:rPr>
      <w:rFonts w:eastAsia="Times New Roman"/>
      <w:i/>
      <w:iCs/>
      <w:color w:val="000000"/>
    </w:rPr>
  </w:style>
  <w:style w:type="character" w:styleId="FootnoteReference">
    <w:name w:val="footnote reference"/>
    <w:uiPriority w:val="99"/>
    <w:semiHidden/>
    <w:unhideWhenUsed/>
    <w:rsid w:val="00B50466"/>
    <w:rPr>
      <w:vertAlign w:val="superscript"/>
    </w:rPr>
  </w:style>
  <w:style w:type="character" w:styleId="Hyperlink">
    <w:name w:val="Hyperlink"/>
    <w:uiPriority w:val="99"/>
    <w:unhideWhenUsed/>
    <w:rsid w:val="001272AF"/>
    <w:rPr>
      <w:color w:val="0000FF"/>
      <w:u w:val="single"/>
    </w:rPr>
  </w:style>
  <w:style w:type="character" w:customStyle="1" w:styleId="apple-converted-space">
    <w:name w:val="apple-converted-space"/>
    <w:rsid w:val="0012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00252">
      <w:bodyDiv w:val="1"/>
      <w:marLeft w:val="0"/>
      <w:marRight w:val="0"/>
      <w:marTop w:val="0"/>
      <w:marBottom w:val="0"/>
      <w:divBdr>
        <w:top w:val="none" w:sz="0" w:space="0" w:color="auto"/>
        <w:left w:val="none" w:sz="0" w:space="0" w:color="auto"/>
        <w:bottom w:val="none" w:sz="0" w:space="0" w:color="auto"/>
        <w:right w:val="none" w:sz="0" w:space="0" w:color="auto"/>
      </w:divBdr>
      <w:divsChild>
        <w:div w:id="137309467">
          <w:marLeft w:val="0"/>
          <w:marRight w:val="0"/>
          <w:marTop w:val="0"/>
          <w:marBottom w:val="0"/>
          <w:divBdr>
            <w:top w:val="none" w:sz="0" w:space="0" w:color="auto"/>
            <w:left w:val="none" w:sz="0" w:space="0" w:color="auto"/>
            <w:bottom w:val="none" w:sz="0" w:space="0" w:color="auto"/>
            <w:right w:val="none" w:sz="0" w:space="0" w:color="auto"/>
          </w:divBdr>
        </w:div>
        <w:div w:id="149175766">
          <w:marLeft w:val="0"/>
          <w:marRight w:val="0"/>
          <w:marTop w:val="0"/>
          <w:marBottom w:val="0"/>
          <w:divBdr>
            <w:top w:val="none" w:sz="0" w:space="0" w:color="auto"/>
            <w:left w:val="none" w:sz="0" w:space="0" w:color="auto"/>
            <w:bottom w:val="none" w:sz="0" w:space="0" w:color="auto"/>
            <w:right w:val="none" w:sz="0" w:space="0" w:color="auto"/>
          </w:divBdr>
        </w:div>
        <w:div w:id="308629986">
          <w:marLeft w:val="0"/>
          <w:marRight w:val="0"/>
          <w:marTop w:val="0"/>
          <w:marBottom w:val="0"/>
          <w:divBdr>
            <w:top w:val="none" w:sz="0" w:space="0" w:color="auto"/>
            <w:left w:val="none" w:sz="0" w:space="0" w:color="auto"/>
            <w:bottom w:val="none" w:sz="0" w:space="0" w:color="auto"/>
            <w:right w:val="none" w:sz="0" w:space="0" w:color="auto"/>
          </w:divBdr>
        </w:div>
        <w:div w:id="317348830">
          <w:marLeft w:val="0"/>
          <w:marRight w:val="0"/>
          <w:marTop w:val="0"/>
          <w:marBottom w:val="0"/>
          <w:divBdr>
            <w:top w:val="none" w:sz="0" w:space="0" w:color="auto"/>
            <w:left w:val="none" w:sz="0" w:space="0" w:color="auto"/>
            <w:bottom w:val="none" w:sz="0" w:space="0" w:color="auto"/>
            <w:right w:val="none" w:sz="0" w:space="0" w:color="auto"/>
          </w:divBdr>
        </w:div>
        <w:div w:id="416177673">
          <w:marLeft w:val="0"/>
          <w:marRight w:val="0"/>
          <w:marTop w:val="0"/>
          <w:marBottom w:val="0"/>
          <w:divBdr>
            <w:top w:val="none" w:sz="0" w:space="0" w:color="auto"/>
            <w:left w:val="none" w:sz="0" w:space="0" w:color="auto"/>
            <w:bottom w:val="none" w:sz="0" w:space="0" w:color="auto"/>
            <w:right w:val="none" w:sz="0" w:space="0" w:color="auto"/>
          </w:divBdr>
        </w:div>
        <w:div w:id="555049842">
          <w:marLeft w:val="0"/>
          <w:marRight w:val="0"/>
          <w:marTop w:val="0"/>
          <w:marBottom w:val="0"/>
          <w:divBdr>
            <w:top w:val="none" w:sz="0" w:space="0" w:color="auto"/>
            <w:left w:val="none" w:sz="0" w:space="0" w:color="auto"/>
            <w:bottom w:val="none" w:sz="0" w:space="0" w:color="auto"/>
            <w:right w:val="none" w:sz="0" w:space="0" w:color="auto"/>
          </w:divBdr>
        </w:div>
        <w:div w:id="896235826">
          <w:marLeft w:val="0"/>
          <w:marRight w:val="0"/>
          <w:marTop w:val="0"/>
          <w:marBottom w:val="0"/>
          <w:divBdr>
            <w:top w:val="none" w:sz="0" w:space="0" w:color="auto"/>
            <w:left w:val="none" w:sz="0" w:space="0" w:color="auto"/>
            <w:bottom w:val="none" w:sz="0" w:space="0" w:color="auto"/>
            <w:right w:val="none" w:sz="0" w:space="0" w:color="auto"/>
          </w:divBdr>
        </w:div>
        <w:div w:id="922184473">
          <w:marLeft w:val="0"/>
          <w:marRight w:val="0"/>
          <w:marTop w:val="0"/>
          <w:marBottom w:val="0"/>
          <w:divBdr>
            <w:top w:val="none" w:sz="0" w:space="0" w:color="auto"/>
            <w:left w:val="none" w:sz="0" w:space="0" w:color="auto"/>
            <w:bottom w:val="none" w:sz="0" w:space="0" w:color="auto"/>
            <w:right w:val="none" w:sz="0" w:space="0" w:color="auto"/>
          </w:divBdr>
        </w:div>
        <w:div w:id="1180436974">
          <w:marLeft w:val="0"/>
          <w:marRight w:val="0"/>
          <w:marTop w:val="0"/>
          <w:marBottom w:val="0"/>
          <w:divBdr>
            <w:top w:val="none" w:sz="0" w:space="0" w:color="auto"/>
            <w:left w:val="none" w:sz="0" w:space="0" w:color="auto"/>
            <w:bottom w:val="none" w:sz="0" w:space="0" w:color="auto"/>
            <w:right w:val="none" w:sz="0" w:space="0" w:color="auto"/>
          </w:divBdr>
        </w:div>
        <w:div w:id="1236472664">
          <w:marLeft w:val="0"/>
          <w:marRight w:val="0"/>
          <w:marTop w:val="0"/>
          <w:marBottom w:val="0"/>
          <w:divBdr>
            <w:top w:val="none" w:sz="0" w:space="0" w:color="auto"/>
            <w:left w:val="none" w:sz="0" w:space="0" w:color="auto"/>
            <w:bottom w:val="none" w:sz="0" w:space="0" w:color="auto"/>
            <w:right w:val="none" w:sz="0" w:space="0" w:color="auto"/>
          </w:divBdr>
        </w:div>
        <w:div w:id="1304238182">
          <w:marLeft w:val="0"/>
          <w:marRight w:val="0"/>
          <w:marTop w:val="0"/>
          <w:marBottom w:val="0"/>
          <w:divBdr>
            <w:top w:val="none" w:sz="0" w:space="0" w:color="auto"/>
            <w:left w:val="none" w:sz="0" w:space="0" w:color="auto"/>
            <w:bottom w:val="none" w:sz="0" w:space="0" w:color="auto"/>
            <w:right w:val="none" w:sz="0" w:space="0" w:color="auto"/>
          </w:divBdr>
        </w:div>
        <w:div w:id="1584140861">
          <w:marLeft w:val="0"/>
          <w:marRight w:val="0"/>
          <w:marTop w:val="0"/>
          <w:marBottom w:val="0"/>
          <w:divBdr>
            <w:top w:val="none" w:sz="0" w:space="0" w:color="auto"/>
            <w:left w:val="none" w:sz="0" w:space="0" w:color="auto"/>
            <w:bottom w:val="none" w:sz="0" w:space="0" w:color="auto"/>
            <w:right w:val="none" w:sz="0" w:space="0" w:color="auto"/>
          </w:divBdr>
        </w:div>
        <w:div w:id="1701515724">
          <w:marLeft w:val="0"/>
          <w:marRight w:val="0"/>
          <w:marTop w:val="0"/>
          <w:marBottom w:val="0"/>
          <w:divBdr>
            <w:top w:val="none" w:sz="0" w:space="0" w:color="auto"/>
            <w:left w:val="none" w:sz="0" w:space="0" w:color="auto"/>
            <w:bottom w:val="none" w:sz="0" w:space="0" w:color="auto"/>
            <w:right w:val="none" w:sz="0" w:space="0" w:color="auto"/>
          </w:divBdr>
        </w:div>
        <w:div w:id="1889804210">
          <w:marLeft w:val="0"/>
          <w:marRight w:val="0"/>
          <w:marTop w:val="0"/>
          <w:marBottom w:val="0"/>
          <w:divBdr>
            <w:top w:val="none" w:sz="0" w:space="0" w:color="auto"/>
            <w:left w:val="none" w:sz="0" w:space="0" w:color="auto"/>
            <w:bottom w:val="none" w:sz="0" w:space="0" w:color="auto"/>
            <w:right w:val="none" w:sz="0" w:space="0" w:color="auto"/>
          </w:divBdr>
        </w:div>
        <w:div w:id="195239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pages/viewpage.action?pageId=58723827&amp;preview=/58723827/58726532/Main%20Report%20-%20FINAL-Revise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resources/pages/governance/bylaws-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abic Transparent" panose="020F0302020204030204"/>
        <a:ea typeface="Arabic Transparent"/>
        <a:cs typeface="Arabic Transparent"/>
      </a:majorFont>
      <a:minorFont>
        <a:latin typeface="Arabic Transparent" panose="020F0502020204030204"/>
        <a:ea typeface="Arabic Transparent"/>
        <a:cs typeface="Arabic Transparent"/>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5B6D-C6DA-4E5C-85A6-17D3EDA0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McCarter &amp; English, LLP</Company>
  <LinksUpToDate>false</LinksUpToDate>
  <CharactersWithSpaces>2583</CharactersWithSpaces>
  <SharedDoc>false</SharedDoc>
  <HLinks>
    <vt:vector size="12" baseType="variant">
      <vt:variant>
        <vt:i4>3539051</vt:i4>
      </vt:variant>
      <vt:variant>
        <vt:i4>3</vt:i4>
      </vt:variant>
      <vt:variant>
        <vt:i4>0</vt:i4>
      </vt:variant>
      <vt:variant>
        <vt:i4>5</vt:i4>
      </vt:variant>
      <vt:variant>
        <vt:lpwstr>https://community.icann.org/pages/viewpage.action?pageId=58723827&amp;preview=/58723827/58726532/Main%20Report%20-%20FINAL-Revised.pdf</vt:lpwstr>
      </vt:variant>
      <vt:variant>
        <vt:lpwstr/>
      </vt:variant>
      <vt:variant>
        <vt:i4>4128869</vt:i4>
      </vt:variant>
      <vt:variant>
        <vt:i4>0</vt:i4>
      </vt:variant>
      <vt:variant>
        <vt:i4>0</vt:i4>
      </vt:variant>
      <vt:variant>
        <vt:i4>5</vt:i4>
      </vt:variant>
      <vt:variant>
        <vt:lpwstr>https://www.icann.org/resources/pages/governance/bylaws-en/</vt:lpwstr>
      </vt:variant>
      <vt:variant>
        <vt:lpwstr>article27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 Shatan</dc:creator>
  <cp:keywords/>
  <cp:lastModifiedBy>Celine Koskas</cp:lastModifiedBy>
  <cp:revision>4</cp:revision>
  <cp:lastPrinted>2017-02-02T10:09:00Z</cp:lastPrinted>
  <dcterms:created xsi:type="dcterms:W3CDTF">2017-02-01T08:03:00Z</dcterms:created>
  <dcterms:modified xsi:type="dcterms:W3CDTF">2017-02-02T10:09:00Z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y fmtid="{D5CDD505-2E9C-101B-9397-08002B2CF9AE}" pid="3" name="SWDocID">
    <vt:lpwstr>ME1 24013371v.2</vt:lpwstr>
  </property>
</Properties>
</file>