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3D" w:rsidRPr="007E285D" w:rsidRDefault="00E20B15" w:rsidP="00E20B15">
      <w:pPr>
        <w:rPr>
          <w:b/>
          <w:bCs/>
          <w:color w:val="365F91" w:themeColor="accent1" w:themeShade="BF"/>
          <w:sz w:val="28"/>
          <w:szCs w:val="28"/>
        </w:rPr>
      </w:pPr>
      <w:r w:rsidRPr="007E285D">
        <w:rPr>
          <w:b/>
          <w:bCs/>
          <w:color w:val="365F91" w:themeColor="accent1" w:themeShade="BF"/>
          <w:sz w:val="28"/>
          <w:szCs w:val="28"/>
        </w:rPr>
        <w:t>Jurisdiction Hypothetical #1</w:t>
      </w:r>
    </w:p>
    <w:p w:rsidR="000C163D" w:rsidRPr="007E285D" w:rsidRDefault="000C163D" w:rsidP="000C163D">
      <w:pPr>
        <w:rPr>
          <w:b/>
          <w:bCs/>
          <w:color w:val="365F91" w:themeColor="accent1" w:themeShade="BF"/>
        </w:rPr>
      </w:pPr>
      <w:r w:rsidRPr="007E285D">
        <w:rPr>
          <w:b/>
          <w:bCs/>
          <w:color w:val="365F91" w:themeColor="accent1" w:themeShade="BF"/>
        </w:rPr>
        <w:t>Q. In the following hypothetical, what are the influences of ICANN’s existing jurisdiction(s) relating to resolution of disputes (i.e., governing law and venue) on (1) the actual operation of ICANN’s policies, (2) accountability mechanisms and (3) the resolution of disputes?</w:t>
      </w:r>
    </w:p>
    <w:p w:rsidR="000C163D" w:rsidRPr="007E285D" w:rsidRDefault="000C163D" w:rsidP="000C163D">
      <w:pPr>
        <w:rPr>
          <w:color w:val="365F91" w:themeColor="accent1" w:themeShade="BF"/>
        </w:rPr>
      </w:pPr>
      <w:r w:rsidRPr="007E285D">
        <w:rPr>
          <w:color w:val="365F91" w:themeColor="accent1" w:themeShade="BF"/>
        </w:rPr>
        <w:t>A plaintiff initiates litigation, challenging ICANN's actions (or inactions) involving actual operation of its policies – like delegation of a gTLD, and/or acceptance of certain terms of registry operation, on the basis that plaintiff (or a class including plaintiff) would be injured and that ICANN’s actions or inactions are in violation of law. The court finds that ICANN’s actions or inaction violate the law and issues an order requiring ICANN to change its actions.</w:t>
      </w:r>
    </w:p>
    <w:p w:rsidR="00947CDD" w:rsidRDefault="000C163D" w:rsidP="000C163D">
      <w:pPr>
        <w:rPr>
          <w:i/>
          <w:iCs/>
        </w:rPr>
      </w:pPr>
      <w:r w:rsidRPr="000C163D">
        <w:rPr>
          <w:i/>
          <w:iCs/>
        </w:rPr>
        <w:t>Initial “strawman” answers appear on the following pages. These are intended</w:t>
      </w:r>
      <w:r>
        <w:rPr>
          <w:i/>
          <w:iCs/>
        </w:rPr>
        <w:t xml:space="preserve"> </w:t>
      </w:r>
      <w:r w:rsidRPr="000C163D">
        <w:rPr>
          <w:i/>
          <w:iCs/>
        </w:rPr>
        <w:t>only to spur discussion. Depending on the deliberations of the subgroup, the</w:t>
      </w:r>
      <w:r>
        <w:rPr>
          <w:i/>
          <w:iCs/>
        </w:rPr>
        <w:t xml:space="preserve"> </w:t>
      </w:r>
      <w:r w:rsidRPr="000C163D">
        <w:rPr>
          <w:i/>
          <w:iCs/>
        </w:rPr>
        <w:t>strawman answers will be freely modified or eliminated. Further proposed</w:t>
      </w:r>
      <w:r>
        <w:rPr>
          <w:i/>
          <w:iCs/>
        </w:rPr>
        <w:t xml:space="preserve"> </w:t>
      </w:r>
      <w:r w:rsidRPr="000C163D">
        <w:rPr>
          <w:i/>
          <w:iCs/>
        </w:rPr>
        <w:t>answers are expected from the subgroup.</w:t>
      </w:r>
    </w:p>
    <w:p w:rsidR="000C163D" w:rsidRPr="007E285D" w:rsidRDefault="000C163D" w:rsidP="000C163D">
      <w:pPr>
        <w:rPr>
          <w:b/>
          <w:bCs/>
          <w:color w:val="365F91" w:themeColor="accent1" w:themeShade="BF"/>
        </w:rPr>
      </w:pPr>
      <w:r w:rsidRPr="007E285D">
        <w:rPr>
          <w:b/>
          <w:bCs/>
          <w:color w:val="365F91" w:themeColor="accent1" w:themeShade="BF"/>
        </w:rPr>
        <w:t>In Hypothetical #1, what is the influence of governing law and venue on</w:t>
      </w:r>
    </w:p>
    <w:p w:rsidR="00E20B15" w:rsidRPr="007E285D" w:rsidRDefault="00E20B15" w:rsidP="000C163D">
      <w:pPr>
        <w:rPr>
          <w:b/>
          <w:bCs/>
          <w:color w:val="365F91" w:themeColor="accent1" w:themeShade="BF"/>
        </w:rPr>
      </w:pPr>
      <w:r w:rsidRPr="007E285D">
        <w:rPr>
          <w:b/>
          <w:bCs/>
          <w:color w:val="365F91" w:themeColor="accent1" w:themeShade="BF"/>
        </w:rPr>
        <w:t>a. The actual operation of ICANN’s policies?</w:t>
      </w:r>
    </w:p>
    <w:p w:rsidR="000C163D" w:rsidRPr="000C163D" w:rsidRDefault="000C163D" w:rsidP="007E285D">
      <w:pPr>
        <w:pStyle w:val="ListParagraph"/>
        <w:numPr>
          <w:ilvl w:val="0"/>
          <w:numId w:val="2"/>
        </w:numPr>
        <w:spacing w:after="120" w:line="240" w:lineRule="auto"/>
        <w:contextualSpacing w:val="0"/>
      </w:pPr>
      <w:r w:rsidRPr="000C163D">
        <w:t>A positive influence, as ICANN will be aware that any actions that violate</w:t>
      </w:r>
      <w:r>
        <w:t xml:space="preserve"> </w:t>
      </w:r>
      <w:r w:rsidRPr="000C163D">
        <w:t>such policies can be challenged.</w:t>
      </w:r>
    </w:p>
    <w:p w:rsidR="000C163D" w:rsidRPr="000C163D" w:rsidRDefault="000C163D" w:rsidP="007E285D">
      <w:pPr>
        <w:pStyle w:val="ListParagraph"/>
        <w:numPr>
          <w:ilvl w:val="0"/>
          <w:numId w:val="2"/>
        </w:numPr>
        <w:spacing w:after="120" w:line="240" w:lineRule="auto"/>
        <w:contextualSpacing w:val="0"/>
      </w:pPr>
      <w:r w:rsidRPr="000C163D">
        <w:t>If the court finds for ICANN, a positive influence, as this will increase</w:t>
      </w:r>
      <w:r>
        <w:t xml:space="preserve"> </w:t>
      </w:r>
      <w:r w:rsidRPr="000C163D">
        <w:t>confidence that ICANN is properly carrying out its policies (and that its</w:t>
      </w:r>
      <w:r>
        <w:t xml:space="preserve"> </w:t>
      </w:r>
      <w:r w:rsidRPr="000C163D">
        <w:t>policies do not violate the law).</w:t>
      </w:r>
    </w:p>
    <w:p w:rsidR="000C163D" w:rsidRPr="000C163D" w:rsidRDefault="000C163D" w:rsidP="007E285D">
      <w:pPr>
        <w:pStyle w:val="ListParagraph"/>
        <w:numPr>
          <w:ilvl w:val="0"/>
          <w:numId w:val="2"/>
        </w:numPr>
        <w:spacing w:after="120" w:line="240" w:lineRule="auto"/>
        <w:contextualSpacing w:val="0"/>
      </w:pPr>
      <w:r w:rsidRPr="000C163D">
        <w:t>If the court finds for plaintiff, this could have a positive influence, if the</w:t>
      </w:r>
      <w:r>
        <w:t xml:space="preserve"> </w:t>
      </w:r>
      <w:r w:rsidRPr="000C163D">
        <w:t>policy or actions of ICANN violated the law.</w:t>
      </w:r>
    </w:p>
    <w:p w:rsidR="000C163D" w:rsidRPr="000C163D" w:rsidRDefault="000C163D" w:rsidP="007E285D">
      <w:pPr>
        <w:pStyle w:val="ListParagraph"/>
        <w:numPr>
          <w:ilvl w:val="0"/>
          <w:numId w:val="2"/>
        </w:numPr>
        <w:spacing w:after="120" w:line="240" w:lineRule="auto"/>
        <w:contextualSpacing w:val="0"/>
      </w:pPr>
      <w:r w:rsidRPr="000C163D">
        <w:t>If the court finds for plaintiff, this could have a negative effect, if the</w:t>
      </w:r>
      <w:r>
        <w:t xml:space="preserve"> </w:t>
      </w:r>
      <w:r w:rsidRPr="000C163D">
        <w:t>ICANN’s policies or actions were within ICANN’s mission and in the public</w:t>
      </w:r>
      <w:r>
        <w:t xml:space="preserve"> </w:t>
      </w:r>
      <w:r w:rsidRPr="000C163D">
        <w:t>interest and were nonetheless ruled in violation of law.</w:t>
      </w:r>
    </w:p>
    <w:p w:rsidR="000C163D" w:rsidRPr="000C163D" w:rsidRDefault="000C163D" w:rsidP="007E285D">
      <w:pPr>
        <w:pStyle w:val="ListParagraph"/>
        <w:numPr>
          <w:ilvl w:val="1"/>
          <w:numId w:val="2"/>
        </w:numPr>
        <w:spacing w:after="120" w:line="240" w:lineRule="auto"/>
        <w:contextualSpacing w:val="0"/>
      </w:pPr>
      <w:r w:rsidRPr="000C163D">
        <w:t>If the case was correctly decided, this could have a positive effect, as ICANN</w:t>
      </w:r>
      <w:r>
        <w:t xml:space="preserve"> </w:t>
      </w:r>
      <w:r w:rsidRPr="000C163D">
        <w:t>would need to improve its policies to meet its goals while avoiding a violation of</w:t>
      </w:r>
      <w:r>
        <w:t xml:space="preserve"> </w:t>
      </w:r>
      <w:r w:rsidRPr="000C163D">
        <w:t>law.</w:t>
      </w:r>
    </w:p>
    <w:p w:rsidR="000C163D" w:rsidRDefault="000C163D" w:rsidP="007E285D">
      <w:pPr>
        <w:pStyle w:val="ListParagraph"/>
        <w:numPr>
          <w:ilvl w:val="1"/>
          <w:numId w:val="2"/>
        </w:numPr>
        <w:spacing w:after="120" w:line="240" w:lineRule="auto"/>
        <w:contextualSpacing w:val="0"/>
      </w:pPr>
      <w:r w:rsidRPr="000C163D">
        <w:t>If the case was wrongly decided, this could have a negative effect, (a)</w:t>
      </w:r>
      <w:r>
        <w:t xml:space="preserve"> </w:t>
      </w:r>
      <w:r w:rsidRPr="000C163D">
        <w:t>undermining credibility in the law or venue, and (b) forcing ICANN to change</w:t>
      </w:r>
      <w:r>
        <w:t xml:space="preserve"> </w:t>
      </w:r>
      <w:r w:rsidRPr="000C163D">
        <w:t>policies that were, in fact, legal.</w:t>
      </w:r>
    </w:p>
    <w:p w:rsidR="000C163D" w:rsidRPr="007E285D" w:rsidRDefault="000C163D" w:rsidP="000C163D">
      <w:pPr>
        <w:rPr>
          <w:color w:val="365F91" w:themeColor="accent1" w:themeShade="BF"/>
        </w:rPr>
      </w:pPr>
      <w:r w:rsidRPr="007E285D">
        <w:rPr>
          <w:b/>
          <w:bCs/>
          <w:color w:val="365F91" w:themeColor="accent1" w:themeShade="BF"/>
        </w:rPr>
        <w:t>b. ICANN’s accountability mechanisms?</w:t>
      </w:r>
    </w:p>
    <w:p w:rsidR="000C163D" w:rsidRDefault="000C163D" w:rsidP="007E285D">
      <w:pPr>
        <w:pStyle w:val="ListParagraph"/>
        <w:numPr>
          <w:ilvl w:val="0"/>
          <w:numId w:val="2"/>
        </w:numPr>
        <w:spacing w:line="240" w:lineRule="auto"/>
      </w:pPr>
      <w:r w:rsidRPr="000C163D">
        <w:t>This would have a positive influence on ICANN’s accountability, as the plaintiff was able to challenge ICANN’s actions and seek to hold it accountable.</w:t>
      </w:r>
    </w:p>
    <w:p w:rsidR="000C163D" w:rsidRPr="007E285D" w:rsidRDefault="000C163D" w:rsidP="000C163D">
      <w:pPr>
        <w:rPr>
          <w:b/>
          <w:bCs/>
          <w:color w:val="365F91" w:themeColor="accent1" w:themeShade="BF"/>
        </w:rPr>
      </w:pPr>
      <w:r w:rsidRPr="007E285D">
        <w:rPr>
          <w:b/>
          <w:bCs/>
          <w:color w:val="365F91" w:themeColor="accent1" w:themeShade="BF"/>
        </w:rPr>
        <w:t>c. The resolution of disputes (including this dispute)?</w:t>
      </w:r>
    </w:p>
    <w:p w:rsidR="000C163D" w:rsidRPr="000C163D" w:rsidRDefault="000C163D" w:rsidP="007E285D">
      <w:pPr>
        <w:pStyle w:val="ListParagraph"/>
        <w:numPr>
          <w:ilvl w:val="0"/>
          <w:numId w:val="2"/>
        </w:numPr>
        <w:spacing w:after="120" w:line="240" w:lineRule="auto"/>
        <w:contextualSpacing w:val="0"/>
      </w:pPr>
      <w:r w:rsidRPr="000C163D">
        <w:t xml:space="preserve">The </w:t>
      </w:r>
      <w:r w:rsidRPr="00E20B15">
        <w:rPr>
          <w:b/>
          <w:bCs/>
        </w:rPr>
        <w:t xml:space="preserve">governing law </w:t>
      </w:r>
      <w:r w:rsidRPr="000C163D">
        <w:t>could influence the case, as the law of another</w:t>
      </w:r>
      <w:r>
        <w:t xml:space="preserve"> </w:t>
      </w:r>
      <w:r w:rsidRPr="000C163D">
        <w:t>jurisdiction could (a) view ICANN’s policies or actions differently, (b) have</w:t>
      </w:r>
      <w:r>
        <w:t xml:space="preserve"> </w:t>
      </w:r>
      <w:r w:rsidRPr="000C163D">
        <w:t>different burdens of proof, (c) have different standards of review of ICANN’s</w:t>
      </w:r>
      <w:r>
        <w:t xml:space="preserve"> </w:t>
      </w:r>
      <w:r w:rsidRPr="000C163D">
        <w:t>actions, (d) have different remedies, (e) have different causes of action, or (f)</w:t>
      </w:r>
      <w:r>
        <w:t xml:space="preserve"> </w:t>
      </w:r>
      <w:r w:rsidRPr="000C163D">
        <w:t>have different rules on who pays.</w:t>
      </w:r>
    </w:p>
    <w:p w:rsidR="000C163D" w:rsidRPr="000C163D" w:rsidRDefault="000C163D" w:rsidP="007E285D">
      <w:pPr>
        <w:pStyle w:val="ListParagraph"/>
        <w:numPr>
          <w:ilvl w:val="1"/>
          <w:numId w:val="2"/>
        </w:numPr>
        <w:spacing w:after="120" w:line="240" w:lineRule="auto"/>
        <w:contextualSpacing w:val="0"/>
      </w:pPr>
      <w:r w:rsidRPr="000C163D">
        <w:lastRenderedPageBreak/>
        <w:t>These could influence the outcome of the hypothetical case, the type of</w:t>
      </w:r>
      <w:r>
        <w:t xml:space="preserve"> </w:t>
      </w:r>
      <w:r w:rsidRPr="000C163D">
        <w:t>redress, and the financial burden of bringing (or defending) the case.</w:t>
      </w:r>
    </w:p>
    <w:p w:rsidR="000C163D" w:rsidRDefault="000C163D" w:rsidP="007E285D">
      <w:pPr>
        <w:pStyle w:val="ListParagraph"/>
        <w:numPr>
          <w:ilvl w:val="1"/>
          <w:numId w:val="2"/>
        </w:numPr>
        <w:spacing w:after="120" w:line="240" w:lineRule="auto"/>
        <w:contextualSpacing w:val="0"/>
      </w:pPr>
      <w:r w:rsidRPr="000C163D">
        <w:t>Assuming US jurisdiction, to the extent ICANN’s policies and actions are</w:t>
      </w:r>
      <w:r>
        <w:t xml:space="preserve"> </w:t>
      </w:r>
      <w:r w:rsidRPr="000C163D">
        <w:t>generally consistent with US law, this would tend to make the outcome</w:t>
      </w:r>
      <w:r>
        <w:t xml:space="preserve"> </w:t>
      </w:r>
      <w:r w:rsidRPr="000C163D">
        <w:t>would be more predictable. The burden of proof would likely be</w:t>
      </w:r>
      <w:r>
        <w:t xml:space="preserve"> </w:t>
      </w:r>
      <w:r w:rsidRPr="000C163D">
        <w:t>“preponderance of the evidence,” both money damages and equitable</w:t>
      </w:r>
      <w:r>
        <w:t xml:space="preserve"> </w:t>
      </w:r>
      <w:r w:rsidRPr="000C163D">
        <w:t>relief (changing actions) would be available, and each party would bear</w:t>
      </w:r>
      <w:r>
        <w:t xml:space="preserve"> </w:t>
      </w:r>
      <w:r w:rsidRPr="000C163D">
        <w:t>their own costs.</w:t>
      </w:r>
    </w:p>
    <w:p w:rsidR="000C163D" w:rsidRDefault="000C163D" w:rsidP="007E285D">
      <w:pPr>
        <w:pStyle w:val="ListParagraph"/>
        <w:numPr>
          <w:ilvl w:val="0"/>
          <w:numId w:val="2"/>
        </w:numPr>
        <w:spacing w:after="120" w:line="240" w:lineRule="auto"/>
        <w:contextualSpacing w:val="0"/>
      </w:pPr>
      <w:r w:rsidRPr="000C163D">
        <w:t xml:space="preserve">The </w:t>
      </w:r>
      <w:r w:rsidRPr="00E20B15">
        <w:rPr>
          <w:b/>
        </w:rPr>
        <w:t>venue</w:t>
      </w:r>
      <w:r w:rsidRPr="000C163D">
        <w:t xml:space="preserve"> could influence the case, as a different venue could (a) choose to apply a different governing law, (b) cost less (or more), (c) have different burdens of proof, (d) have different remedies, (e) have different rules on who pays, (f) have different approaches to transparency, (g) have different approaches to appeals, (h) have different evidentiary standards, (i) be more or less predictable, (j) be quicker (or slower), or (k) take place in a different language. </w:t>
      </w:r>
    </w:p>
    <w:p w:rsidR="000C163D" w:rsidRDefault="000C163D" w:rsidP="007E285D">
      <w:pPr>
        <w:pStyle w:val="ListParagraph"/>
        <w:numPr>
          <w:ilvl w:val="1"/>
          <w:numId w:val="2"/>
        </w:numPr>
        <w:spacing w:after="120" w:line="240" w:lineRule="auto"/>
        <w:contextualSpacing w:val="0"/>
      </w:pPr>
      <w:r w:rsidRPr="000C163D">
        <w:t xml:space="preserve">These could influence the outcome of the hypothetical case, the type of redress, the financial burden on the parties. </w:t>
      </w:r>
    </w:p>
    <w:p w:rsidR="000C163D" w:rsidRDefault="000C163D" w:rsidP="007E285D">
      <w:pPr>
        <w:pStyle w:val="ListParagraph"/>
        <w:numPr>
          <w:ilvl w:val="1"/>
          <w:numId w:val="2"/>
        </w:numPr>
        <w:spacing w:after="120" w:line="240" w:lineRule="auto"/>
        <w:contextualSpacing w:val="0"/>
      </w:pPr>
      <w:r w:rsidRPr="000C163D">
        <w:t>Assuming a U.S. court, US conflict of laws rules would apply, the proceedings would be relatively costly, damages and equitable relief would be available, each party would bear their own costs, the hearings and pleadings would be public, the case would be appealable, preponderance of the evidence would apply, the outcome would be relatively predictable, the case would likely move relatively slowly, and the case would take place in English (though translation may be available).</w:t>
      </w:r>
    </w:p>
    <w:p w:rsidR="000C163D" w:rsidRDefault="000C163D" w:rsidP="007E285D">
      <w:pPr>
        <w:pStyle w:val="ListParagraph"/>
        <w:numPr>
          <w:ilvl w:val="0"/>
          <w:numId w:val="2"/>
        </w:numPr>
        <w:spacing w:after="120" w:line="240" w:lineRule="auto"/>
        <w:contextualSpacing w:val="0"/>
      </w:pPr>
      <w:r>
        <w:t>In a common law jurisdiction, the outcome of the case would serve as</w:t>
      </w:r>
      <w:r>
        <w:t xml:space="preserve"> </w:t>
      </w:r>
      <w:r>
        <w:t>precedent in future cases, assuming the case took place in court and not in</w:t>
      </w:r>
      <w:r>
        <w:t xml:space="preserve"> </w:t>
      </w:r>
      <w:r>
        <w:t>arbitration.</w:t>
      </w:r>
    </w:p>
    <w:p w:rsidR="000C163D" w:rsidRDefault="000C163D" w:rsidP="007E285D">
      <w:pPr>
        <w:pStyle w:val="ListParagraph"/>
        <w:numPr>
          <w:ilvl w:val="1"/>
          <w:numId w:val="2"/>
        </w:numPr>
        <w:spacing w:after="120" w:line="240" w:lineRule="auto"/>
        <w:contextualSpacing w:val="0"/>
      </w:pPr>
      <w:r>
        <w:t>Assuming a U.S. court, the outcome would serve as precedent, both in</w:t>
      </w:r>
      <w:r>
        <w:t xml:space="preserve"> </w:t>
      </w:r>
      <w:r>
        <w:t>cases involving ICANN and more generally.</w:t>
      </w:r>
    </w:p>
    <w:p w:rsidR="00E20B15" w:rsidRDefault="00E20B15">
      <w:r>
        <w:br w:type="page"/>
      </w:r>
    </w:p>
    <w:p w:rsidR="00E20B15" w:rsidRPr="00B60C2B" w:rsidRDefault="00E20B15" w:rsidP="00E20B15">
      <w:pPr>
        <w:autoSpaceDE w:val="0"/>
        <w:autoSpaceDN w:val="0"/>
        <w:adjustRightInd w:val="0"/>
        <w:spacing w:after="0" w:line="240" w:lineRule="auto"/>
        <w:rPr>
          <w:rFonts w:ascii="Arial" w:hAnsi="Arial" w:cs="Arial"/>
          <w:b/>
          <w:bCs/>
          <w:color w:val="365F91" w:themeColor="accent1" w:themeShade="BF"/>
          <w:sz w:val="28"/>
          <w:szCs w:val="28"/>
        </w:rPr>
      </w:pPr>
      <w:r w:rsidRPr="00B60C2B">
        <w:rPr>
          <w:rFonts w:ascii="Arial" w:hAnsi="Arial" w:cs="Arial"/>
          <w:b/>
          <w:bCs/>
          <w:color w:val="365F91" w:themeColor="accent1" w:themeShade="BF"/>
          <w:sz w:val="28"/>
          <w:szCs w:val="28"/>
        </w:rPr>
        <w:lastRenderedPageBreak/>
        <w:t>Variables and Alternate Facts</w:t>
      </w:r>
    </w:p>
    <w:p w:rsidR="00A54763" w:rsidRPr="00B60C2B" w:rsidRDefault="00A54763" w:rsidP="00E20B15">
      <w:pPr>
        <w:autoSpaceDE w:val="0"/>
        <w:autoSpaceDN w:val="0"/>
        <w:adjustRightInd w:val="0"/>
        <w:spacing w:after="0" w:line="240" w:lineRule="auto"/>
        <w:rPr>
          <w:rFonts w:ascii="Arial" w:hAnsi="Arial" w:cs="Arial"/>
          <w:b/>
          <w:bCs/>
          <w:color w:val="365F91" w:themeColor="accent1" w:themeShade="BF"/>
          <w:sz w:val="24"/>
          <w:szCs w:val="24"/>
        </w:rPr>
      </w:pPr>
    </w:p>
    <w:p w:rsidR="007E285D" w:rsidRPr="00B60C2B" w:rsidRDefault="007E285D" w:rsidP="00E20B15">
      <w:pPr>
        <w:autoSpaceDE w:val="0"/>
        <w:autoSpaceDN w:val="0"/>
        <w:adjustRightInd w:val="0"/>
        <w:spacing w:after="0" w:line="240" w:lineRule="auto"/>
        <w:rPr>
          <w:rFonts w:cstheme="minorHAnsi"/>
          <w:b/>
          <w:bCs/>
          <w:color w:val="365F91" w:themeColor="accent1" w:themeShade="BF"/>
          <w:sz w:val="24"/>
          <w:szCs w:val="24"/>
        </w:rPr>
      </w:pPr>
      <w:r w:rsidRPr="00B60C2B">
        <w:rPr>
          <w:rFonts w:cstheme="minorHAnsi"/>
          <w:b/>
          <w:bCs/>
          <w:color w:val="365F91" w:themeColor="accent1" w:themeShade="BF"/>
          <w:sz w:val="24"/>
          <w:szCs w:val="24"/>
        </w:rPr>
        <w:t>How would the following influence our analysis, if at all?</w:t>
      </w:r>
    </w:p>
    <w:p w:rsidR="007E285D" w:rsidRPr="00B60C2B" w:rsidRDefault="007E285D" w:rsidP="00E20B15">
      <w:pPr>
        <w:autoSpaceDE w:val="0"/>
        <w:autoSpaceDN w:val="0"/>
        <w:adjustRightInd w:val="0"/>
        <w:spacing w:after="0" w:line="240" w:lineRule="auto"/>
        <w:rPr>
          <w:rFonts w:cstheme="minorHAnsi"/>
          <w:b/>
          <w:bCs/>
          <w:color w:val="0070C1"/>
          <w:sz w:val="24"/>
          <w:szCs w:val="24"/>
        </w:rPr>
      </w:pPr>
    </w:p>
    <w:tbl>
      <w:tblPr>
        <w:tblStyle w:val="TableGrid"/>
        <w:tblW w:w="0" w:type="auto"/>
        <w:tblLook w:val="04A0" w:firstRow="1" w:lastRow="0" w:firstColumn="1" w:lastColumn="0" w:noHBand="0" w:noVBand="1"/>
      </w:tblPr>
      <w:tblGrid>
        <w:gridCol w:w="4788"/>
        <w:gridCol w:w="4788"/>
      </w:tblGrid>
      <w:tr w:rsidR="00E20B15" w:rsidRPr="00B60C2B" w:rsidTr="00B60C2B">
        <w:tc>
          <w:tcPr>
            <w:tcW w:w="4788" w:type="dxa"/>
            <w:shd w:val="clear" w:color="auto" w:fill="DBE5F1" w:themeFill="accent1" w:themeFillTint="33"/>
          </w:tcPr>
          <w:p w:rsidR="00E20B15" w:rsidRPr="00B60C2B" w:rsidRDefault="00E20B15" w:rsidP="00E20B15">
            <w:pPr>
              <w:autoSpaceDE w:val="0"/>
              <w:autoSpaceDN w:val="0"/>
              <w:adjustRightInd w:val="0"/>
              <w:rPr>
                <w:rFonts w:cstheme="minorHAnsi"/>
                <w:b/>
                <w:bCs/>
                <w:color w:val="365F91" w:themeColor="accent1" w:themeShade="BF"/>
                <w:sz w:val="24"/>
                <w:szCs w:val="24"/>
              </w:rPr>
            </w:pPr>
            <w:r w:rsidRPr="00B60C2B">
              <w:rPr>
                <w:rFonts w:cstheme="minorHAnsi"/>
                <w:b/>
                <w:bCs/>
                <w:color w:val="365F91" w:themeColor="accent1" w:themeShade="BF"/>
                <w:sz w:val="24"/>
                <w:szCs w:val="24"/>
              </w:rPr>
              <w:t>Unknown Variables:</w:t>
            </w:r>
          </w:p>
        </w:tc>
        <w:tc>
          <w:tcPr>
            <w:tcW w:w="4788" w:type="dxa"/>
            <w:shd w:val="clear" w:color="auto" w:fill="DBE5F1" w:themeFill="accent1" w:themeFillTint="33"/>
          </w:tcPr>
          <w:p w:rsidR="00E20B15" w:rsidRPr="00B60C2B" w:rsidRDefault="00A54763" w:rsidP="007E285D">
            <w:pPr>
              <w:autoSpaceDE w:val="0"/>
              <w:autoSpaceDN w:val="0"/>
              <w:adjustRightInd w:val="0"/>
              <w:rPr>
                <w:rFonts w:cstheme="minorHAnsi"/>
                <w:b/>
                <w:bCs/>
                <w:color w:val="365F91" w:themeColor="accent1" w:themeShade="BF"/>
                <w:sz w:val="24"/>
                <w:szCs w:val="24"/>
              </w:rPr>
            </w:pPr>
            <w:r w:rsidRPr="00B60C2B">
              <w:rPr>
                <w:rFonts w:cstheme="minorHAnsi"/>
                <w:b/>
                <w:bCs/>
                <w:color w:val="365F91" w:themeColor="accent1" w:themeShade="BF"/>
                <w:sz w:val="24"/>
                <w:szCs w:val="24"/>
              </w:rPr>
              <w:t>Alternat</w:t>
            </w:r>
            <w:r w:rsidR="007E285D" w:rsidRPr="00B60C2B">
              <w:rPr>
                <w:rFonts w:cstheme="minorHAnsi"/>
                <w:b/>
                <w:bCs/>
                <w:color w:val="365F91" w:themeColor="accent1" w:themeShade="BF"/>
                <w:sz w:val="24"/>
                <w:szCs w:val="24"/>
              </w:rPr>
              <w:t>e</w:t>
            </w:r>
            <w:r w:rsidRPr="00B60C2B">
              <w:rPr>
                <w:rFonts w:cstheme="minorHAnsi"/>
                <w:b/>
                <w:bCs/>
                <w:color w:val="365F91" w:themeColor="accent1" w:themeShade="BF"/>
                <w:sz w:val="24"/>
                <w:szCs w:val="24"/>
              </w:rPr>
              <w:t xml:space="preserve"> Facts</w:t>
            </w:r>
          </w:p>
        </w:tc>
      </w:tr>
      <w:tr w:rsidR="00E20B15" w:rsidTr="00E20B15">
        <w:tc>
          <w:tcPr>
            <w:tcW w:w="4788" w:type="dxa"/>
          </w:tcPr>
          <w:p w:rsidR="00E20B15" w:rsidRPr="007E285D" w:rsidRDefault="00E20B15" w:rsidP="00B60C2B">
            <w:pPr>
              <w:pStyle w:val="ListParagraph"/>
              <w:numPr>
                <w:ilvl w:val="0"/>
                <w:numId w:val="2"/>
              </w:numPr>
              <w:autoSpaceDE w:val="0"/>
              <w:autoSpaceDN w:val="0"/>
              <w:adjustRightInd w:val="0"/>
              <w:spacing w:before="120" w:after="60"/>
              <w:ind w:left="360"/>
              <w:contextualSpacing w:val="0"/>
              <w:rPr>
                <w:rFonts w:cstheme="minorHAnsi"/>
                <w:color w:val="0A1F24"/>
              </w:rPr>
            </w:pPr>
            <w:r w:rsidRPr="007E285D">
              <w:rPr>
                <w:rFonts w:cstheme="minorHAnsi"/>
                <w:color w:val="0A1F24"/>
              </w:rPr>
              <w:t>What does “acceptance of certain</w:t>
            </w:r>
            <w:r w:rsidR="00A54763" w:rsidRPr="007E285D">
              <w:rPr>
                <w:rFonts w:cstheme="minorHAnsi"/>
                <w:color w:val="0A1F24"/>
              </w:rPr>
              <w:t xml:space="preserve"> </w:t>
            </w:r>
            <w:r w:rsidRPr="007E285D">
              <w:rPr>
                <w:rFonts w:cstheme="minorHAnsi"/>
                <w:color w:val="0A1F24"/>
              </w:rPr>
              <w:t>terms of registry operation” mean?</w:t>
            </w:r>
          </w:p>
          <w:p w:rsidR="00E20B15" w:rsidRPr="007E285D" w:rsidRDefault="00E20B15" w:rsidP="007E285D">
            <w:pPr>
              <w:pStyle w:val="ListParagraph"/>
              <w:numPr>
                <w:ilvl w:val="0"/>
                <w:numId w:val="2"/>
              </w:numPr>
              <w:autoSpaceDE w:val="0"/>
              <w:autoSpaceDN w:val="0"/>
              <w:adjustRightInd w:val="0"/>
              <w:spacing w:after="60"/>
              <w:ind w:left="360"/>
              <w:contextualSpacing w:val="0"/>
              <w:rPr>
                <w:rFonts w:cstheme="minorHAnsi"/>
                <w:color w:val="0A1F24"/>
              </w:rPr>
            </w:pPr>
            <w:r w:rsidRPr="007E285D">
              <w:rPr>
                <w:rFonts w:cstheme="minorHAnsi"/>
                <w:color w:val="0A1F24"/>
              </w:rPr>
              <w:t>Who is the plaintiff?</w:t>
            </w:r>
          </w:p>
          <w:p w:rsidR="00E20B15" w:rsidRPr="007E285D" w:rsidRDefault="00E20B15" w:rsidP="00B60C2B">
            <w:pPr>
              <w:pStyle w:val="ListParagraph"/>
              <w:numPr>
                <w:ilvl w:val="0"/>
                <w:numId w:val="4"/>
              </w:numPr>
              <w:autoSpaceDE w:val="0"/>
              <w:autoSpaceDN w:val="0"/>
              <w:adjustRightInd w:val="0"/>
              <w:spacing w:after="60"/>
              <w:ind w:left="720" w:hanging="180"/>
              <w:contextualSpacing w:val="0"/>
              <w:rPr>
                <w:rFonts w:cstheme="minorHAnsi"/>
                <w:color w:val="0A1F24"/>
              </w:rPr>
            </w:pPr>
            <w:r w:rsidRPr="007E285D">
              <w:rPr>
                <w:rFonts w:cstheme="minorHAnsi"/>
                <w:color w:val="0A1F24"/>
              </w:rPr>
              <w:t>What is their relationship to</w:t>
            </w:r>
            <w:r w:rsidR="00A54763" w:rsidRPr="007E285D">
              <w:rPr>
                <w:rFonts w:cstheme="minorHAnsi"/>
                <w:color w:val="0A1F24"/>
              </w:rPr>
              <w:t xml:space="preserve"> </w:t>
            </w:r>
            <w:r w:rsidRPr="007E285D">
              <w:rPr>
                <w:rFonts w:cstheme="minorHAnsi"/>
                <w:color w:val="0A1F24"/>
              </w:rPr>
              <w:t>ICANN’s actions?</w:t>
            </w:r>
          </w:p>
          <w:p w:rsidR="00E20B15" w:rsidRPr="007E285D" w:rsidRDefault="00E20B15" w:rsidP="007E285D">
            <w:pPr>
              <w:pStyle w:val="ListParagraph"/>
              <w:numPr>
                <w:ilvl w:val="0"/>
                <w:numId w:val="4"/>
              </w:numPr>
              <w:autoSpaceDE w:val="0"/>
              <w:autoSpaceDN w:val="0"/>
              <w:adjustRightInd w:val="0"/>
              <w:spacing w:after="60"/>
              <w:ind w:left="360"/>
              <w:contextualSpacing w:val="0"/>
              <w:rPr>
                <w:rFonts w:cstheme="minorHAnsi"/>
                <w:color w:val="0A1F24"/>
              </w:rPr>
            </w:pPr>
            <w:r w:rsidRPr="007E285D">
              <w:rPr>
                <w:rFonts w:cstheme="minorHAnsi"/>
                <w:color w:val="0A1F24"/>
              </w:rPr>
              <w:t>What law(s) are alleged to be</w:t>
            </w:r>
            <w:r w:rsidR="00A54763" w:rsidRPr="007E285D">
              <w:rPr>
                <w:rFonts w:cstheme="minorHAnsi"/>
                <w:color w:val="0A1F24"/>
              </w:rPr>
              <w:t xml:space="preserve"> </w:t>
            </w:r>
            <w:r w:rsidRPr="007E285D">
              <w:rPr>
                <w:rFonts w:cstheme="minorHAnsi"/>
                <w:color w:val="0A1F24"/>
              </w:rPr>
              <w:t>violated?</w:t>
            </w:r>
          </w:p>
          <w:p w:rsidR="00E20B15" w:rsidRPr="007E285D" w:rsidRDefault="00E20B15" w:rsidP="007E285D">
            <w:pPr>
              <w:pStyle w:val="ListParagraph"/>
              <w:numPr>
                <w:ilvl w:val="0"/>
                <w:numId w:val="4"/>
              </w:numPr>
              <w:autoSpaceDE w:val="0"/>
              <w:autoSpaceDN w:val="0"/>
              <w:adjustRightInd w:val="0"/>
              <w:spacing w:after="60"/>
              <w:ind w:left="360"/>
              <w:contextualSpacing w:val="0"/>
              <w:rPr>
                <w:rFonts w:cstheme="minorHAnsi"/>
                <w:color w:val="0A1F24"/>
              </w:rPr>
            </w:pPr>
            <w:r w:rsidRPr="007E285D">
              <w:rPr>
                <w:rFonts w:cstheme="minorHAnsi"/>
                <w:color w:val="0A1F24"/>
              </w:rPr>
              <w:t>What harm is alleged?</w:t>
            </w:r>
          </w:p>
          <w:p w:rsidR="00E20B15" w:rsidRPr="007E285D" w:rsidRDefault="00E20B15" w:rsidP="007E285D">
            <w:pPr>
              <w:pStyle w:val="ListParagraph"/>
              <w:numPr>
                <w:ilvl w:val="0"/>
                <w:numId w:val="4"/>
              </w:numPr>
              <w:autoSpaceDE w:val="0"/>
              <w:autoSpaceDN w:val="0"/>
              <w:adjustRightInd w:val="0"/>
              <w:spacing w:after="60"/>
              <w:ind w:left="360"/>
              <w:contextualSpacing w:val="0"/>
              <w:rPr>
                <w:rFonts w:cstheme="minorHAnsi"/>
                <w:color w:val="0A1F24"/>
              </w:rPr>
            </w:pPr>
            <w:r w:rsidRPr="007E285D">
              <w:rPr>
                <w:rFonts w:cstheme="minorHAnsi"/>
                <w:color w:val="0A1F24"/>
              </w:rPr>
              <w:t>What governing law is being applied?</w:t>
            </w:r>
          </w:p>
          <w:p w:rsidR="00E20B15" w:rsidRPr="007E285D" w:rsidRDefault="00E20B15" w:rsidP="00B60C2B">
            <w:pPr>
              <w:pStyle w:val="ListParagraph"/>
              <w:numPr>
                <w:ilvl w:val="0"/>
                <w:numId w:val="4"/>
              </w:numPr>
              <w:autoSpaceDE w:val="0"/>
              <w:autoSpaceDN w:val="0"/>
              <w:adjustRightInd w:val="0"/>
              <w:spacing w:after="60"/>
              <w:ind w:left="720" w:hanging="180"/>
              <w:contextualSpacing w:val="0"/>
              <w:rPr>
                <w:rFonts w:cstheme="minorHAnsi"/>
                <w:color w:val="0A1F24"/>
              </w:rPr>
            </w:pPr>
            <w:r w:rsidRPr="007E285D">
              <w:rPr>
                <w:rFonts w:cstheme="minorHAnsi"/>
                <w:color w:val="0A1F24"/>
              </w:rPr>
              <w:t>Is a choice of law provision</w:t>
            </w:r>
            <w:r w:rsidR="00A54763" w:rsidRPr="007E285D">
              <w:rPr>
                <w:rFonts w:cstheme="minorHAnsi"/>
                <w:color w:val="0A1F24"/>
              </w:rPr>
              <w:t xml:space="preserve"> </w:t>
            </w:r>
            <w:r w:rsidRPr="007E285D">
              <w:rPr>
                <w:rFonts w:cstheme="minorHAnsi"/>
                <w:color w:val="0A1F24"/>
              </w:rPr>
              <w:t>involved?</w:t>
            </w:r>
          </w:p>
          <w:p w:rsidR="00E20B15" w:rsidRPr="007E285D" w:rsidRDefault="00E20B15" w:rsidP="007E285D">
            <w:pPr>
              <w:pStyle w:val="ListParagraph"/>
              <w:numPr>
                <w:ilvl w:val="0"/>
                <w:numId w:val="4"/>
              </w:numPr>
              <w:autoSpaceDE w:val="0"/>
              <w:autoSpaceDN w:val="0"/>
              <w:adjustRightInd w:val="0"/>
              <w:spacing w:after="60"/>
              <w:ind w:left="360"/>
              <w:contextualSpacing w:val="0"/>
              <w:rPr>
                <w:rFonts w:cstheme="minorHAnsi"/>
                <w:color w:val="0A1F24"/>
              </w:rPr>
            </w:pPr>
            <w:r w:rsidRPr="007E285D">
              <w:rPr>
                <w:rFonts w:cstheme="minorHAnsi"/>
                <w:color w:val="0A1F24"/>
              </w:rPr>
              <w:t>What venue does this take place in?</w:t>
            </w:r>
          </w:p>
          <w:p w:rsidR="00E20B15" w:rsidRPr="007E285D" w:rsidRDefault="00E20B15" w:rsidP="007E285D">
            <w:pPr>
              <w:pStyle w:val="ListParagraph"/>
              <w:numPr>
                <w:ilvl w:val="0"/>
                <w:numId w:val="4"/>
              </w:numPr>
              <w:autoSpaceDE w:val="0"/>
              <w:autoSpaceDN w:val="0"/>
              <w:adjustRightInd w:val="0"/>
              <w:spacing w:after="60"/>
              <w:ind w:left="360"/>
              <w:contextualSpacing w:val="0"/>
              <w:rPr>
                <w:rFonts w:cstheme="minorHAnsi"/>
                <w:color w:val="0A1F24"/>
              </w:rPr>
            </w:pPr>
            <w:r w:rsidRPr="007E285D">
              <w:rPr>
                <w:rFonts w:cstheme="minorHAnsi"/>
                <w:color w:val="0A1F24"/>
              </w:rPr>
              <w:t>Is a contract involved?</w:t>
            </w:r>
          </w:p>
          <w:p w:rsidR="00E20B15" w:rsidRPr="007E285D" w:rsidRDefault="00E20B15" w:rsidP="00B60C2B">
            <w:pPr>
              <w:pStyle w:val="ListParagraph"/>
              <w:numPr>
                <w:ilvl w:val="0"/>
                <w:numId w:val="4"/>
              </w:numPr>
              <w:autoSpaceDE w:val="0"/>
              <w:autoSpaceDN w:val="0"/>
              <w:adjustRightInd w:val="0"/>
              <w:spacing w:after="60"/>
              <w:ind w:left="720" w:hanging="180"/>
              <w:contextualSpacing w:val="0"/>
              <w:rPr>
                <w:rFonts w:cstheme="minorHAnsi"/>
                <w:color w:val="0A1F24"/>
              </w:rPr>
            </w:pPr>
            <w:r w:rsidRPr="007E285D">
              <w:rPr>
                <w:rFonts w:cstheme="minorHAnsi"/>
                <w:color w:val="0A1F24"/>
              </w:rPr>
              <w:t>Is the plaintiff a party?</w:t>
            </w:r>
          </w:p>
          <w:p w:rsidR="00E20B15" w:rsidRPr="007E285D" w:rsidRDefault="00E20B15" w:rsidP="007E285D">
            <w:pPr>
              <w:pStyle w:val="ListParagraph"/>
              <w:numPr>
                <w:ilvl w:val="0"/>
                <w:numId w:val="4"/>
              </w:numPr>
              <w:autoSpaceDE w:val="0"/>
              <w:autoSpaceDN w:val="0"/>
              <w:adjustRightInd w:val="0"/>
              <w:spacing w:after="60"/>
              <w:ind w:left="360"/>
              <w:contextualSpacing w:val="0"/>
              <w:rPr>
                <w:rFonts w:cstheme="minorHAnsi"/>
                <w:color w:val="0A1F24"/>
              </w:rPr>
            </w:pPr>
            <w:r w:rsidRPr="007E285D">
              <w:rPr>
                <w:rFonts w:cstheme="minorHAnsi"/>
                <w:color w:val="0A1F24"/>
              </w:rPr>
              <w:t>What gTLD is involved?</w:t>
            </w:r>
          </w:p>
          <w:p w:rsidR="00E20B15" w:rsidRPr="007E285D" w:rsidRDefault="00E20B15" w:rsidP="00B60C2B">
            <w:pPr>
              <w:pStyle w:val="ListParagraph"/>
              <w:numPr>
                <w:ilvl w:val="0"/>
                <w:numId w:val="4"/>
              </w:numPr>
              <w:autoSpaceDE w:val="0"/>
              <w:autoSpaceDN w:val="0"/>
              <w:adjustRightInd w:val="0"/>
              <w:spacing w:after="60"/>
              <w:ind w:left="720" w:hanging="180"/>
              <w:contextualSpacing w:val="0"/>
              <w:rPr>
                <w:rFonts w:cstheme="minorHAnsi"/>
                <w:color w:val="0A1F24"/>
              </w:rPr>
            </w:pPr>
            <w:r w:rsidRPr="007E285D">
              <w:rPr>
                <w:rFonts w:cstheme="minorHAnsi"/>
                <w:color w:val="0A1F24"/>
              </w:rPr>
              <w:t>Does it matter?</w:t>
            </w:r>
          </w:p>
          <w:p w:rsidR="00E20B15" w:rsidRPr="007E285D" w:rsidRDefault="00E20B15" w:rsidP="00B60C2B">
            <w:pPr>
              <w:pStyle w:val="ListParagraph"/>
              <w:numPr>
                <w:ilvl w:val="0"/>
                <w:numId w:val="4"/>
              </w:numPr>
              <w:autoSpaceDE w:val="0"/>
              <w:autoSpaceDN w:val="0"/>
              <w:adjustRightInd w:val="0"/>
              <w:spacing w:after="60"/>
              <w:ind w:left="720" w:hanging="180"/>
              <w:contextualSpacing w:val="0"/>
              <w:rPr>
                <w:rFonts w:cstheme="minorHAnsi"/>
                <w:color w:val="0A1F24"/>
              </w:rPr>
            </w:pPr>
            <w:r w:rsidRPr="007E285D">
              <w:rPr>
                <w:rFonts w:cstheme="minorHAnsi"/>
                <w:color w:val="0A1F24"/>
              </w:rPr>
              <w:t>What is the plaintiff’s</w:t>
            </w:r>
            <w:r w:rsidR="00A54763" w:rsidRPr="007E285D">
              <w:rPr>
                <w:rFonts w:cstheme="minorHAnsi"/>
                <w:color w:val="0A1F24"/>
              </w:rPr>
              <w:t xml:space="preserve"> </w:t>
            </w:r>
            <w:r w:rsidRPr="007E285D">
              <w:rPr>
                <w:rFonts w:cstheme="minorHAnsi"/>
                <w:color w:val="0A1F24"/>
              </w:rPr>
              <w:t>relationship to the gTLD?</w:t>
            </w:r>
          </w:p>
          <w:p w:rsidR="00E20B15" w:rsidRPr="007E285D" w:rsidRDefault="00E20B15" w:rsidP="007E285D">
            <w:pPr>
              <w:autoSpaceDE w:val="0"/>
              <w:autoSpaceDN w:val="0"/>
              <w:adjustRightInd w:val="0"/>
              <w:spacing w:after="60"/>
              <w:rPr>
                <w:rFonts w:cstheme="minorHAnsi"/>
                <w:b/>
                <w:bCs/>
                <w:color w:val="0A1F24"/>
              </w:rPr>
            </w:pPr>
          </w:p>
        </w:tc>
        <w:tc>
          <w:tcPr>
            <w:tcW w:w="4788" w:type="dxa"/>
          </w:tcPr>
          <w:p w:rsidR="00A54763" w:rsidRPr="007E285D" w:rsidRDefault="00A54763" w:rsidP="00B60C2B">
            <w:pPr>
              <w:autoSpaceDE w:val="0"/>
              <w:autoSpaceDN w:val="0"/>
              <w:adjustRightInd w:val="0"/>
              <w:spacing w:before="120" w:after="60"/>
              <w:rPr>
                <w:rFonts w:cstheme="minorHAnsi"/>
                <w:color w:val="0A1F24"/>
              </w:rPr>
            </w:pPr>
            <w:r w:rsidRPr="007E285D">
              <w:rPr>
                <w:rFonts w:cstheme="minorHAnsi"/>
                <w:color w:val="0A1F24"/>
              </w:rPr>
              <w:t>• US court applies:</w:t>
            </w:r>
          </w:p>
          <w:p w:rsidR="00A54763" w:rsidRPr="007E285D" w:rsidRDefault="00A54763" w:rsidP="007E285D">
            <w:pPr>
              <w:autoSpaceDE w:val="0"/>
              <w:autoSpaceDN w:val="0"/>
              <w:adjustRightInd w:val="0"/>
              <w:spacing w:after="60"/>
              <w:ind w:left="1062" w:hanging="720"/>
              <w:rPr>
                <w:rFonts w:cstheme="minorHAnsi"/>
                <w:color w:val="0A1F24"/>
              </w:rPr>
            </w:pPr>
            <w:r w:rsidRPr="007E285D">
              <w:rPr>
                <w:rFonts w:cstheme="minorHAnsi"/>
                <w:color w:val="0A1F24"/>
              </w:rPr>
              <w:t>• US law, including California law.</w:t>
            </w:r>
          </w:p>
          <w:p w:rsidR="00A54763" w:rsidRPr="007E285D" w:rsidRDefault="00A54763" w:rsidP="007E285D">
            <w:pPr>
              <w:autoSpaceDE w:val="0"/>
              <w:autoSpaceDN w:val="0"/>
              <w:adjustRightInd w:val="0"/>
              <w:spacing w:after="60"/>
              <w:ind w:left="1062" w:hanging="720"/>
              <w:rPr>
                <w:rFonts w:cstheme="minorHAnsi"/>
                <w:color w:val="0A1F24"/>
              </w:rPr>
            </w:pPr>
            <w:r w:rsidRPr="007E285D">
              <w:rPr>
                <w:rFonts w:cstheme="minorHAnsi"/>
                <w:color w:val="0A1F24"/>
              </w:rPr>
              <w:t>• US law, but uses the law of</w:t>
            </w:r>
            <w:r w:rsidR="00B60C2B">
              <w:rPr>
                <w:rFonts w:cstheme="minorHAnsi"/>
                <w:color w:val="0A1F24"/>
              </w:rPr>
              <w:t xml:space="preserve"> </w:t>
            </w:r>
            <w:bookmarkStart w:id="0" w:name="_GoBack"/>
            <w:bookmarkEnd w:id="0"/>
            <w:r w:rsidRPr="007E285D">
              <w:rPr>
                <w:rFonts w:cstheme="minorHAnsi"/>
                <w:color w:val="0A1F24"/>
              </w:rPr>
              <w:t>another state.</w:t>
            </w:r>
          </w:p>
          <w:p w:rsidR="00A54763" w:rsidRPr="007E285D" w:rsidRDefault="00A54763" w:rsidP="007E285D">
            <w:pPr>
              <w:autoSpaceDE w:val="0"/>
              <w:autoSpaceDN w:val="0"/>
              <w:adjustRightInd w:val="0"/>
              <w:spacing w:after="60"/>
              <w:ind w:left="1062" w:hanging="720"/>
              <w:rPr>
                <w:rFonts w:cstheme="minorHAnsi"/>
                <w:color w:val="0A1F24"/>
              </w:rPr>
            </w:pPr>
            <w:r w:rsidRPr="007E285D">
              <w:rPr>
                <w:rFonts w:cstheme="minorHAnsi"/>
                <w:color w:val="0A1F24"/>
              </w:rPr>
              <w:t>• The law of a non-U.S. jurisdiction</w:t>
            </w:r>
          </w:p>
          <w:p w:rsidR="00A54763" w:rsidRPr="007E285D" w:rsidRDefault="00A54763" w:rsidP="007E285D">
            <w:pPr>
              <w:autoSpaceDE w:val="0"/>
              <w:autoSpaceDN w:val="0"/>
              <w:adjustRightInd w:val="0"/>
              <w:spacing w:after="60"/>
              <w:rPr>
                <w:rFonts w:cstheme="minorHAnsi"/>
                <w:color w:val="0A1F24"/>
              </w:rPr>
            </w:pPr>
            <w:r w:rsidRPr="007E285D">
              <w:rPr>
                <w:rFonts w:cstheme="minorHAnsi"/>
                <w:color w:val="0A1F24"/>
              </w:rPr>
              <w:t>• Case takes place in a non-US court.</w:t>
            </w:r>
          </w:p>
          <w:p w:rsidR="00A54763" w:rsidRPr="007E285D" w:rsidRDefault="00A54763" w:rsidP="007E285D">
            <w:pPr>
              <w:autoSpaceDE w:val="0"/>
              <w:autoSpaceDN w:val="0"/>
              <w:adjustRightInd w:val="0"/>
              <w:spacing w:after="60"/>
              <w:ind w:left="792" w:hanging="450"/>
              <w:rPr>
                <w:rFonts w:cstheme="minorHAnsi"/>
                <w:color w:val="0A1F24"/>
              </w:rPr>
            </w:pPr>
            <w:r w:rsidRPr="007E285D">
              <w:rPr>
                <w:rFonts w:cstheme="minorHAnsi"/>
                <w:color w:val="0A1F24"/>
              </w:rPr>
              <w:t>• Singapore</w:t>
            </w:r>
          </w:p>
          <w:p w:rsidR="00A54763" w:rsidRPr="007E285D" w:rsidRDefault="00A54763" w:rsidP="007E285D">
            <w:pPr>
              <w:autoSpaceDE w:val="0"/>
              <w:autoSpaceDN w:val="0"/>
              <w:adjustRightInd w:val="0"/>
              <w:spacing w:after="60"/>
              <w:ind w:left="792" w:hanging="450"/>
              <w:rPr>
                <w:rFonts w:cstheme="minorHAnsi"/>
                <w:color w:val="0A1F24"/>
              </w:rPr>
            </w:pPr>
            <w:r w:rsidRPr="007E285D">
              <w:rPr>
                <w:rFonts w:cstheme="minorHAnsi"/>
                <w:color w:val="0A1F24"/>
              </w:rPr>
              <w:t>• Istanbul, etc.</w:t>
            </w:r>
          </w:p>
          <w:p w:rsidR="00A54763" w:rsidRPr="007E285D" w:rsidRDefault="00A54763" w:rsidP="007E285D">
            <w:pPr>
              <w:autoSpaceDE w:val="0"/>
              <w:autoSpaceDN w:val="0"/>
              <w:adjustRightInd w:val="0"/>
              <w:spacing w:after="60"/>
              <w:rPr>
                <w:rFonts w:cstheme="minorHAnsi"/>
                <w:color w:val="0A1F24"/>
              </w:rPr>
            </w:pPr>
            <w:r w:rsidRPr="007E285D">
              <w:rPr>
                <w:rFonts w:cstheme="minorHAnsi"/>
                <w:color w:val="0A1F24"/>
              </w:rPr>
              <w:t>• Non-US court applies:</w:t>
            </w:r>
          </w:p>
          <w:p w:rsidR="00A54763" w:rsidRPr="007E285D" w:rsidRDefault="00A54763" w:rsidP="007E285D">
            <w:pPr>
              <w:autoSpaceDE w:val="0"/>
              <w:autoSpaceDN w:val="0"/>
              <w:adjustRightInd w:val="0"/>
              <w:spacing w:after="60"/>
              <w:ind w:left="1062" w:hanging="720"/>
              <w:rPr>
                <w:rFonts w:cstheme="minorHAnsi"/>
                <w:color w:val="0A1F24"/>
              </w:rPr>
            </w:pPr>
            <w:r w:rsidRPr="007E285D">
              <w:rPr>
                <w:rFonts w:cstheme="minorHAnsi"/>
                <w:color w:val="0A1F24"/>
              </w:rPr>
              <w:t>• US law.</w:t>
            </w:r>
          </w:p>
          <w:p w:rsidR="00A54763" w:rsidRPr="007E285D" w:rsidRDefault="00A54763" w:rsidP="007E285D">
            <w:pPr>
              <w:autoSpaceDE w:val="0"/>
              <w:autoSpaceDN w:val="0"/>
              <w:adjustRightInd w:val="0"/>
              <w:spacing w:after="60"/>
              <w:ind w:left="1062" w:hanging="720"/>
              <w:rPr>
                <w:rFonts w:cstheme="minorHAnsi"/>
                <w:color w:val="0A1F24"/>
              </w:rPr>
            </w:pPr>
            <w:r w:rsidRPr="007E285D">
              <w:rPr>
                <w:rFonts w:cstheme="minorHAnsi"/>
                <w:color w:val="0A1F24"/>
              </w:rPr>
              <w:t xml:space="preserve">• </w:t>
            </w:r>
            <w:r w:rsidR="00B60C2B" w:rsidRPr="007E285D">
              <w:rPr>
                <w:rFonts w:cstheme="minorHAnsi"/>
                <w:color w:val="0A1F24"/>
              </w:rPr>
              <w:t>Non-US</w:t>
            </w:r>
            <w:r w:rsidRPr="007E285D">
              <w:rPr>
                <w:rFonts w:cstheme="minorHAnsi"/>
                <w:color w:val="0A1F24"/>
              </w:rPr>
              <w:t xml:space="preserve"> law.</w:t>
            </w:r>
          </w:p>
          <w:p w:rsidR="00A54763" w:rsidRPr="007E285D" w:rsidRDefault="00A54763" w:rsidP="007E285D">
            <w:pPr>
              <w:autoSpaceDE w:val="0"/>
              <w:autoSpaceDN w:val="0"/>
              <w:adjustRightInd w:val="0"/>
              <w:spacing w:after="60"/>
              <w:rPr>
                <w:rFonts w:cstheme="minorHAnsi"/>
                <w:color w:val="0A1F24"/>
              </w:rPr>
            </w:pPr>
            <w:r w:rsidRPr="007E285D">
              <w:rPr>
                <w:rFonts w:cstheme="minorHAnsi"/>
                <w:color w:val="0A1F24"/>
              </w:rPr>
              <w:t>• Court finds for plaintiff and awards:</w:t>
            </w:r>
          </w:p>
          <w:p w:rsidR="00A54763" w:rsidRPr="007E285D" w:rsidRDefault="00A54763" w:rsidP="007E285D">
            <w:pPr>
              <w:autoSpaceDE w:val="0"/>
              <w:autoSpaceDN w:val="0"/>
              <w:adjustRightInd w:val="0"/>
              <w:spacing w:after="60"/>
              <w:ind w:left="522" w:hanging="180"/>
              <w:rPr>
                <w:rFonts w:cstheme="minorHAnsi"/>
                <w:color w:val="0A1F24"/>
              </w:rPr>
            </w:pPr>
            <w:r w:rsidRPr="007E285D">
              <w:rPr>
                <w:rFonts w:cstheme="minorHAnsi"/>
                <w:color w:val="0A1F24"/>
              </w:rPr>
              <w:t xml:space="preserve">• </w:t>
            </w:r>
            <w:r w:rsidR="00B60C2B" w:rsidRPr="007E285D">
              <w:rPr>
                <w:rFonts w:cstheme="minorHAnsi"/>
                <w:color w:val="0A1F24"/>
              </w:rPr>
              <w:t>Only</w:t>
            </w:r>
            <w:r w:rsidRPr="007E285D">
              <w:rPr>
                <w:rFonts w:cstheme="minorHAnsi"/>
                <w:color w:val="0A1F24"/>
              </w:rPr>
              <w:t xml:space="preserve"> money damages.</w:t>
            </w:r>
          </w:p>
          <w:p w:rsidR="00A54763" w:rsidRPr="007E285D" w:rsidRDefault="00A54763" w:rsidP="007E285D">
            <w:pPr>
              <w:autoSpaceDE w:val="0"/>
              <w:autoSpaceDN w:val="0"/>
              <w:adjustRightInd w:val="0"/>
              <w:spacing w:after="60"/>
              <w:ind w:left="522" w:hanging="180"/>
              <w:rPr>
                <w:rFonts w:cstheme="minorHAnsi"/>
                <w:color w:val="0A1F24"/>
              </w:rPr>
            </w:pPr>
            <w:r w:rsidRPr="007E285D">
              <w:rPr>
                <w:rFonts w:cstheme="minorHAnsi"/>
                <w:color w:val="0A1F24"/>
              </w:rPr>
              <w:t xml:space="preserve">• </w:t>
            </w:r>
            <w:r w:rsidR="00B60C2B" w:rsidRPr="007E285D">
              <w:rPr>
                <w:rFonts w:cstheme="minorHAnsi"/>
                <w:color w:val="0A1F24"/>
              </w:rPr>
              <w:t>Equitable</w:t>
            </w:r>
            <w:r w:rsidRPr="007E285D">
              <w:rPr>
                <w:rFonts w:cstheme="minorHAnsi"/>
                <w:color w:val="0A1F24"/>
              </w:rPr>
              <w:t xml:space="preserve"> relief (causing ICANN to</w:t>
            </w:r>
            <w:r w:rsidR="007E285D" w:rsidRPr="007E285D">
              <w:rPr>
                <w:rFonts w:cstheme="minorHAnsi"/>
                <w:color w:val="0A1F24"/>
              </w:rPr>
              <w:t xml:space="preserve"> </w:t>
            </w:r>
            <w:r w:rsidRPr="007E285D">
              <w:rPr>
                <w:rFonts w:cstheme="minorHAnsi"/>
                <w:color w:val="0A1F24"/>
              </w:rPr>
              <w:t>change its actions).</w:t>
            </w:r>
          </w:p>
          <w:p w:rsidR="00A54763" w:rsidRPr="007E285D" w:rsidRDefault="00A54763" w:rsidP="007E285D">
            <w:pPr>
              <w:autoSpaceDE w:val="0"/>
              <w:autoSpaceDN w:val="0"/>
              <w:adjustRightInd w:val="0"/>
              <w:spacing w:after="60"/>
              <w:ind w:left="522" w:hanging="180"/>
              <w:rPr>
                <w:rFonts w:cstheme="minorHAnsi"/>
                <w:color w:val="0A1F24"/>
              </w:rPr>
            </w:pPr>
            <w:r w:rsidRPr="007E285D">
              <w:rPr>
                <w:rFonts w:cstheme="minorHAnsi"/>
                <w:color w:val="0A1F24"/>
              </w:rPr>
              <w:t xml:space="preserve">• </w:t>
            </w:r>
            <w:r w:rsidR="00B60C2B" w:rsidRPr="007E285D">
              <w:rPr>
                <w:rFonts w:cstheme="minorHAnsi"/>
                <w:color w:val="0A1F24"/>
              </w:rPr>
              <w:t>Money</w:t>
            </w:r>
            <w:r w:rsidRPr="007E285D">
              <w:rPr>
                <w:rFonts w:cstheme="minorHAnsi"/>
                <w:color w:val="0A1F24"/>
              </w:rPr>
              <w:t xml:space="preserve"> damages and equitable</w:t>
            </w:r>
            <w:r w:rsidR="007E285D" w:rsidRPr="007E285D">
              <w:rPr>
                <w:rFonts w:cstheme="minorHAnsi"/>
                <w:color w:val="0A1F24"/>
              </w:rPr>
              <w:t xml:space="preserve"> </w:t>
            </w:r>
            <w:r w:rsidRPr="007E285D">
              <w:rPr>
                <w:rFonts w:cstheme="minorHAnsi"/>
                <w:color w:val="0A1F24"/>
              </w:rPr>
              <w:t>relief.</w:t>
            </w:r>
          </w:p>
          <w:p w:rsidR="00A54763" w:rsidRPr="007E285D" w:rsidRDefault="00A54763" w:rsidP="007E285D">
            <w:pPr>
              <w:autoSpaceDE w:val="0"/>
              <w:autoSpaceDN w:val="0"/>
              <w:adjustRightInd w:val="0"/>
              <w:spacing w:after="60"/>
              <w:rPr>
                <w:rFonts w:cstheme="minorHAnsi"/>
                <w:color w:val="0A1F24"/>
              </w:rPr>
            </w:pPr>
            <w:r w:rsidRPr="007E285D">
              <w:rPr>
                <w:rFonts w:cstheme="minorHAnsi"/>
                <w:color w:val="0A1F24"/>
              </w:rPr>
              <w:t>• Court finds for ICANN.</w:t>
            </w:r>
          </w:p>
          <w:p w:rsidR="00A54763" w:rsidRPr="007E285D" w:rsidRDefault="00A54763" w:rsidP="007E285D">
            <w:pPr>
              <w:spacing w:after="60"/>
              <w:rPr>
                <w:rFonts w:cstheme="minorHAnsi"/>
              </w:rPr>
            </w:pPr>
            <w:r w:rsidRPr="007E285D">
              <w:rPr>
                <w:rFonts w:cstheme="minorHAnsi"/>
                <w:color w:val="0A1F24"/>
              </w:rPr>
              <w:t>• Parties settle.</w:t>
            </w:r>
          </w:p>
          <w:p w:rsidR="00E20B15" w:rsidRPr="007E285D" w:rsidRDefault="00E20B15" w:rsidP="007E285D">
            <w:pPr>
              <w:autoSpaceDE w:val="0"/>
              <w:autoSpaceDN w:val="0"/>
              <w:adjustRightInd w:val="0"/>
              <w:spacing w:after="60"/>
              <w:rPr>
                <w:rFonts w:cstheme="minorHAnsi"/>
                <w:b/>
                <w:bCs/>
                <w:color w:val="0A1F24"/>
              </w:rPr>
            </w:pPr>
          </w:p>
        </w:tc>
      </w:tr>
    </w:tbl>
    <w:p w:rsidR="00E20B15" w:rsidRDefault="00E20B15" w:rsidP="00E20B15">
      <w:pPr>
        <w:autoSpaceDE w:val="0"/>
        <w:autoSpaceDN w:val="0"/>
        <w:adjustRightInd w:val="0"/>
        <w:spacing w:after="0" w:line="240" w:lineRule="auto"/>
        <w:rPr>
          <w:rFonts w:ascii="Arial" w:hAnsi="Arial" w:cs="Arial"/>
          <w:b/>
          <w:bCs/>
          <w:color w:val="0A1F24"/>
          <w:sz w:val="28"/>
          <w:szCs w:val="28"/>
        </w:rPr>
      </w:pPr>
    </w:p>
    <w:sectPr w:rsidR="00E20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86889"/>
    <w:multiLevelType w:val="hybridMultilevel"/>
    <w:tmpl w:val="277C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87AA5"/>
    <w:multiLevelType w:val="hybridMultilevel"/>
    <w:tmpl w:val="C562D072"/>
    <w:lvl w:ilvl="0" w:tplc="94C4BB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5452BC"/>
    <w:multiLevelType w:val="hybridMultilevel"/>
    <w:tmpl w:val="65C4883E"/>
    <w:lvl w:ilvl="0" w:tplc="94C4BB7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2894A32"/>
    <w:multiLevelType w:val="hybridMultilevel"/>
    <w:tmpl w:val="5A90B458"/>
    <w:lvl w:ilvl="0" w:tplc="94C4BB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3D"/>
    <w:rsid w:val="000C163D"/>
    <w:rsid w:val="007E285D"/>
    <w:rsid w:val="00947CDD"/>
    <w:rsid w:val="00A54763"/>
    <w:rsid w:val="00B60C2B"/>
    <w:rsid w:val="00E2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B15"/>
    <w:pPr>
      <w:ind w:left="720"/>
      <w:contextualSpacing/>
    </w:pPr>
  </w:style>
  <w:style w:type="table" w:styleId="TableGrid">
    <w:name w:val="Table Grid"/>
    <w:basedOn w:val="TableNormal"/>
    <w:uiPriority w:val="59"/>
    <w:rsid w:val="00E20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B15"/>
    <w:pPr>
      <w:ind w:left="720"/>
      <w:contextualSpacing/>
    </w:pPr>
  </w:style>
  <w:style w:type="table" w:styleId="TableGrid">
    <w:name w:val="Table Grid"/>
    <w:basedOn w:val="TableNormal"/>
    <w:uiPriority w:val="59"/>
    <w:rsid w:val="00E20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1</cp:revision>
  <dcterms:created xsi:type="dcterms:W3CDTF">2017-02-09T04:49:00Z</dcterms:created>
  <dcterms:modified xsi:type="dcterms:W3CDTF">2017-02-09T05:16:00Z</dcterms:modified>
</cp:coreProperties>
</file>