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3CD" w:rsidRDefault="000C1B9D">
      <w:pPr>
        <w:jc w:val="center"/>
      </w:pPr>
      <w:bookmarkStart w:id="0" w:name="_gjdgxs" w:colFirst="0" w:colLast="0"/>
      <w:bookmarkEnd w:id="0"/>
      <w:r>
        <w:rPr>
          <w:b/>
          <w:sz w:val="28"/>
          <w:szCs w:val="28"/>
        </w:rPr>
        <w:t>JURISDICTION SUBGROUP ICANN LITIGATION SUMMARY</w:t>
      </w:r>
    </w:p>
    <w:p w:rsidR="00BB43CD" w:rsidRPr="00041FB7" w:rsidRDefault="005F1A87" w:rsidP="005F1A87">
      <w:pPr>
        <w:pStyle w:val="ListParagraph"/>
        <w:numPr>
          <w:ilvl w:val="0"/>
          <w:numId w:val="1"/>
        </w:numPr>
        <w:rPr>
          <w:color w:val="FF0000"/>
        </w:rPr>
      </w:pPr>
      <w:r w:rsidRPr="00041FB7">
        <w:rPr>
          <w:color w:val="FF0000"/>
        </w:rPr>
        <w:t>DCA v. ICANN (Trial Courts)</w:t>
      </w:r>
    </w:p>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378"/>
      </w:tblGrid>
      <w:tr w:rsidR="00BB43CD">
        <w:tc>
          <w:tcPr>
            <w:tcW w:w="3798" w:type="dxa"/>
          </w:tcPr>
          <w:p w:rsidR="00BB43CD" w:rsidRDefault="000C1B9D">
            <w:pPr>
              <w:contextualSpacing w:val="0"/>
            </w:pPr>
            <w:r>
              <w:rPr>
                <w:sz w:val="24"/>
                <w:szCs w:val="24"/>
              </w:rPr>
              <w:t>Name of Case:</w:t>
            </w:r>
          </w:p>
        </w:tc>
        <w:tc>
          <w:tcPr>
            <w:tcW w:w="9378" w:type="dxa"/>
          </w:tcPr>
          <w:p w:rsidR="00BB43CD" w:rsidRDefault="00630CC7">
            <w:pPr>
              <w:contextualSpacing w:val="0"/>
            </w:pPr>
            <w:proofErr w:type="spellStart"/>
            <w:r>
              <w:t>DotConnectAfrica</w:t>
            </w:r>
            <w:proofErr w:type="spellEnd"/>
            <w:r>
              <w:t xml:space="preserve"> Trust v. ICANN</w:t>
            </w:r>
          </w:p>
        </w:tc>
      </w:tr>
      <w:tr w:rsidR="00BB43CD">
        <w:tc>
          <w:tcPr>
            <w:tcW w:w="3798" w:type="dxa"/>
          </w:tcPr>
          <w:p w:rsidR="00BB43CD" w:rsidRDefault="000C1B9D">
            <w:pPr>
              <w:contextualSpacing w:val="0"/>
            </w:pPr>
            <w:r>
              <w:rPr>
                <w:sz w:val="24"/>
                <w:szCs w:val="24"/>
              </w:rPr>
              <w:t>Parties:</w:t>
            </w:r>
            <w:r>
              <w:rPr>
                <w:sz w:val="24"/>
                <w:szCs w:val="24"/>
                <w:vertAlign w:val="superscript"/>
              </w:rPr>
              <w:footnoteReference w:id="1"/>
            </w:r>
          </w:p>
        </w:tc>
        <w:tc>
          <w:tcPr>
            <w:tcW w:w="9378" w:type="dxa"/>
          </w:tcPr>
          <w:p w:rsidR="00BB43CD" w:rsidRDefault="00C64EDE">
            <w:pPr>
              <w:contextualSpacing w:val="0"/>
            </w:pPr>
            <w:proofErr w:type="spellStart"/>
            <w:r>
              <w:t>DotConnectAfrica</w:t>
            </w:r>
            <w:proofErr w:type="spellEnd"/>
            <w:r>
              <w:t xml:space="preserve"> Trust (</w:t>
            </w:r>
            <w:r w:rsidR="001A2D63">
              <w:t>DCA) (</w:t>
            </w:r>
            <w:r>
              <w:t>Plaintiff); ICANN (Defendant); Does 1-50 (</w:t>
            </w:r>
            <w:r w:rsidR="006F6708">
              <w:t>these are as-</w:t>
            </w:r>
            <w:r w:rsidR="002241AC">
              <w:t xml:space="preserve">yet unnamed </w:t>
            </w:r>
            <w:r>
              <w:t>Defendants)</w:t>
            </w:r>
            <w:r w:rsidR="00CA6A7F">
              <w:t>. ZA Central Registry NPC named as defendant later.</w:t>
            </w:r>
          </w:p>
        </w:tc>
      </w:tr>
      <w:tr w:rsidR="00BB43CD">
        <w:tc>
          <w:tcPr>
            <w:tcW w:w="3798" w:type="dxa"/>
          </w:tcPr>
          <w:p w:rsidR="00BB43CD" w:rsidRDefault="000C1B9D">
            <w:pPr>
              <w:contextualSpacing w:val="0"/>
            </w:pPr>
            <w:r>
              <w:rPr>
                <w:sz w:val="24"/>
                <w:szCs w:val="24"/>
              </w:rPr>
              <w:t>Citizenship of Parties:</w:t>
            </w:r>
          </w:p>
        </w:tc>
        <w:tc>
          <w:tcPr>
            <w:tcW w:w="9378" w:type="dxa"/>
          </w:tcPr>
          <w:p w:rsidR="00BB43CD" w:rsidRDefault="005B4825">
            <w:pPr>
              <w:contextualSpacing w:val="0"/>
            </w:pPr>
            <w:r>
              <w:t>DCA -non-profit of Mauritius (principal office Kenya; representative in California); ICANN -</w:t>
            </w:r>
            <w:r w:rsidR="00331900">
              <w:t>Cal./</w:t>
            </w:r>
            <w:r>
              <w:t xml:space="preserve">US; Does </w:t>
            </w:r>
            <w:r w:rsidR="00E124FD">
              <w:t>– indeterminate.</w:t>
            </w:r>
            <w:r w:rsidR="003709FD">
              <w:t xml:space="preserve"> ZACR: South African.</w:t>
            </w:r>
          </w:p>
        </w:tc>
      </w:tr>
      <w:tr w:rsidR="00BB43CD">
        <w:tc>
          <w:tcPr>
            <w:tcW w:w="3798" w:type="dxa"/>
          </w:tcPr>
          <w:p w:rsidR="00BB43CD" w:rsidRDefault="000C1B9D">
            <w:pPr>
              <w:contextualSpacing w:val="0"/>
            </w:pPr>
            <w:r>
              <w:rPr>
                <w:sz w:val="24"/>
                <w:szCs w:val="24"/>
              </w:rPr>
              <w:t>Court/Venue:</w:t>
            </w:r>
          </w:p>
        </w:tc>
        <w:tc>
          <w:tcPr>
            <w:tcW w:w="9378" w:type="dxa"/>
          </w:tcPr>
          <w:p w:rsidR="00BB43CD" w:rsidRDefault="005B4825">
            <w:pPr>
              <w:contextualSpacing w:val="0"/>
            </w:pPr>
            <w:r>
              <w:t>Superior Court of California; Los Angeles County</w:t>
            </w:r>
          </w:p>
        </w:tc>
      </w:tr>
      <w:tr w:rsidR="00BB43CD">
        <w:tc>
          <w:tcPr>
            <w:tcW w:w="3798" w:type="dxa"/>
          </w:tcPr>
          <w:p w:rsidR="00BB43CD" w:rsidRDefault="000C1B9D">
            <w:pPr>
              <w:contextualSpacing w:val="0"/>
            </w:pPr>
            <w:r>
              <w:rPr>
                <w:sz w:val="24"/>
                <w:szCs w:val="24"/>
              </w:rPr>
              <w:t>Choice of Law/Governing Law:</w:t>
            </w:r>
          </w:p>
        </w:tc>
        <w:tc>
          <w:tcPr>
            <w:tcW w:w="9378" w:type="dxa"/>
          </w:tcPr>
          <w:p w:rsidR="00BB43CD" w:rsidRDefault="00AF7324">
            <w:pPr>
              <w:contextualSpacing w:val="0"/>
            </w:pPr>
            <w:r>
              <w:t xml:space="preserve">California </w:t>
            </w:r>
          </w:p>
        </w:tc>
      </w:tr>
      <w:tr w:rsidR="00BB43CD">
        <w:tc>
          <w:tcPr>
            <w:tcW w:w="3798" w:type="dxa"/>
          </w:tcPr>
          <w:p w:rsidR="00BB43CD" w:rsidRDefault="000C1B9D">
            <w:pPr>
              <w:contextualSpacing w:val="0"/>
            </w:pPr>
            <w:r>
              <w:rPr>
                <w:sz w:val="24"/>
                <w:szCs w:val="24"/>
              </w:rPr>
              <w:t>Date Case Began:</w:t>
            </w:r>
          </w:p>
        </w:tc>
        <w:tc>
          <w:tcPr>
            <w:tcW w:w="9378" w:type="dxa"/>
          </w:tcPr>
          <w:p w:rsidR="00BB43CD" w:rsidRDefault="00AF7324">
            <w:pPr>
              <w:contextualSpacing w:val="0"/>
            </w:pPr>
            <w:r>
              <w:t>Jan. 20, 2016 (case filed)</w:t>
            </w:r>
          </w:p>
        </w:tc>
      </w:tr>
      <w:tr w:rsidR="00BB43CD">
        <w:tc>
          <w:tcPr>
            <w:tcW w:w="3798" w:type="dxa"/>
          </w:tcPr>
          <w:p w:rsidR="00BB43CD" w:rsidRDefault="000C1B9D">
            <w:pPr>
              <w:contextualSpacing w:val="0"/>
            </w:pPr>
            <w:r>
              <w:rPr>
                <w:sz w:val="24"/>
                <w:szCs w:val="24"/>
              </w:rPr>
              <w:t>Date Case Ended:</w:t>
            </w:r>
          </w:p>
        </w:tc>
        <w:tc>
          <w:tcPr>
            <w:tcW w:w="9378" w:type="dxa"/>
          </w:tcPr>
          <w:p w:rsidR="00BB43CD" w:rsidRDefault="00566EC0">
            <w:pPr>
              <w:contextualSpacing w:val="0"/>
            </w:pPr>
            <w:r>
              <w:t>N/A</w:t>
            </w:r>
          </w:p>
        </w:tc>
      </w:tr>
      <w:tr w:rsidR="00BB43CD">
        <w:tc>
          <w:tcPr>
            <w:tcW w:w="3798" w:type="dxa"/>
          </w:tcPr>
          <w:p w:rsidR="00BB43CD" w:rsidRDefault="000C1B9D">
            <w:pPr>
              <w:contextualSpacing w:val="0"/>
            </w:pPr>
            <w:r>
              <w:rPr>
                <w:sz w:val="24"/>
                <w:szCs w:val="24"/>
              </w:rPr>
              <w:t>Causes of Action:</w:t>
            </w:r>
          </w:p>
        </w:tc>
        <w:tc>
          <w:tcPr>
            <w:tcW w:w="9378" w:type="dxa"/>
          </w:tcPr>
          <w:p w:rsidR="00BB43CD" w:rsidRDefault="00832880">
            <w:pPr>
              <w:contextualSpacing w:val="0"/>
            </w:pPr>
            <w:r>
              <w:t>Against ICANN</w:t>
            </w:r>
            <w:r w:rsidR="00626111">
              <w:t>:</w:t>
            </w:r>
            <w:r>
              <w:t xml:space="preserve"> Breach of contract; Intentional misrepresentation; Negligent misrepresentation;</w:t>
            </w:r>
            <w:r w:rsidR="00626111">
              <w:t xml:space="preserve"> Negligence. Against all defendants including ICANN: </w:t>
            </w:r>
            <w:r w:rsidR="00F52E40">
              <w:t xml:space="preserve">Fraud and conspiracy to commit fraud; Unfair competition. </w:t>
            </w:r>
            <w:r w:rsidR="00A27807">
              <w:t xml:space="preserve">Added later – Intentional interference with contract; Confirmation of IRP award and declaratory actions. </w:t>
            </w:r>
          </w:p>
        </w:tc>
      </w:tr>
      <w:tr w:rsidR="00566EC0">
        <w:tc>
          <w:tcPr>
            <w:tcW w:w="3798" w:type="dxa"/>
          </w:tcPr>
          <w:p w:rsidR="00566EC0" w:rsidRDefault="00566EC0" w:rsidP="00566EC0">
            <w:pPr>
              <w:contextualSpacing w:val="0"/>
            </w:pPr>
            <w:r>
              <w:rPr>
                <w:sz w:val="24"/>
                <w:szCs w:val="24"/>
              </w:rPr>
              <w:t>Issues Presented:</w:t>
            </w:r>
          </w:p>
        </w:tc>
        <w:tc>
          <w:tcPr>
            <w:tcW w:w="9378" w:type="dxa"/>
          </w:tcPr>
          <w:p w:rsidR="00566EC0" w:rsidRDefault="00566EC0" w:rsidP="00566EC0">
            <w:pPr>
              <w:contextualSpacing w:val="0"/>
            </w:pPr>
            <w:r>
              <w:t xml:space="preserve">Causes of action relate to delegation of </w:t>
            </w:r>
            <w:proofErr w:type="gramStart"/>
            <w:r>
              <w:t>the .</w:t>
            </w:r>
            <w:proofErr w:type="spellStart"/>
            <w:r>
              <w:t>africa</w:t>
            </w:r>
            <w:proofErr w:type="spellEnd"/>
            <w:proofErr w:type="gramEnd"/>
            <w:r>
              <w:t xml:space="preserve"> new gTLD.</w:t>
            </w:r>
          </w:p>
        </w:tc>
      </w:tr>
      <w:tr w:rsidR="00566EC0">
        <w:tc>
          <w:tcPr>
            <w:tcW w:w="3798" w:type="dxa"/>
          </w:tcPr>
          <w:p w:rsidR="00566EC0" w:rsidRDefault="00566EC0" w:rsidP="00566EC0">
            <w:pPr>
              <w:contextualSpacing w:val="0"/>
            </w:pPr>
            <w:r>
              <w:rPr>
                <w:sz w:val="24"/>
                <w:szCs w:val="24"/>
              </w:rPr>
              <w:t xml:space="preserve">Preliminary </w:t>
            </w:r>
            <w:proofErr w:type="gramStart"/>
            <w:r>
              <w:rPr>
                <w:sz w:val="24"/>
                <w:szCs w:val="24"/>
              </w:rPr>
              <w:t>Relief?:</w:t>
            </w:r>
            <w:proofErr w:type="gramEnd"/>
          </w:p>
        </w:tc>
        <w:tc>
          <w:tcPr>
            <w:tcW w:w="9378" w:type="dxa"/>
          </w:tcPr>
          <w:p w:rsidR="00566EC0" w:rsidRDefault="00533FE3" w:rsidP="00566EC0">
            <w:pPr>
              <w:contextualSpacing w:val="0"/>
            </w:pPr>
            <w:r>
              <w:t xml:space="preserve">DCA sought a preliminary injunction twice in Cal. state court. </w:t>
            </w:r>
          </w:p>
        </w:tc>
      </w:tr>
      <w:tr w:rsidR="00566EC0">
        <w:tc>
          <w:tcPr>
            <w:tcW w:w="3798" w:type="dxa"/>
          </w:tcPr>
          <w:p w:rsidR="00566EC0" w:rsidRDefault="00566EC0" w:rsidP="00566EC0">
            <w:pPr>
              <w:contextualSpacing w:val="0"/>
            </w:pPr>
            <w:r>
              <w:rPr>
                <w:sz w:val="24"/>
                <w:szCs w:val="24"/>
              </w:rPr>
              <w:t>Outcome:</w:t>
            </w:r>
          </w:p>
        </w:tc>
        <w:tc>
          <w:tcPr>
            <w:tcW w:w="9378" w:type="dxa"/>
          </w:tcPr>
          <w:p w:rsidR="00566EC0" w:rsidRDefault="00533FE3" w:rsidP="00566EC0">
            <w:pPr>
              <w:contextualSpacing w:val="0"/>
            </w:pPr>
            <w:r>
              <w:t xml:space="preserve">DCA’s first request for a preliminary injunction was </w:t>
            </w:r>
            <w:hyperlink r:id="rId7" w:history="1">
              <w:r w:rsidRPr="00533FE3">
                <w:rPr>
                  <w:rStyle w:val="Hyperlink"/>
                </w:rPr>
                <w:t>denied</w:t>
              </w:r>
            </w:hyperlink>
            <w:r>
              <w:t xml:space="preserve"> </w:t>
            </w:r>
            <w:r w:rsidR="00AD0EC3">
              <w:t xml:space="preserve">Dec. 22, 2016. Its second request was </w:t>
            </w:r>
            <w:hyperlink r:id="rId8" w:history="1">
              <w:r w:rsidR="00FE221B" w:rsidRPr="00FE221B">
                <w:rPr>
                  <w:rStyle w:val="Hyperlink"/>
                </w:rPr>
                <w:t>denied</w:t>
              </w:r>
            </w:hyperlink>
            <w:r w:rsidR="00FE221B">
              <w:t xml:space="preserve"> on Feb. 3, 2017.  </w:t>
            </w:r>
            <w:r>
              <w:t xml:space="preserve"> </w:t>
            </w:r>
          </w:p>
        </w:tc>
      </w:tr>
      <w:tr w:rsidR="00566EC0">
        <w:tc>
          <w:tcPr>
            <w:tcW w:w="3798" w:type="dxa"/>
          </w:tcPr>
          <w:p w:rsidR="00566EC0" w:rsidRDefault="00566EC0" w:rsidP="00566EC0">
            <w:pPr>
              <w:contextualSpacing w:val="0"/>
            </w:pPr>
            <w:r>
              <w:rPr>
                <w:sz w:val="24"/>
                <w:szCs w:val="24"/>
              </w:rPr>
              <w:t>Was Jurisdiction Contested?</w:t>
            </w:r>
            <w:r>
              <w:rPr>
                <w:sz w:val="24"/>
                <w:szCs w:val="24"/>
                <w:vertAlign w:val="superscript"/>
              </w:rPr>
              <w:footnoteReference w:id="2"/>
            </w:r>
          </w:p>
        </w:tc>
        <w:tc>
          <w:tcPr>
            <w:tcW w:w="9378" w:type="dxa"/>
          </w:tcPr>
          <w:p w:rsidR="00566EC0" w:rsidRDefault="00566EC0" w:rsidP="00566EC0">
            <w:pPr>
              <w:contextualSpacing w:val="0"/>
            </w:pPr>
            <w:r>
              <w:t>No</w:t>
            </w:r>
          </w:p>
        </w:tc>
      </w:tr>
      <w:tr w:rsidR="00566EC0">
        <w:tc>
          <w:tcPr>
            <w:tcW w:w="3798" w:type="dxa"/>
          </w:tcPr>
          <w:p w:rsidR="00566EC0" w:rsidRDefault="00566EC0" w:rsidP="00566EC0">
            <w:pPr>
              <w:contextualSpacing w:val="0"/>
            </w:pPr>
            <w:r>
              <w:rPr>
                <w:sz w:val="24"/>
                <w:szCs w:val="24"/>
              </w:rPr>
              <w:t>Effect on our Work:</w:t>
            </w:r>
            <w:r>
              <w:rPr>
                <w:sz w:val="24"/>
                <w:szCs w:val="24"/>
                <w:vertAlign w:val="superscript"/>
              </w:rPr>
              <w:footnoteReference w:id="3"/>
            </w:r>
          </w:p>
        </w:tc>
        <w:tc>
          <w:tcPr>
            <w:tcW w:w="9378" w:type="dxa"/>
          </w:tcPr>
          <w:p w:rsidR="00566EC0" w:rsidRDefault="00566EC0" w:rsidP="00566EC0">
            <w:pPr>
              <w:contextualSpacing w:val="0"/>
            </w:pPr>
            <w:r>
              <w:t>Unclear if any</w:t>
            </w:r>
          </w:p>
        </w:tc>
      </w:tr>
      <w:tr w:rsidR="00566EC0">
        <w:tc>
          <w:tcPr>
            <w:tcW w:w="3798" w:type="dxa"/>
          </w:tcPr>
          <w:p w:rsidR="00566EC0" w:rsidRDefault="00566EC0" w:rsidP="00566EC0">
            <w:pPr>
              <w:contextualSpacing w:val="0"/>
            </w:pPr>
            <w:r>
              <w:rPr>
                <w:sz w:val="24"/>
                <w:szCs w:val="24"/>
              </w:rPr>
              <w:t>Key Documents:</w:t>
            </w:r>
          </w:p>
        </w:tc>
        <w:tc>
          <w:tcPr>
            <w:tcW w:w="9378" w:type="dxa"/>
          </w:tcPr>
          <w:p w:rsidR="00566EC0" w:rsidRDefault="00F22E01" w:rsidP="00566EC0">
            <w:pPr>
              <w:contextualSpacing w:val="0"/>
            </w:pPr>
            <w:r>
              <w:t xml:space="preserve">For a while this case, originally filed in Cal. state court, was removed </w:t>
            </w:r>
            <w:r w:rsidR="003F72BE">
              <w:t xml:space="preserve">on ICANN’s motion </w:t>
            </w:r>
            <w:r>
              <w:t xml:space="preserve">to a US federal district court </w:t>
            </w:r>
            <w:r w:rsidR="003F3E8B">
              <w:t xml:space="preserve">in Los Angeles </w:t>
            </w:r>
            <w:r>
              <w:t>and th</w:t>
            </w:r>
            <w:r w:rsidR="00A655D7">
              <w:t>at</w:t>
            </w:r>
            <w:r>
              <w:t xml:space="preserve"> federal judge issued a preliminary injunction </w:t>
            </w:r>
            <w:hyperlink r:id="rId9" w:history="1">
              <w:r w:rsidR="00A655D7" w:rsidRPr="00A655D7">
                <w:rPr>
                  <w:rStyle w:val="Hyperlink"/>
                </w:rPr>
                <w:t>barring</w:t>
              </w:r>
            </w:hyperlink>
            <w:r>
              <w:t xml:space="preserve"> ICANN from delegating .</w:t>
            </w:r>
            <w:proofErr w:type="spellStart"/>
            <w:r>
              <w:t>africa</w:t>
            </w:r>
            <w:proofErr w:type="spellEnd"/>
            <w:r>
              <w:t xml:space="preserve"> pending trial. </w:t>
            </w:r>
            <w:r w:rsidR="003F72BE">
              <w:t xml:space="preserve">Later, however, the federal judge ruled that ZACR was entitled to intervene and its intervention undermined so-called “diversity” jurisdiction in federal court – so in the same order the judge </w:t>
            </w:r>
            <w:hyperlink r:id="rId10" w:history="1">
              <w:r w:rsidR="003F72BE" w:rsidRPr="003F72BE">
                <w:rPr>
                  <w:rStyle w:val="Hyperlink"/>
                </w:rPr>
                <w:t>sent</w:t>
              </w:r>
            </w:hyperlink>
            <w:r w:rsidR="003F72BE">
              <w:t xml:space="preserve"> the case back to </w:t>
            </w:r>
            <w:r w:rsidR="003F3E8B">
              <w:t>California</w:t>
            </w:r>
            <w:r w:rsidR="003F72BE">
              <w:t xml:space="preserve"> state court. </w:t>
            </w:r>
          </w:p>
        </w:tc>
      </w:tr>
    </w:tbl>
    <w:p w:rsidR="005F1A87" w:rsidRPr="00041FB7" w:rsidRDefault="00041FB7" w:rsidP="00041FB7">
      <w:pPr>
        <w:pStyle w:val="ListParagraph"/>
        <w:numPr>
          <w:ilvl w:val="0"/>
          <w:numId w:val="1"/>
        </w:numPr>
        <w:rPr>
          <w:color w:val="FF0000"/>
        </w:rPr>
      </w:pPr>
      <w:r w:rsidRPr="00041FB7">
        <w:rPr>
          <w:color w:val="FF0000"/>
        </w:rPr>
        <w:lastRenderedPageBreak/>
        <w:t>DCA v. ICANN (Appellate Court)</w:t>
      </w:r>
    </w:p>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378"/>
      </w:tblGrid>
      <w:tr w:rsidR="005F1A87" w:rsidTr="00603D10">
        <w:tc>
          <w:tcPr>
            <w:tcW w:w="3798" w:type="dxa"/>
          </w:tcPr>
          <w:p w:rsidR="005F1A87" w:rsidRDefault="005F1A87" w:rsidP="00603D10">
            <w:pPr>
              <w:contextualSpacing w:val="0"/>
            </w:pPr>
            <w:r>
              <w:rPr>
                <w:sz w:val="24"/>
                <w:szCs w:val="24"/>
              </w:rPr>
              <w:t>Name of Case:</w:t>
            </w:r>
          </w:p>
        </w:tc>
        <w:tc>
          <w:tcPr>
            <w:tcW w:w="9378" w:type="dxa"/>
          </w:tcPr>
          <w:p w:rsidR="005F1A87" w:rsidRDefault="005F1A87" w:rsidP="00603D10">
            <w:pPr>
              <w:contextualSpacing w:val="0"/>
            </w:pPr>
            <w:proofErr w:type="spellStart"/>
            <w:r>
              <w:t>DotConnectAfrica</w:t>
            </w:r>
            <w:proofErr w:type="spellEnd"/>
            <w:r>
              <w:t xml:space="preserve"> Trust v. ICANN</w:t>
            </w:r>
            <w:r w:rsidR="002B5187">
              <w:t xml:space="preserve"> and </w:t>
            </w:r>
            <w:proofErr w:type="gramStart"/>
            <w:r w:rsidR="002B5187">
              <w:t>ZACR  (</w:t>
            </w:r>
            <w:proofErr w:type="gramEnd"/>
            <w:r w:rsidR="002B5187">
              <w:t xml:space="preserve">two </w:t>
            </w:r>
            <w:r w:rsidR="00741E48">
              <w:t xml:space="preserve">consolidated </w:t>
            </w:r>
            <w:r w:rsidR="002B5187">
              <w:t>appellate actions)</w:t>
            </w:r>
          </w:p>
        </w:tc>
      </w:tr>
      <w:tr w:rsidR="005F1A87" w:rsidTr="00603D10">
        <w:tc>
          <w:tcPr>
            <w:tcW w:w="3798" w:type="dxa"/>
          </w:tcPr>
          <w:p w:rsidR="005F1A87" w:rsidRDefault="005F1A87" w:rsidP="00603D10">
            <w:pPr>
              <w:contextualSpacing w:val="0"/>
            </w:pPr>
            <w:r>
              <w:rPr>
                <w:sz w:val="24"/>
                <w:szCs w:val="24"/>
              </w:rPr>
              <w:t>Parties:</w:t>
            </w:r>
          </w:p>
        </w:tc>
        <w:tc>
          <w:tcPr>
            <w:tcW w:w="9378" w:type="dxa"/>
          </w:tcPr>
          <w:p w:rsidR="005F1A87" w:rsidRDefault="005F1A87" w:rsidP="00603D10">
            <w:pPr>
              <w:contextualSpacing w:val="0"/>
            </w:pPr>
            <w:proofErr w:type="spellStart"/>
            <w:r>
              <w:t>DotConnectAfrica</w:t>
            </w:r>
            <w:proofErr w:type="spellEnd"/>
            <w:r>
              <w:t xml:space="preserve"> Trust (DCA) (</w:t>
            </w:r>
            <w:r w:rsidR="005B703F">
              <w:t>Appellee</w:t>
            </w:r>
            <w:r>
              <w:t>); ICANN (</w:t>
            </w:r>
            <w:r w:rsidR="005B703F">
              <w:t>Appellant</w:t>
            </w:r>
            <w:r>
              <w:t xml:space="preserve">); </w:t>
            </w:r>
            <w:r w:rsidR="005B703F">
              <w:t xml:space="preserve">ZACR and </w:t>
            </w:r>
            <w:r>
              <w:t>Does 1-50 (</w:t>
            </w:r>
            <w:r w:rsidR="005B703F">
              <w:t>Appellants</w:t>
            </w:r>
            <w:r>
              <w:t xml:space="preserve">). </w:t>
            </w:r>
            <w:r w:rsidR="006832A0">
              <w:t xml:space="preserve"> </w:t>
            </w:r>
            <w:proofErr w:type="spellStart"/>
            <w:r w:rsidR="006832A0">
              <w:t>DotRegistry</w:t>
            </w:r>
            <w:proofErr w:type="spellEnd"/>
            <w:r w:rsidR="006832A0">
              <w:t xml:space="preserve"> LLC filed Amicus brief in support of DCA. </w:t>
            </w:r>
          </w:p>
        </w:tc>
      </w:tr>
      <w:tr w:rsidR="005F1A87" w:rsidTr="00603D10">
        <w:tc>
          <w:tcPr>
            <w:tcW w:w="3798" w:type="dxa"/>
          </w:tcPr>
          <w:p w:rsidR="005F1A87" w:rsidRDefault="005F1A87" w:rsidP="00603D10">
            <w:pPr>
              <w:contextualSpacing w:val="0"/>
            </w:pPr>
            <w:r>
              <w:rPr>
                <w:sz w:val="24"/>
                <w:szCs w:val="24"/>
              </w:rPr>
              <w:t>Citizenship of Parties:</w:t>
            </w:r>
          </w:p>
        </w:tc>
        <w:tc>
          <w:tcPr>
            <w:tcW w:w="9378" w:type="dxa"/>
          </w:tcPr>
          <w:p w:rsidR="005F1A87" w:rsidRDefault="005F1A87" w:rsidP="00603D10">
            <w:pPr>
              <w:contextualSpacing w:val="0"/>
            </w:pPr>
            <w:r>
              <w:t>DCA -non-profit of Mauritius (principal office Kenya; representative in California); ICANN -Cal./US; Does – indeterminate. ZACR: South African.</w:t>
            </w:r>
          </w:p>
        </w:tc>
      </w:tr>
      <w:tr w:rsidR="005F1A87" w:rsidTr="00603D10">
        <w:tc>
          <w:tcPr>
            <w:tcW w:w="3798" w:type="dxa"/>
          </w:tcPr>
          <w:p w:rsidR="005F1A87" w:rsidRDefault="005F1A87" w:rsidP="00603D10">
            <w:pPr>
              <w:contextualSpacing w:val="0"/>
            </w:pPr>
            <w:r>
              <w:rPr>
                <w:sz w:val="24"/>
                <w:szCs w:val="24"/>
              </w:rPr>
              <w:t>Court/Venue:</w:t>
            </w:r>
          </w:p>
        </w:tc>
        <w:tc>
          <w:tcPr>
            <w:tcW w:w="9378" w:type="dxa"/>
          </w:tcPr>
          <w:p w:rsidR="005F1A87" w:rsidRDefault="0025672E" w:rsidP="00603D10">
            <w:pPr>
              <w:contextualSpacing w:val="0"/>
            </w:pPr>
            <w:r>
              <w:t>U.S. Court of Appeals for the Ninth Circuit</w:t>
            </w:r>
          </w:p>
        </w:tc>
      </w:tr>
      <w:tr w:rsidR="005F1A87" w:rsidTr="00603D10">
        <w:tc>
          <w:tcPr>
            <w:tcW w:w="3798" w:type="dxa"/>
          </w:tcPr>
          <w:p w:rsidR="005F1A87" w:rsidRDefault="005F1A87" w:rsidP="00603D10">
            <w:pPr>
              <w:contextualSpacing w:val="0"/>
            </w:pPr>
            <w:r>
              <w:rPr>
                <w:sz w:val="24"/>
                <w:szCs w:val="24"/>
              </w:rPr>
              <w:t>Choice of Law/Governing Law:</w:t>
            </w:r>
          </w:p>
        </w:tc>
        <w:tc>
          <w:tcPr>
            <w:tcW w:w="9378" w:type="dxa"/>
          </w:tcPr>
          <w:p w:rsidR="005F1A87" w:rsidRDefault="005F1A87" w:rsidP="00603D10">
            <w:pPr>
              <w:contextualSpacing w:val="0"/>
            </w:pPr>
            <w:r>
              <w:t xml:space="preserve">California </w:t>
            </w:r>
          </w:p>
        </w:tc>
      </w:tr>
      <w:tr w:rsidR="005F1A87" w:rsidTr="00603D10">
        <w:tc>
          <w:tcPr>
            <w:tcW w:w="3798" w:type="dxa"/>
          </w:tcPr>
          <w:p w:rsidR="005F1A87" w:rsidRDefault="005F1A87" w:rsidP="00603D10">
            <w:pPr>
              <w:contextualSpacing w:val="0"/>
            </w:pPr>
            <w:r>
              <w:rPr>
                <w:sz w:val="24"/>
                <w:szCs w:val="24"/>
              </w:rPr>
              <w:t>Date Case Began:</w:t>
            </w:r>
          </w:p>
        </w:tc>
        <w:tc>
          <w:tcPr>
            <w:tcW w:w="9378" w:type="dxa"/>
          </w:tcPr>
          <w:p w:rsidR="005F1A87" w:rsidRDefault="002B7311" w:rsidP="00603D10">
            <w:pPr>
              <w:contextualSpacing w:val="0"/>
            </w:pPr>
            <w:r>
              <w:t xml:space="preserve">May 11, 2016 </w:t>
            </w:r>
            <w:r w:rsidR="005F1A87">
              <w:t>(</w:t>
            </w:r>
            <w:r w:rsidR="00F27AB0">
              <w:t>ICANN</w:t>
            </w:r>
            <w:r>
              <w:t xml:space="preserve"> notice of appeal of preliminary injunction</w:t>
            </w:r>
            <w:r w:rsidR="005F1A87">
              <w:t>)</w:t>
            </w:r>
          </w:p>
        </w:tc>
      </w:tr>
      <w:tr w:rsidR="005F1A87" w:rsidTr="00603D10">
        <w:tc>
          <w:tcPr>
            <w:tcW w:w="3798" w:type="dxa"/>
          </w:tcPr>
          <w:p w:rsidR="005F1A87" w:rsidRDefault="005F1A87" w:rsidP="00603D10">
            <w:pPr>
              <w:contextualSpacing w:val="0"/>
            </w:pPr>
            <w:r>
              <w:rPr>
                <w:sz w:val="24"/>
                <w:szCs w:val="24"/>
              </w:rPr>
              <w:t>Date Case Ended:</w:t>
            </w:r>
          </w:p>
        </w:tc>
        <w:tc>
          <w:tcPr>
            <w:tcW w:w="9378" w:type="dxa"/>
          </w:tcPr>
          <w:p w:rsidR="005F1A87" w:rsidRDefault="00D30886" w:rsidP="00603D10">
            <w:pPr>
              <w:contextualSpacing w:val="0"/>
            </w:pPr>
            <w:r>
              <w:t>Dec. 14, 2016.</w:t>
            </w:r>
          </w:p>
        </w:tc>
      </w:tr>
      <w:tr w:rsidR="005F1A87" w:rsidTr="00603D10">
        <w:tc>
          <w:tcPr>
            <w:tcW w:w="3798" w:type="dxa"/>
          </w:tcPr>
          <w:p w:rsidR="005F1A87" w:rsidRDefault="005F1A87" w:rsidP="00603D10">
            <w:pPr>
              <w:contextualSpacing w:val="0"/>
            </w:pPr>
            <w:r>
              <w:rPr>
                <w:sz w:val="24"/>
                <w:szCs w:val="24"/>
              </w:rPr>
              <w:t>Causes of Action:</w:t>
            </w:r>
          </w:p>
        </w:tc>
        <w:tc>
          <w:tcPr>
            <w:tcW w:w="9378" w:type="dxa"/>
          </w:tcPr>
          <w:p w:rsidR="005F1A87" w:rsidRDefault="00D23CCC" w:rsidP="00603D10">
            <w:pPr>
              <w:contextualSpacing w:val="0"/>
            </w:pPr>
            <w:r>
              <w:t>Appeal a</w:t>
            </w:r>
            <w:r w:rsidR="005F1A87">
              <w:t xml:space="preserve">gainst </w:t>
            </w:r>
            <w:r>
              <w:t xml:space="preserve">federal district court’s </w:t>
            </w:r>
            <w:r w:rsidR="00657EE1">
              <w:t>order</w:t>
            </w:r>
            <w:r>
              <w:t xml:space="preserve"> of preliminary injunction barring ICANN from delegating </w:t>
            </w:r>
            <w:proofErr w:type="gramStart"/>
            <w:r>
              <w:t>the .</w:t>
            </w:r>
            <w:proofErr w:type="spellStart"/>
            <w:r>
              <w:t>africa</w:t>
            </w:r>
            <w:proofErr w:type="spellEnd"/>
            <w:proofErr w:type="gramEnd"/>
            <w:r>
              <w:t xml:space="preserve"> string pending trial. </w:t>
            </w:r>
            <w:r w:rsidR="005F1A87">
              <w:t xml:space="preserve"> </w:t>
            </w:r>
          </w:p>
        </w:tc>
      </w:tr>
      <w:tr w:rsidR="005F1A87" w:rsidTr="00603D10">
        <w:tc>
          <w:tcPr>
            <w:tcW w:w="3798" w:type="dxa"/>
          </w:tcPr>
          <w:p w:rsidR="005F1A87" w:rsidRDefault="005F1A87" w:rsidP="00603D10">
            <w:pPr>
              <w:contextualSpacing w:val="0"/>
            </w:pPr>
            <w:r>
              <w:rPr>
                <w:sz w:val="24"/>
                <w:szCs w:val="24"/>
              </w:rPr>
              <w:t>Issues Presented:</w:t>
            </w:r>
          </w:p>
        </w:tc>
        <w:tc>
          <w:tcPr>
            <w:tcW w:w="9378" w:type="dxa"/>
          </w:tcPr>
          <w:p w:rsidR="005F1A87" w:rsidRDefault="006832A0" w:rsidP="00603D10">
            <w:pPr>
              <w:contextualSpacing w:val="0"/>
            </w:pPr>
            <w:r>
              <w:t>ICANN argued that DCA’s covenant not to sue in its application was valid and binding; and that DCA would suffer no irreparable harm without an injunction in place</w:t>
            </w:r>
            <w:r w:rsidR="005F1A87">
              <w:t>.</w:t>
            </w:r>
          </w:p>
        </w:tc>
      </w:tr>
      <w:tr w:rsidR="005F1A87" w:rsidTr="00603D10">
        <w:tc>
          <w:tcPr>
            <w:tcW w:w="3798" w:type="dxa"/>
          </w:tcPr>
          <w:p w:rsidR="005F1A87" w:rsidRDefault="005F1A87" w:rsidP="00603D10">
            <w:pPr>
              <w:contextualSpacing w:val="0"/>
            </w:pPr>
            <w:r>
              <w:rPr>
                <w:sz w:val="24"/>
                <w:szCs w:val="24"/>
              </w:rPr>
              <w:t xml:space="preserve">Preliminary </w:t>
            </w:r>
            <w:proofErr w:type="gramStart"/>
            <w:r>
              <w:rPr>
                <w:sz w:val="24"/>
                <w:szCs w:val="24"/>
              </w:rPr>
              <w:t>Relief?:</w:t>
            </w:r>
            <w:proofErr w:type="gramEnd"/>
          </w:p>
        </w:tc>
        <w:tc>
          <w:tcPr>
            <w:tcW w:w="9378" w:type="dxa"/>
          </w:tcPr>
          <w:p w:rsidR="005F1A87" w:rsidRDefault="00494280" w:rsidP="00603D10">
            <w:pPr>
              <w:contextualSpacing w:val="0"/>
            </w:pPr>
            <w:r>
              <w:t>N/A</w:t>
            </w:r>
          </w:p>
        </w:tc>
      </w:tr>
      <w:tr w:rsidR="005F1A87" w:rsidTr="00603D10">
        <w:tc>
          <w:tcPr>
            <w:tcW w:w="3798" w:type="dxa"/>
          </w:tcPr>
          <w:p w:rsidR="005F1A87" w:rsidRDefault="005F1A87" w:rsidP="00603D10">
            <w:pPr>
              <w:contextualSpacing w:val="0"/>
            </w:pPr>
            <w:r>
              <w:rPr>
                <w:sz w:val="24"/>
                <w:szCs w:val="24"/>
              </w:rPr>
              <w:t>Outcome:</w:t>
            </w:r>
          </w:p>
        </w:tc>
        <w:tc>
          <w:tcPr>
            <w:tcW w:w="9378" w:type="dxa"/>
          </w:tcPr>
          <w:p w:rsidR="005F1A87" w:rsidRDefault="00657EE1" w:rsidP="00603D10">
            <w:pPr>
              <w:contextualSpacing w:val="0"/>
            </w:pPr>
            <w:r>
              <w:t xml:space="preserve">Appeal </w:t>
            </w:r>
            <w:hyperlink r:id="rId11" w:history="1">
              <w:r w:rsidR="00DF6177" w:rsidRPr="00DF6177">
                <w:rPr>
                  <w:rStyle w:val="Hyperlink"/>
                </w:rPr>
                <w:t>dismissed</w:t>
              </w:r>
            </w:hyperlink>
            <w:r>
              <w:t xml:space="preserve"> on unopposed motions. </w:t>
            </w:r>
            <w:r w:rsidR="005F1A87">
              <w:t xml:space="preserve">   </w:t>
            </w:r>
            <w:r w:rsidR="00DF6177">
              <w:t xml:space="preserve">Court denied ICANN’s request that the court reflect that the injunction is null and void. </w:t>
            </w:r>
          </w:p>
        </w:tc>
      </w:tr>
      <w:tr w:rsidR="005F1A87" w:rsidTr="00603D10">
        <w:tc>
          <w:tcPr>
            <w:tcW w:w="3798" w:type="dxa"/>
          </w:tcPr>
          <w:p w:rsidR="005F1A87" w:rsidRDefault="005F1A87" w:rsidP="00603D10">
            <w:pPr>
              <w:contextualSpacing w:val="0"/>
            </w:pPr>
            <w:r>
              <w:rPr>
                <w:sz w:val="24"/>
                <w:szCs w:val="24"/>
              </w:rPr>
              <w:t>Was Jurisdiction Contested?</w:t>
            </w:r>
          </w:p>
        </w:tc>
        <w:tc>
          <w:tcPr>
            <w:tcW w:w="9378" w:type="dxa"/>
          </w:tcPr>
          <w:p w:rsidR="005F1A87" w:rsidRDefault="00DD41D1" w:rsidP="00603D10">
            <w:pPr>
              <w:contextualSpacing w:val="0"/>
            </w:pPr>
            <w:r>
              <w:t xml:space="preserve">ICANN </w:t>
            </w:r>
            <w:hyperlink r:id="rId12" w:history="1">
              <w:r w:rsidRPr="00DD41D1">
                <w:rPr>
                  <w:rStyle w:val="Hyperlink"/>
                </w:rPr>
                <w:t>noted</w:t>
              </w:r>
            </w:hyperlink>
            <w:r>
              <w:t xml:space="preserve"> to appeals court on Oct 21, 2016, that district court ruled that it lacked subject matter jurisdiction after ZACR was ruled an “indispensable” party to the action, thus eliminating diversity jurisdiction. ICANN argued the appeal was moot and sought dismissal. </w:t>
            </w:r>
            <w:r w:rsidR="00C12BCC">
              <w:t xml:space="preserve">On Oct 31, DCA </w:t>
            </w:r>
            <w:hyperlink r:id="rId13" w:history="1">
              <w:r w:rsidR="00C12BCC" w:rsidRPr="00C12BCC">
                <w:rPr>
                  <w:rStyle w:val="Hyperlink"/>
                </w:rPr>
                <w:t>agreed</w:t>
              </w:r>
            </w:hyperlink>
            <w:r w:rsidR="00C12BCC">
              <w:t xml:space="preserve"> that dismissal was proper but argued that the appeal court should not address the injunction as requested by ICANN. </w:t>
            </w:r>
          </w:p>
        </w:tc>
      </w:tr>
      <w:tr w:rsidR="005F1A87" w:rsidTr="00603D10">
        <w:tc>
          <w:tcPr>
            <w:tcW w:w="3798" w:type="dxa"/>
          </w:tcPr>
          <w:p w:rsidR="005F1A87" w:rsidRDefault="005F1A87" w:rsidP="00603D10">
            <w:pPr>
              <w:contextualSpacing w:val="0"/>
            </w:pPr>
            <w:r>
              <w:rPr>
                <w:sz w:val="24"/>
                <w:szCs w:val="24"/>
              </w:rPr>
              <w:t>Effect on our Work:</w:t>
            </w:r>
          </w:p>
        </w:tc>
        <w:tc>
          <w:tcPr>
            <w:tcW w:w="9378" w:type="dxa"/>
          </w:tcPr>
          <w:p w:rsidR="005F1A87" w:rsidRDefault="005F1A87" w:rsidP="00603D10">
            <w:pPr>
              <w:contextualSpacing w:val="0"/>
            </w:pPr>
            <w:r>
              <w:t>Unclear if any</w:t>
            </w:r>
          </w:p>
        </w:tc>
      </w:tr>
      <w:tr w:rsidR="005F1A87" w:rsidTr="00603D10">
        <w:tc>
          <w:tcPr>
            <w:tcW w:w="3798" w:type="dxa"/>
          </w:tcPr>
          <w:p w:rsidR="005F1A87" w:rsidRDefault="005F1A87" w:rsidP="00603D10">
            <w:pPr>
              <w:contextualSpacing w:val="0"/>
            </w:pPr>
            <w:r>
              <w:rPr>
                <w:sz w:val="24"/>
                <w:szCs w:val="24"/>
              </w:rPr>
              <w:t>Key Documents:</w:t>
            </w:r>
          </w:p>
        </w:tc>
        <w:tc>
          <w:tcPr>
            <w:tcW w:w="9378" w:type="dxa"/>
          </w:tcPr>
          <w:p w:rsidR="005F1A87" w:rsidRDefault="005F1A87" w:rsidP="00603D10">
            <w:pPr>
              <w:contextualSpacing w:val="0"/>
            </w:pPr>
            <w:bookmarkStart w:id="1" w:name="_GoBack"/>
            <w:bookmarkEnd w:id="1"/>
          </w:p>
        </w:tc>
      </w:tr>
    </w:tbl>
    <w:p w:rsidR="005F1A87" w:rsidRDefault="005F1A87" w:rsidP="005F1A87"/>
    <w:p w:rsidR="00BB43CD" w:rsidRDefault="00BB43CD"/>
    <w:sectPr w:rsidR="00BB43CD">
      <w:headerReference w:type="even" r:id="rId14"/>
      <w:headerReference w:type="default" r:id="rId15"/>
      <w:footerReference w:type="even" r:id="rId16"/>
      <w:footerReference w:type="default" r:id="rId17"/>
      <w:headerReference w:type="first" r:id="rId18"/>
      <w:footerReference w:type="first" r:id="rId19"/>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45" w:rsidRDefault="00060345">
      <w:pPr>
        <w:spacing w:after="0" w:line="240" w:lineRule="auto"/>
      </w:pPr>
      <w:r>
        <w:separator/>
      </w:r>
    </w:p>
  </w:endnote>
  <w:endnote w:type="continuationSeparator" w:id="0">
    <w:p w:rsidR="00060345" w:rsidRDefault="0006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45" w:rsidRDefault="00060345">
      <w:pPr>
        <w:spacing w:after="0" w:line="240" w:lineRule="auto"/>
      </w:pPr>
      <w:r>
        <w:separator/>
      </w:r>
    </w:p>
  </w:footnote>
  <w:footnote w:type="continuationSeparator" w:id="0">
    <w:p w:rsidR="00060345" w:rsidRDefault="00060345">
      <w:pPr>
        <w:spacing w:after="0" w:line="240" w:lineRule="auto"/>
      </w:pPr>
      <w:r>
        <w:continuationSeparator/>
      </w:r>
    </w:p>
  </w:footnote>
  <w:footnote w:id="1">
    <w:p w:rsidR="00BB43CD" w:rsidRDefault="000C1B9D">
      <w:pPr>
        <w:spacing w:after="0" w:line="240" w:lineRule="auto"/>
      </w:pPr>
      <w:r>
        <w:rPr>
          <w:vertAlign w:val="superscript"/>
        </w:rPr>
        <w:footnoteRef/>
      </w:r>
      <w:r>
        <w:rPr>
          <w:sz w:val="20"/>
          <w:szCs w:val="20"/>
        </w:rPr>
        <w:t xml:space="preserve"> </w:t>
      </w:r>
      <w:r>
        <w:t xml:space="preserve">Indicate whether each party is Plaintiff (P) or Defendant (D), or other status.  Please also list non-party participants, such </w:t>
      </w:r>
      <w:proofErr w:type="gramStart"/>
      <w:r>
        <w:t>as  Amicus</w:t>
      </w:r>
      <w:proofErr w:type="gramEnd"/>
      <w:r>
        <w:t xml:space="preserve"> Curiae (AC). </w:t>
      </w:r>
    </w:p>
  </w:footnote>
  <w:footnote w:id="2">
    <w:p w:rsidR="00566EC0" w:rsidRDefault="00566EC0">
      <w:pPr>
        <w:spacing w:after="0" w:line="240" w:lineRule="auto"/>
      </w:pPr>
      <w:r>
        <w:rPr>
          <w:vertAlign w:val="superscript"/>
        </w:rPr>
        <w:footnoteRef/>
      </w:r>
      <w:r>
        <w:t xml:space="preserve"> For example, challenge to venue, challenge to change of venue, challenge to governing law, challenge to application of “choice of law” provision.  Please describe the outcome as well as the challenge.</w:t>
      </w:r>
    </w:p>
  </w:footnote>
  <w:footnote w:id="3">
    <w:p w:rsidR="00566EC0" w:rsidRDefault="00566EC0">
      <w:pPr>
        <w:spacing w:after="0" w:line="240" w:lineRule="auto"/>
      </w:pPr>
      <w:r>
        <w:rPr>
          <w:vertAlign w:val="superscript"/>
        </w:rPr>
        <w:footnoteRef/>
      </w:r>
      <w:r>
        <w:rPr>
          <w:sz w:val="20"/>
          <w:szCs w:val="20"/>
        </w:rPr>
        <w:t xml:space="preserve"> </w:t>
      </w:r>
      <w:r>
        <w:t xml:space="preserve">Indicate whether the case had or will </w:t>
      </w:r>
      <w:proofErr w:type="gramStart"/>
      <w:r>
        <w:t>have an effect on</w:t>
      </w:r>
      <w:proofErr w:type="gramEnd"/>
      <w:r>
        <w:t xml:space="preserve"> ICANN’s accountability mechanisms or the operation of ICANN’s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9D" w:rsidRDefault="000C1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4477"/>
    <w:multiLevelType w:val="hybridMultilevel"/>
    <w:tmpl w:val="DF64A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CD"/>
    <w:rsid w:val="00041FB7"/>
    <w:rsid w:val="00060345"/>
    <w:rsid w:val="000C1B9D"/>
    <w:rsid w:val="001A2D63"/>
    <w:rsid w:val="002241AC"/>
    <w:rsid w:val="0025672E"/>
    <w:rsid w:val="002B5187"/>
    <w:rsid w:val="002B7311"/>
    <w:rsid w:val="00331900"/>
    <w:rsid w:val="003709FD"/>
    <w:rsid w:val="003F3E8B"/>
    <w:rsid w:val="003F4408"/>
    <w:rsid w:val="003F72BE"/>
    <w:rsid w:val="00494280"/>
    <w:rsid w:val="00533FE3"/>
    <w:rsid w:val="00566EC0"/>
    <w:rsid w:val="005B4825"/>
    <w:rsid w:val="005B703F"/>
    <w:rsid w:val="005F1A87"/>
    <w:rsid w:val="00626111"/>
    <w:rsid w:val="00630CC7"/>
    <w:rsid w:val="00657EE1"/>
    <w:rsid w:val="006832A0"/>
    <w:rsid w:val="006F6708"/>
    <w:rsid w:val="00741E48"/>
    <w:rsid w:val="00832880"/>
    <w:rsid w:val="00A27807"/>
    <w:rsid w:val="00A655D7"/>
    <w:rsid w:val="00AD0EC3"/>
    <w:rsid w:val="00AF7324"/>
    <w:rsid w:val="00B22479"/>
    <w:rsid w:val="00B24D47"/>
    <w:rsid w:val="00BB43CD"/>
    <w:rsid w:val="00C12BCC"/>
    <w:rsid w:val="00C64EDE"/>
    <w:rsid w:val="00CA6A7F"/>
    <w:rsid w:val="00CB7A52"/>
    <w:rsid w:val="00D23CCC"/>
    <w:rsid w:val="00D30886"/>
    <w:rsid w:val="00DD41D1"/>
    <w:rsid w:val="00DF6177"/>
    <w:rsid w:val="00E124FD"/>
    <w:rsid w:val="00F22E01"/>
    <w:rsid w:val="00F27AB0"/>
    <w:rsid w:val="00F30D8F"/>
    <w:rsid w:val="00F52E40"/>
    <w:rsid w:val="00FA0A38"/>
    <w:rsid w:val="00FE2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9257"/>
  <w15:docId w15:val="{6CAB0309-A119-498D-9CB9-1B2800A9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C1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B9D"/>
  </w:style>
  <w:style w:type="paragraph" w:styleId="Footer">
    <w:name w:val="footer"/>
    <w:basedOn w:val="Normal"/>
    <w:link w:val="FooterChar"/>
    <w:uiPriority w:val="99"/>
    <w:unhideWhenUsed/>
    <w:rsid w:val="000C1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B9D"/>
  </w:style>
  <w:style w:type="character" w:styleId="Hyperlink">
    <w:name w:val="Hyperlink"/>
    <w:basedOn w:val="DefaultParagraphFont"/>
    <w:uiPriority w:val="99"/>
    <w:unhideWhenUsed/>
    <w:rsid w:val="00A655D7"/>
    <w:rPr>
      <w:color w:val="0000FF" w:themeColor="hyperlink"/>
      <w:u w:val="single"/>
    </w:rPr>
  </w:style>
  <w:style w:type="paragraph" w:styleId="ListParagraph">
    <w:name w:val="List Paragraph"/>
    <w:basedOn w:val="Normal"/>
    <w:uiPriority w:val="34"/>
    <w:qFormat/>
    <w:rsid w:val="005F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litigation-dca-icann-order-denying-plaintiff-motion-prelim-injunction-03feb17-en.pdf" TargetMode="External"/><Relationship Id="rId13" Type="http://schemas.openxmlformats.org/officeDocument/2006/relationships/hyperlink" Target="https://www.icann.org/en/system/files/files/litigation-dca-answering-memorandum-regarding-district-court-jurisdiction-31oct16-en.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cann.org/en/system/files/files/litigation-dca-order-denying-motion-prelim-injunction-22dec16-en.pdf" TargetMode="External"/><Relationship Id="rId12" Type="http://schemas.openxmlformats.org/officeDocument/2006/relationships/hyperlink" Target="https://www.icann.org/en/system/files/files/litigation-dca-icann-memorandum-regarding-district-court-jurisdiction-21oct16-e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n.org/en/system/files/files/litigation-dca-order-dismissing-appeals-14dec16-en.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cann.org/en/system/files/files/litigation-dca-zacr-motion-intervene-remanding-19oct16-en.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icann.org/en/system/files/files/litigation-dca-icann-motion-prelim-injunction-12apr16-e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McCarter &amp; English, LLP</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Shatan, Gregory</dc:creator>
  <cp:lastModifiedBy>McAuley, David</cp:lastModifiedBy>
  <cp:revision>46</cp:revision>
  <dcterms:created xsi:type="dcterms:W3CDTF">2017-02-20T18:30:00Z</dcterms:created>
  <dcterms:modified xsi:type="dcterms:W3CDTF">2017-02-21T18:43:00Z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y fmtid="{D5CDD505-2E9C-101B-9397-08002B2CF9AE}" pid="3" name="_AdHocReviewCycleID">
    <vt:i4>1312185496</vt:i4>
  </property>
  <property fmtid="{D5CDD505-2E9C-101B-9397-08002B2CF9AE}" pid="4" name="_NewReviewCycle">
    <vt:lpwstr/>
  </property>
  <property fmtid="{D5CDD505-2E9C-101B-9397-08002B2CF9AE}" pid="5" name="_EmailSubject">
    <vt:lpwstr>Two litigation reviews</vt:lpwstr>
  </property>
  <property fmtid="{D5CDD505-2E9C-101B-9397-08002B2CF9AE}" pid="6" name="_AuthorEmail">
    <vt:lpwstr>dmcauley@Verisign.com</vt:lpwstr>
  </property>
  <property fmtid="{D5CDD505-2E9C-101B-9397-08002B2CF9AE}" pid="7" name="_AuthorEmailDisplayName">
    <vt:lpwstr>McAuley, David</vt:lpwstr>
  </property>
</Properties>
</file>