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JURISDICTION SUBGROUP ICANN LITIGATION SUMMARY v2.1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1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8"/>
        <w:gridCol w:w="9378"/>
        <w:tblGridChange w:id="0">
          <w:tblGrid>
            <w:gridCol w:w="3798"/>
            <w:gridCol w:w="937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Reviewed by: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Case: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Parties: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Citizenship of Parties: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Court/Venue: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 a contract involved? Did it have a Choice of Law provision; if so, which jurisdiction?: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Law used to determine conflict of laws issues (i.e., to determine which substantive law applies):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Substantive Law Governing the Dispute (i.e., which law applies to the dispute and/or interpretation of contracts):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Case Began: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Case Ended: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Causes of Action: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Issues Presented/Brief Summary of Case: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 Preliminary Relief Requested (and if so, was it granted)?: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Relief Requested by Plaintiff: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Outcome of Case and Relief Granted (if any):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 Jurisdiction Contested, and if so, what was the outcome?: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Relevance of the case to the Jurisdiction Subgroup mandate: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Impact of case on ICANN accountability/operations:</w:t>
            </w:r>
            <w:r w:rsidDel="00000000" w:rsidR="00000000" w:rsidRPr="00000000">
              <w:rPr>
                <w:sz w:val="24"/>
                <w:szCs w:val="24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Impact if case were decided for the other party?: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the Court comment on any jurisdiction-related matters?: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the Court  comment on the merit, lack of merit and/or frivolity of the plaintiff’s claims?: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Key Documents: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2"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For example, was there a challenge to venue, challenge to change of venue, challenge to governing law, challenge to application of “choice of law” provision.  Please describe the outcome as well as the challenge.</w:t>
      </w:r>
    </w:p>
  </w:footnote>
  <w:footnote w:id="0"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Show each</w:t>
      </w:r>
      <w:r w:rsidDel="00000000" w:rsidR="00000000" w:rsidRPr="00000000">
        <w:rPr>
          <w:rtl w:val="0"/>
        </w:rPr>
        <w:t xml:space="preserve"> party and their status (Plaintiff (P), Defendant (D), or other).  Please list any non-party participants, such as  Amicus Curiae (AC). </w:t>
      </w:r>
    </w:p>
  </w:footnote>
  <w:footnote w:id="3"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Indicate whether the case had, will have or could have an effect on ICANN’s accountability mechanisms or the operation of ICANN’s policies.</w:t>
      </w:r>
    </w:p>
  </w:footnote>
  <w:footnote w:id="1"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For example, breach of contract, tortious interference with contract, violation of antitrust laws, etc. (state which laws)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