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D31F" w14:textId="5BEDA79F" w:rsidR="007533E0" w:rsidRDefault="00B86D47">
      <w:r>
        <w:t>PTI Draft FY23 OP&amp;B</w:t>
      </w:r>
      <w:r w:rsidR="00446686">
        <w:t xml:space="preserve"> </w:t>
      </w:r>
      <w:hyperlink r:id="rId5" w:history="1">
        <w:r w:rsidR="00446686" w:rsidRPr="007736B6">
          <w:rPr>
            <w:rStyle w:val="Hyperlink"/>
          </w:rPr>
          <w:t>https://www.icann.org/en/system/files/files/draft-pti-op-budget-fy23-2021-en.pdf</w:t>
        </w:r>
      </w:hyperlink>
      <w:r w:rsidR="00446686">
        <w:t xml:space="preserve"> </w:t>
      </w:r>
    </w:p>
    <w:p w14:paraId="586FC888" w14:textId="536CE08C" w:rsidR="00B86D47" w:rsidRDefault="00B86D47"/>
    <w:p w14:paraId="4D45F92C" w14:textId="5DC22EB6" w:rsidR="00B86D47" w:rsidRPr="00B86D47" w:rsidRDefault="00B86D47" w:rsidP="00B86D47">
      <w:pPr>
        <w:pStyle w:val="ListParagraph"/>
        <w:numPr>
          <w:ilvl w:val="0"/>
          <w:numId w:val="4"/>
        </w:numPr>
        <w:rPr>
          <w:rFonts w:ascii="Times New Roman" w:eastAsia="Times New Roman" w:hAnsi="Times New Roman" w:cs="Times New Roman"/>
          <w:lang w:val="en-CA"/>
        </w:rPr>
      </w:pPr>
      <w:r>
        <w:t xml:space="preserve">(PTI Pg. 3) Do we like the re-structuring </w:t>
      </w:r>
      <w:r w:rsidRPr="00B86D47">
        <w:rPr>
          <w:rFonts w:ascii="Calibri" w:eastAsia="Times New Roman" w:hAnsi="Calibri" w:cs="Calibri"/>
          <w:color w:val="000000"/>
          <w:sz w:val="22"/>
          <w:szCs w:val="22"/>
          <w:lang w:val="en-CA"/>
        </w:rPr>
        <w:t xml:space="preserve">of reporting for FY23, which aligns with the objectives defined in the strategic plan published in September 2020, and which divides reporting into four areas: Operations, Operational Excellence, Technical Services and Governance.  </w:t>
      </w:r>
      <w:r>
        <w:rPr>
          <w:rFonts w:ascii="Calibri" w:eastAsia="Times New Roman" w:hAnsi="Calibri" w:cs="Calibri"/>
          <w:color w:val="000000"/>
          <w:sz w:val="22"/>
          <w:szCs w:val="22"/>
          <w:lang w:val="en-CA"/>
        </w:rPr>
        <w:t>Do w</w:t>
      </w:r>
      <w:r w:rsidRPr="00B86D47">
        <w:rPr>
          <w:rFonts w:ascii="Calibri" w:eastAsia="Times New Roman" w:hAnsi="Calibri" w:cs="Calibri"/>
          <w:color w:val="000000"/>
          <w:sz w:val="22"/>
          <w:szCs w:val="22"/>
          <w:lang w:val="en-CA"/>
        </w:rPr>
        <w:t xml:space="preserve">e believe this categorization will assist in better articulation of PTI work going </w:t>
      </w:r>
      <w:proofErr w:type="gramStart"/>
      <w:r w:rsidRPr="00B86D47">
        <w:rPr>
          <w:rFonts w:ascii="Calibri" w:eastAsia="Times New Roman" w:hAnsi="Calibri" w:cs="Calibri"/>
          <w:color w:val="000000"/>
          <w:sz w:val="22"/>
          <w:szCs w:val="22"/>
          <w:lang w:val="en-CA"/>
        </w:rPr>
        <w:t>forward</w:t>
      </w:r>
      <w:r>
        <w:rPr>
          <w:rFonts w:ascii="Calibri" w:eastAsia="Times New Roman" w:hAnsi="Calibri" w:cs="Calibri"/>
          <w:color w:val="000000"/>
          <w:sz w:val="22"/>
          <w:szCs w:val="22"/>
          <w:lang w:val="en-CA"/>
        </w:rPr>
        <w:t>.</w:t>
      </w:r>
      <w:proofErr w:type="gramEnd"/>
      <w:r w:rsidR="005B7086">
        <w:rPr>
          <w:rFonts w:ascii="Calibri" w:eastAsia="Times New Roman" w:hAnsi="Calibri" w:cs="Calibri"/>
          <w:color w:val="000000"/>
          <w:sz w:val="22"/>
          <w:szCs w:val="22"/>
          <w:lang w:val="en-CA"/>
        </w:rPr>
        <w:t xml:space="preserve"> If we make a comment about the new format, I </w:t>
      </w:r>
      <w:proofErr w:type="gramStart"/>
      <w:r w:rsidR="005B7086">
        <w:rPr>
          <w:rFonts w:ascii="Calibri" w:eastAsia="Times New Roman" w:hAnsi="Calibri" w:cs="Calibri"/>
          <w:color w:val="000000"/>
          <w:sz w:val="22"/>
          <w:szCs w:val="22"/>
          <w:lang w:val="en-CA"/>
        </w:rPr>
        <w:t>would</w:t>
      </w:r>
      <w:proofErr w:type="gramEnd"/>
      <w:r w:rsidR="005B7086">
        <w:rPr>
          <w:rFonts w:ascii="Calibri" w:eastAsia="Times New Roman" w:hAnsi="Calibri" w:cs="Calibri"/>
          <w:color w:val="000000"/>
          <w:sz w:val="22"/>
          <w:szCs w:val="22"/>
          <w:lang w:val="en-CA"/>
        </w:rPr>
        <w:t xml:space="preserve"> also consider stating that the layout of the variance of FY23 to FY22 on pages 19-20 could be laid out side-by-side for ease of review (but that may be petty).  That said, if making a comment, I liked the insertion of links at various spots throughout the document to be able to navigate around easily.  </w:t>
      </w:r>
    </w:p>
    <w:p w14:paraId="7345F61A" w14:textId="77777777" w:rsidR="00B86D47" w:rsidRPr="00B86D47" w:rsidRDefault="00B86D47" w:rsidP="00B86D47">
      <w:pPr>
        <w:ind w:left="360"/>
        <w:rPr>
          <w:rFonts w:ascii="Times New Roman" w:eastAsia="Times New Roman" w:hAnsi="Times New Roman" w:cs="Times New Roman"/>
          <w:lang w:val="en-CA"/>
        </w:rPr>
      </w:pPr>
    </w:p>
    <w:p w14:paraId="3CF02DB8" w14:textId="77777777" w:rsidR="006D1214" w:rsidRPr="006D1214" w:rsidRDefault="00B86D47" w:rsidP="006D1214">
      <w:pPr>
        <w:pStyle w:val="ListParagraph"/>
        <w:numPr>
          <w:ilvl w:val="0"/>
          <w:numId w:val="4"/>
        </w:numPr>
        <w:rPr>
          <w:rFonts w:ascii="Times New Roman" w:eastAsia="Times New Roman" w:hAnsi="Times New Roman" w:cs="Times New Roman"/>
          <w:lang w:val="en-CA"/>
        </w:rPr>
      </w:pPr>
      <w:r>
        <w:rPr>
          <w:rFonts w:ascii="Calibri" w:eastAsia="Times New Roman" w:hAnsi="Calibri" w:cs="Calibri"/>
          <w:color w:val="000000"/>
          <w:sz w:val="22"/>
          <w:szCs w:val="22"/>
          <w:lang w:val="en-CA"/>
        </w:rPr>
        <w:t xml:space="preserve">(PTI Pg. 5) </w:t>
      </w:r>
      <w:r w:rsidRPr="00B86D47">
        <w:rPr>
          <w:rFonts w:ascii="Calibri" w:eastAsia="Times New Roman" w:hAnsi="Calibri" w:cs="Calibri"/>
          <w:color w:val="000000"/>
          <w:sz w:val="22"/>
          <w:szCs w:val="22"/>
          <w:lang w:val="en-CA"/>
        </w:rPr>
        <w:t xml:space="preserve">Do we have any comment about </w:t>
      </w:r>
      <w:r>
        <w:rPr>
          <w:rFonts w:ascii="Calibri" w:eastAsia="Times New Roman" w:hAnsi="Calibri" w:cs="Calibri"/>
          <w:color w:val="000000"/>
          <w:sz w:val="22"/>
          <w:szCs w:val="22"/>
          <w:lang w:val="en-CA"/>
        </w:rPr>
        <w:t>efforts that are “</w:t>
      </w:r>
      <w:proofErr w:type="spellStart"/>
      <w:r>
        <w:rPr>
          <w:rFonts w:ascii="Calibri" w:eastAsia="Times New Roman" w:hAnsi="Calibri" w:cs="Calibri"/>
          <w:color w:val="000000"/>
          <w:sz w:val="22"/>
          <w:szCs w:val="22"/>
          <w:lang w:val="en-CA"/>
        </w:rPr>
        <w:t>Fost</w:t>
      </w:r>
      <w:r w:rsidRPr="00B86D47">
        <w:rPr>
          <w:rFonts w:ascii="ArialMT" w:hAnsi="ArialMT"/>
          <w:sz w:val="22"/>
          <w:szCs w:val="22"/>
        </w:rPr>
        <w:t>ering</w:t>
      </w:r>
      <w:proofErr w:type="spellEnd"/>
      <w:r w:rsidRPr="00B86D47">
        <w:rPr>
          <w:rFonts w:ascii="ArialMT" w:hAnsi="ArialMT"/>
          <w:sz w:val="22"/>
          <w:szCs w:val="22"/>
        </w:rPr>
        <w:t xml:space="preserve"> support for Internationalized Domain Names (IDNs) by maintaining a shared repository of IDN practices and label generational rulesets (LGRs) across TLDs</w:t>
      </w:r>
      <w:r>
        <w:rPr>
          <w:rFonts w:ascii="ArialMT" w:hAnsi="ArialMT"/>
          <w:sz w:val="22"/>
          <w:szCs w:val="22"/>
        </w:rPr>
        <w:t xml:space="preserve">”.  Would we like this effort defined/increased/reduced? This is part of an IANA function. </w:t>
      </w:r>
    </w:p>
    <w:p w14:paraId="6516C275" w14:textId="77777777" w:rsidR="006D1214" w:rsidRDefault="006D1214" w:rsidP="006D1214">
      <w:pPr>
        <w:pStyle w:val="ListParagraph"/>
      </w:pPr>
    </w:p>
    <w:p w14:paraId="08BC102D" w14:textId="030DB0F0" w:rsidR="006D1214" w:rsidRPr="006D1214" w:rsidRDefault="006D1214" w:rsidP="006D1214">
      <w:pPr>
        <w:pStyle w:val="ListParagraph"/>
        <w:numPr>
          <w:ilvl w:val="0"/>
          <w:numId w:val="4"/>
        </w:numPr>
        <w:rPr>
          <w:rFonts w:ascii="Times New Roman" w:eastAsia="Times New Roman" w:hAnsi="Times New Roman" w:cs="Times New Roman"/>
          <w:lang w:val="en-CA"/>
        </w:rPr>
      </w:pPr>
      <w:r>
        <w:t>(PTI Pg. 10) “</w:t>
      </w:r>
      <w:r w:rsidRPr="006D1214">
        <w:rPr>
          <w:rFonts w:ascii="ArialMT" w:hAnsi="ArialMT"/>
          <w:sz w:val="22"/>
          <w:szCs w:val="22"/>
        </w:rPr>
        <w:t>For FY23, additional headcount may be required but are not included in this budget… not allocated to the functional activities until they are hired.”  Should additional headcounts be required, will this come from the contingency? Is this worth asking about?</w:t>
      </w:r>
    </w:p>
    <w:p w14:paraId="5D5CD17A" w14:textId="77777777" w:rsidR="006D1214" w:rsidRPr="006D1214" w:rsidRDefault="006D1214" w:rsidP="006D1214">
      <w:pPr>
        <w:pStyle w:val="ListParagraph"/>
        <w:rPr>
          <w:rFonts w:ascii="Times New Roman" w:eastAsia="Times New Roman" w:hAnsi="Times New Roman" w:cs="Times New Roman"/>
          <w:lang w:val="en-CA"/>
        </w:rPr>
      </w:pPr>
    </w:p>
    <w:p w14:paraId="08933D2F" w14:textId="77777777" w:rsidR="008724B7" w:rsidRPr="008724B7" w:rsidRDefault="009E6C93" w:rsidP="008724B7">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lang w:val="en-CA"/>
        </w:rPr>
      </w:pPr>
      <w:r>
        <w:rPr>
          <w:rFonts w:ascii="ArialMT" w:eastAsia="Times New Roman" w:hAnsi="ArialMT" w:cs="Times New Roman"/>
          <w:sz w:val="22"/>
          <w:szCs w:val="22"/>
          <w:lang w:val="en-CA"/>
        </w:rPr>
        <w:t>(PTI Pg. 10) “…</w:t>
      </w:r>
      <w:r w:rsidRPr="009E6C93">
        <w:rPr>
          <w:rFonts w:ascii="ArialMT" w:eastAsia="Times New Roman" w:hAnsi="ArialMT" w:cs="Times New Roman"/>
          <w:sz w:val="22"/>
          <w:szCs w:val="22"/>
          <w:lang w:val="en-CA"/>
        </w:rPr>
        <w:t xml:space="preserve">the current allocation of PTI's </w:t>
      </w:r>
      <w:r w:rsidRPr="009E6C93">
        <w:rPr>
          <w:rFonts w:ascii="ArialMT" w:eastAsia="Times New Roman" w:hAnsi="ArialMT" w:cs="Times New Roman"/>
          <w:color w:val="0F54CC"/>
          <w:sz w:val="22"/>
          <w:szCs w:val="22"/>
          <w:lang w:val="en-CA"/>
        </w:rPr>
        <w:t xml:space="preserve">Direct Dedicated </w:t>
      </w:r>
      <w:r w:rsidRPr="009E6C93">
        <w:rPr>
          <w:rFonts w:ascii="ArialMT" w:eastAsia="Times New Roman" w:hAnsi="ArialMT" w:cs="Times New Roman"/>
          <w:sz w:val="22"/>
          <w:szCs w:val="22"/>
          <w:lang w:val="en-CA"/>
        </w:rPr>
        <w:t xml:space="preserve">resources poses a risk to timely delivery of key </w:t>
      </w:r>
      <w:proofErr w:type="gramStart"/>
      <w:r w:rsidRPr="009E6C93">
        <w:rPr>
          <w:rFonts w:ascii="ArialMT" w:eastAsia="Times New Roman" w:hAnsi="ArialMT" w:cs="Times New Roman"/>
          <w:sz w:val="22"/>
          <w:szCs w:val="22"/>
          <w:lang w:val="en-CA"/>
        </w:rPr>
        <w:t>projects</w:t>
      </w:r>
      <w:r>
        <w:rPr>
          <w:rFonts w:ascii="ArialMT" w:eastAsia="Times New Roman" w:hAnsi="ArialMT" w:cs="Times New Roman"/>
          <w:sz w:val="22"/>
          <w:szCs w:val="22"/>
          <w:lang w:val="en-CA"/>
        </w:rPr>
        <w:t>..</w:t>
      </w:r>
      <w:proofErr w:type="gramEnd"/>
      <w:r>
        <w:rPr>
          <w:rFonts w:ascii="ArialMT" w:eastAsia="Times New Roman" w:hAnsi="ArialMT" w:cs="Times New Roman"/>
          <w:sz w:val="22"/>
          <w:szCs w:val="22"/>
          <w:lang w:val="en-CA"/>
        </w:rPr>
        <w:t xml:space="preserve">”  Should we seek some clarification here?  It’s hard to present a budget that doesn’t adequately address required scope of work.  </w:t>
      </w:r>
    </w:p>
    <w:p w14:paraId="139ED74B" w14:textId="067E0E28" w:rsidR="008724B7" w:rsidRDefault="008724B7" w:rsidP="008724B7">
      <w:pPr>
        <w:pStyle w:val="ListParagraph"/>
      </w:pPr>
    </w:p>
    <w:p w14:paraId="2CF1CC81" w14:textId="58B307E7" w:rsidR="008724B7" w:rsidRDefault="008724B7" w:rsidP="008724B7">
      <w:r>
        <w:t>IANA Draft FY23 OP&amp;B</w:t>
      </w:r>
      <w:r w:rsidR="00446686">
        <w:t xml:space="preserve"> </w:t>
      </w:r>
      <w:hyperlink r:id="rId6" w:history="1">
        <w:r w:rsidR="00446686" w:rsidRPr="007736B6">
          <w:rPr>
            <w:rStyle w:val="Hyperlink"/>
          </w:rPr>
          <w:t>https://www.icann.org/en/system/files/files/draft-iana-op-budget-fy23-2021-en.pdf</w:t>
        </w:r>
      </w:hyperlink>
      <w:r w:rsidR="00446686">
        <w:t xml:space="preserve"> </w:t>
      </w:r>
    </w:p>
    <w:p w14:paraId="3C52E1E2" w14:textId="77777777" w:rsidR="008724B7" w:rsidRDefault="008724B7" w:rsidP="008724B7">
      <w:pPr>
        <w:pStyle w:val="ListParagraph"/>
      </w:pPr>
    </w:p>
    <w:p w14:paraId="1002A48B" w14:textId="111D5CDC" w:rsidR="008724B7" w:rsidRPr="008724B7" w:rsidRDefault="005B7086" w:rsidP="008724B7">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lang w:val="en-CA"/>
        </w:rPr>
      </w:pPr>
      <w:r>
        <w:t xml:space="preserve">(IANA Pg. 7) </w:t>
      </w:r>
      <w:r w:rsidR="008724B7">
        <w:t xml:space="preserve">While the IANA Support Activities remain at $0.6million for </w:t>
      </w:r>
      <w:r w:rsidR="008724B7" w:rsidRPr="008724B7">
        <w:rPr>
          <w:rFonts w:ascii="ArialMT" w:hAnsi="ArialMT"/>
          <w:sz w:val="18"/>
          <w:szCs w:val="18"/>
        </w:rPr>
        <w:t>Root Zone Maintainer function, Customer Standing Committee, Root Zone Evolution Committee, and IANA Naming Function reviews</w:t>
      </w:r>
      <w:r w:rsidR="008724B7">
        <w:rPr>
          <w:rFonts w:ascii="ArialMT" w:hAnsi="ArialMT"/>
          <w:sz w:val="18"/>
          <w:szCs w:val="18"/>
        </w:rPr>
        <w:t xml:space="preserve">; in </w:t>
      </w:r>
      <w:proofErr w:type="gramStart"/>
      <w:r w:rsidR="008724B7">
        <w:rPr>
          <w:rFonts w:ascii="ArialMT" w:hAnsi="ArialMT"/>
          <w:sz w:val="18"/>
          <w:szCs w:val="18"/>
        </w:rPr>
        <w:t>fact</w:t>
      </w:r>
      <w:proofErr w:type="gramEnd"/>
      <w:r w:rsidR="008724B7">
        <w:rPr>
          <w:rFonts w:ascii="ArialMT" w:hAnsi="ArialMT"/>
          <w:sz w:val="18"/>
          <w:szCs w:val="18"/>
        </w:rPr>
        <w:t xml:space="preserve"> they are increasing by $100,000 or 8.8% </w:t>
      </w:r>
      <w:proofErr w:type="spellStart"/>
      <w:r w:rsidR="008724B7">
        <w:rPr>
          <w:rFonts w:ascii="ArialMT" w:hAnsi="ArialMT"/>
          <w:sz w:val="18"/>
          <w:szCs w:val="18"/>
        </w:rPr>
        <w:t>YoverY</w:t>
      </w:r>
      <w:proofErr w:type="spellEnd"/>
      <w:r w:rsidR="008724B7">
        <w:rPr>
          <w:rFonts w:ascii="ArialMT" w:hAnsi="ArialMT"/>
          <w:sz w:val="18"/>
          <w:szCs w:val="18"/>
        </w:rPr>
        <w:t xml:space="preserve">.  Should we seek an explanation for this? </w:t>
      </w:r>
    </w:p>
    <w:p w14:paraId="12EF3E38" w14:textId="506F0FAF" w:rsidR="00B86D47" w:rsidRPr="005B7086" w:rsidRDefault="00B86D47" w:rsidP="008724B7">
      <w:pPr>
        <w:pStyle w:val="ListParagraph"/>
        <w:shd w:val="clear" w:color="auto" w:fill="FFFFFF"/>
        <w:spacing w:before="100" w:beforeAutospacing="1" w:after="100" w:afterAutospacing="1"/>
        <w:rPr>
          <w:rFonts w:ascii="Times New Roman" w:eastAsia="Times New Roman" w:hAnsi="Times New Roman" w:cs="Times New Roman"/>
          <w:lang w:val="en-CA"/>
        </w:rPr>
      </w:pPr>
    </w:p>
    <w:sectPr w:rsidR="00B86D47" w:rsidRPr="005B7086" w:rsidSect="00BD6E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1D9E"/>
    <w:multiLevelType w:val="multilevel"/>
    <w:tmpl w:val="FE6C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E35E7"/>
    <w:multiLevelType w:val="multilevel"/>
    <w:tmpl w:val="0409001D"/>
    <w:styleLink w:val="Style4"/>
    <w:lvl w:ilvl="0">
      <w:start w:val="1"/>
      <w:numFmt w:val="decimalZero"/>
      <w:lvlText w:val="%1)"/>
      <w:lvlJc w:val="left"/>
      <w:pPr>
        <w:ind w:left="360" w:hanging="360"/>
      </w:pPr>
    </w:lvl>
    <w:lvl w:ilvl="1">
      <w:start w:val="1"/>
      <w:numFmt w:val="decimalZero"/>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BD3809"/>
    <w:multiLevelType w:val="multilevel"/>
    <w:tmpl w:val="0409001D"/>
    <w:styleLink w:val="Style7"/>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EE7744A"/>
    <w:multiLevelType w:val="hybridMultilevel"/>
    <w:tmpl w:val="C664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F05E6"/>
    <w:multiLevelType w:val="multilevel"/>
    <w:tmpl w:val="0409001D"/>
    <w:styleLink w:val="Style3"/>
    <w:lvl w:ilvl="0">
      <w:start w:val="3"/>
      <w:numFmt w:val="decimal"/>
      <w:lvlText w:val="%1)"/>
      <w:lvlJc w:val="left"/>
      <w:pPr>
        <w:ind w:left="360" w:hanging="360"/>
      </w:pPr>
    </w:lvl>
    <w:lvl w:ilvl="1">
      <w:start w:val="1"/>
      <w:numFmt w:val="decimalZero"/>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0647BAA"/>
    <w:multiLevelType w:val="hybridMultilevel"/>
    <w:tmpl w:val="095AF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47"/>
    <w:rsid w:val="0001379A"/>
    <w:rsid w:val="002C143E"/>
    <w:rsid w:val="002C2570"/>
    <w:rsid w:val="00381766"/>
    <w:rsid w:val="00385DCA"/>
    <w:rsid w:val="00446686"/>
    <w:rsid w:val="00447349"/>
    <w:rsid w:val="00486ECD"/>
    <w:rsid w:val="00493036"/>
    <w:rsid w:val="00563BCB"/>
    <w:rsid w:val="00591AB6"/>
    <w:rsid w:val="005B7086"/>
    <w:rsid w:val="00680EE2"/>
    <w:rsid w:val="006D1214"/>
    <w:rsid w:val="007051D5"/>
    <w:rsid w:val="008724B7"/>
    <w:rsid w:val="009675BF"/>
    <w:rsid w:val="009E6C93"/>
    <w:rsid w:val="00AA2ACC"/>
    <w:rsid w:val="00B86D47"/>
    <w:rsid w:val="00BD6E8C"/>
    <w:rsid w:val="00CC4E35"/>
    <w:rsid w:val="00D573D1"/>
    <w:rsid w:val="00D81E51"/>
    <w:rsid w:val="00E01271"/>
    <w:rsid w:val="00E9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9C120"/>
  <w14:defaultImageDpi w14:val="32767"/>
  <w15:chartTrackingRefBased/>
  <w15:docId w15:val="{81A15814-D9AD-7C43-A38B-023BA819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680EE2"/>
    <w:pPr>
      <w:numPr>
        <w:numId w:val="1"/>
      </w:numPr>
    </w:pPr>
  </w:style>
  <w:style w:type="numbering" w:customStyle="1" w:styleId="Style4">
    <w:name w:val="Style4"/>
    <w:uiPriority w:val="99"/>
    <w:rsid w:val="00680EE2"/>
    <w:pPr>
      <w:numPr>
        <w:numId w:val="2"/>
      </w:numPr>
    </w:pPr>
  </w:style>
  <w:style w:type="numbering" w:customStyle="1" w:styleId="Style7">
    <w:name w:val="Style7"/>
    <w:uiPriority w:val="99"/>
    <w:rsid w:val="00680EE2"/>
    <w:pPr>
      <w:numPr>
        <w:numId w:val="3"/>
      </w:numPr>
    </w:pPr>
  </w:style>
  <w:style w:type="paragraph" w:styleId="ListParagraph">
    <w:name w:val="List Paragraph"/>
    <w:basedOn w:val="Normal"/>
    <w:uiPriority w:val="34"/>
    <w:qFormat/>
    <w:rsid w:val="00B86D47"/>
    <w:pPr>
      <w:ind w:left="720"/>
      <w:contextualSpacing/>
    </w:pPr>
  </w:style>
  <w:style w:type="paragraph" w:styleId="NormalWeb">
    <w:name w:val="Normal (Web)"/>
    <w:basedOn w:val="Normal"/>
    <w:uiPriority w:val="99"/>
    <w:semiHidden/>
    <w:unhideWhenUsed/>
    <w:rsid w:val="00B86D47"/>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446686"/>
    <w:rPr>
      <w:color w:val="0563C1" w:themeColor="hyperlink"/>
      <w:u w:val="single"/>
    </w:rPr>
  </w:style>
  <w:style w:type="character" w:styleId="UnresolvedMention">
    <w:name w:val="Unresolved Mention"/>
    <w:basedOn w:val="DefaultParagraphFont"/>
    <w:uiPriority w:val="99"/>
    <w:rsid w:val="00446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796312">
      <w:bodyDiv w:val="1"/>
      <w:marLeft w:val="0"/>
      <w:marRight w:val="0"/>
      <w:marTop w:val="0"/>
      <w:marBottom w:val="0"/>
      <w:divBdr>
        <w:top w:val="none" w:sz="0" w:space="0" w:color="auto"/>
        <w:left w:val="none" w:sz="0" w:space="0" w:color="auto"/>
        <w:bottom w:val="none" w:sz="0" w:space="0" w:color="auto"/>
        <w:right w:val="none" w:sz="0" w:space="0" w:color="auto"/>
      </w:divBdr>
      <w:divsChild>
        <w:div w:id="1920485129">
          <w:marLeft w:val="0"/>
          <w:marRight w:val="0"/>
          <w:marTop w:val="0"/>
          <w:marBottom w:val="0"/>
          <w:divBdr>
            <w:top w:val="none" w:sz="0" w:space="0" w:color="auto"/>
            <w:left w:val="none" w:sz="0" w:space="0" w:color="auto"/>
            <w:bottom w:val="none" w:sz="0" w:space="0" w:color="auto"/>
            <w:right w:val="none" w:sz="0" w:space="0" w:color="auto"/>
          </w:divBdr>
          <w:divsChild>
            <w:div w:id="873231511">
              <w:marLeft w:val="0"/>
              <w:marRight w:val="0"/>
              <w:marTop w:val="0"/>
              <w:marBottom w:val="0"/>
              <w:divBdr>
                <w:top w:val="none" w:sz="0" w:space="0" w:color="auto"/>
                <w:left w:val="none" w:sz="0" w:space="0" w:color="auto"/>
                <w:bottom w:val="none" w:sz="0" w:space="0" w:color="auto"/>
                <w:right w:val="none" w:sz="0" w:space="0" w:color="auto"/>
              </w:divBdr>
              <w:divsChild>
                <w:div w:id="1304047234">
                  <w:marLeft w:val="0"/>
                  <w:marRight w:val="0"/>
                  <w:marTop w:val="0"/>
                  <w:marBottom w:val="0"/>
                  <w:divBdr>
                    <w:top w:val="none" w:sz="0" w:space="0" w:color="auto"/>
                    <w:left w:val="none" w:sz="0" w:space="0" w:color="auto"/>
                    <w:bottom w:val="none" w:sz="0" w:space="0" w:color="auto"/>
                    <w:right w:val="none" w:sz="0" w:space="0" w:color="auto"/>
                  </w:divBdr>
                  <w:divsChild>
                    <w:div w:id="1545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0114">
      <w:bodyDiv w:val="1"/>
      <w:marLeft w:val="0"/>
      <w:marRight w:val="0"/>
      <w:marTop w:val="0"/>
      <w:marBottom w:val="0"/>
      <w:divBdr>
        <w:top w:val="none" w:sz="0" w:space="0" w:color="auto"/>
        <w:left w:val="none" w:sz="0" w:space="0" w:color="auto"/>
        <w:bottom w:val="none" w:sz="0" w:space="0" w:color="auto"/>
        <w:right w:val="none" w:sz="0" w:space="0" w:color="auto"/>
      </w:divBdr>
    </w:div>
    <w:div w:id="1181318406">
      <w:bodyDiv w:val="1"/>
      <w:marLeft w:val="0"/>
      <w:marRight w:val="0"/>
      <w:marTop w:val="0"/>
      <w:marBottom w:val="0"/>
      <w:divBdr>
        <w:top w:val="none" w:sz="0" w:space="0" w:color="auto"/>
        <w:left w:val="none" w:sz="0" w:space="0" w:color="auto"/>
        <w:bottom w:val="none" w:sz="0" w:space="0" w:color="auto"/>
        <w:right w:val="none" w:sz="0" w:space="0" w:color="auto"/>
      </w:divBdr>
      <w:divsChild>
        <w:div w:id="1407804261">
          <w:marLeft w:val="0"/>
          <w:marRight w:val="0"/>
          <w:marTop w:val="0"/>
          <w:marBottom w:val="0"/>
          <w:divBdr>
            <w:top w:val="none" w:sz="0" w:space="0" w:color="auto"/>
            <w:left w:val="none" w:sz="0" w:space="0" w:color="auto"/>
            <w:bottom w:val="none" w:sz="0" w:space="0" w:color="auto"/>
            <w:right w:val="none" w:sz="0" w:space="0" w:color="auto"/>
          </w:divBdr>
          <w:divsChild>
            <w:div w:id="456608645">
              <w:marLeft w:val="0"/>
              <w:marRight w:val="0"/>
              <w:marTop w:val="0"/>
              <w:marBottom w:val="0"/>
              <w:divBdr>
                <w:top w:val="none" w:sz="0" w:space="0" w:color="auto"/>
                <w:left w:val="none" w:sz="0" w:space="0" w:color="auto"/>
                <w:bottom w:val="none" w:sz="0" w:space="0" w:color="auto"/>
                <w:right w:val="none" w:sz="0" w:space="0" w:color="auto"/>
              </w:divBdr>
              <w:divsChild>
                <w:div w:id="1596357725">
                  <w:marLeft w:val="0"/>
                  <w:marRight w:val="0"/>
                  <w:marTop w:val="0"/>
                  <w:marBottom w:val="0"/>
                  <w:divBdr>
                    <w:top w:val="none" w:sz="0" w:space="0" w:color="auto"/>
                    <w:left w:val="none" w:sz="0" w:space="0" w:color="auto"/>
                    <w:bottom w:val="none" w:sz="0" w:space="0" w:color="auto"/>
                    <w:right w:val="none" w:sz="0" w:space="0" w:color="auto"/>
                  </w:divBdr>
                  <w:divsChild>
                    <w:div w:id="4275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640944">
      <w:bodyDiv w:val="1"/>
      <w:marLeft w:val="0"/>
      <w:marRight w:val="0"/>
      <w:marTop w:val="0"/>
      <w:marBottom w:val="0"/>
      <w:divBdr>
        <w:top w:val="none" w:sz="0" w:space="0" w:color="auto"/>
        <w:left w:val="none" w:sz="0" w:space="0" w:color="auto"/>
        <w:bottom w:val="none" w:sz="0" w:space="0" w:color="auto"/>
        <w:right w:val="none" w:sz="0" w:space="0" w:color="auto"/>
      </w:divBdr>
      <w:divsChild>
        <w:div w:id="1549756946">
          <w:marLeft w:val="0"/>
          <w:marRight w:val="0"/>
          <w:marTop w:val="0"/>
          <w:marBottom w:val="0"/>
          <w:divBdr>
            <w:top w:val="none" w:sz="0" w:space="0" w:color="auto"/>
            <w:left w:val="none" w:sz="0" w:space="0" w:color="auto"/>
            <w:bottom w:val="none" w:sz="0" w:space="0" w:color="auto"/>
            <w:right w:val="none" w:sz="0" w:space="0" w:color="auto"/>
          </w:divBdr>
          <w:divsChild>
            <w:div w:id="51119430">
              <w:marLeft w:val="0"/>
              <w:marRight w:val="0"/>
              <w:marTop w:val="0"/>
              <w:marBottom w:val="0"/>
              <w:divBdr>
                <w:top w:val="none" w:sz="0" w:space="0" w:color="auto"/>
                <w:left w:val="none" w:sz="0" w:space="0" w:color="auto"/>
                <w:bottom w:val="none" w:sz="0" w:space="0" w:color="auto"/>
                <w:right w:val="none" w:sz="0" w:space="0" w:color="auto"/>
              </w:divBdr>
              <w:divsChild>
                <w:div w:id="478156271">
                  <w:marLeft w:val="0"/>
                  <w:marRight w:val="0"/>
                  <w:marTop w:val="0"/>
                  <w:marBottom w:val="0"/>
                  <w:divBdr>
                    <w:top w:val="none" w:sz="0" w:space="0" w:color="auto"/>
                    <w:left w:val="none" w:sz="0" w:space="0" w:color="auto"/>
                    <w:bottom w:val="none" w:sz="0" w:space="0" w:color="auto"/>
                    <w:right w:val="none" w:sz="0" w:space="0" w:color="auto"/>
                  </w:divBdr>
                  <w:divsChild>
                    <w:div w:id="2632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3001">
      <w:bodyDiv w:val="1"/>
      <w:marLeft w:val="0"/>
      <w:marRight w:val="0"/>
      <w:marTop w:val="0"/>
      <w:marBottom w:val="0"/>
      <w:divBdr>
        <w:top w:val="none" w:sz="0" w:space="0" w:color="auto"/>
        <w:left w:val="none" w:sz="0" w:space="0" w:color="auto"/>
        <w:bottom w:val="none" w:sz="0" w:space="0" w:color="auto"/>
        <w:right w:val="none" w:sz="0" w:space="0" w:color="auto"/>
      </w:divBdr>
      <w:divsChild>
        <w:div w:id="435449129">
          <w:marLeft w:val="0"/>
          <w:marRight w:val="0"/>
          <w:marTop w:val="0"/>
          <w:marBottom w:val="0"/>
          <w:divBdr>
            <w:top w:val="none" w:sz="0" w:space="0" w:color="auto"/>
            <w:left w:val="none" w:sz="0" w:space="0" w:color="auto"/>
            <w:bottom w:val="none" w:sz="0" w:space="0" w:color="auto"/>
            <w:right w:val="none" w:sz="0" w:space="0" w:color="auto"/>
          </w:divBdr>
          <w:divsChild>
            <w:div w:id="1899122641">
              <w:marLeft w:val="0"/>
              <w:marRight w:val="0"/>
              <w:marTop w:val="0"/>
              <w:marBottom w:val="0"/>
              <w:divBdr>
                <w:top w:val="none" w:sz="0" w:space="0" w:color="auto"/>
                <w:left w:val="none" w:sz="0" w:space="0" w:color="auto"/>
                <w:bottom w:val="none" w:sz="0" w:space="0" w:color="auto"/>
                <w:right w:val="none" w:sz="0" w:space="0" w:color="auto"/>
              </w:divBdr>
              <w:divsChild>
                <w:div w:id="1874270506">
                  <w:marLeft w:val="0"/>
                  <w:marRight w:val="0"/>
                  <w:marTop w:val="0"/>
                  <w:marBottom w:val="0"/>
                  <w:divBdr>
                    <w:top w:val="none" w:sz="0" w:space="0" w:color="auto"/>
                    <w:left w:val="none" w:sz="0" w:space="0" w:color="auto"/>
                    <w:bottom w:val="none" w:sz="0" w:space="0" w:color="auto"/>
                    <w:right w:val="none" w:sz="0" w:space="0" w:color="auto"/>
                  </w:divBdr>
                  <w:divsChild>
                    <w:div w:id="15722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88446">
      <w:bodyDiv w:val="1"/>
      <w:marLeft w:val="0"/>
      <w:marRight w:val="0"/>
      <w:marTop w:val="0"/>
      <w:marBottom w:val="0"/>
      <w:divBdr>
        <w:top w:val="none" w:sz="0" w:space="0" w:color="auto"/>
        <w:left w:val="none" w:sz="0" w:space="0" w:color="auto"/>
        <w:bottom w:val="none" w:sz="0" w:space="0" w:color="auto"/>
        <w:right w:val="none" w:sz="0" w:space="0" w:color="auto"/>
      </w:divBdr>
      <w:divsChild>
        <w:div w:id="1831749783">
          <w:marLeft w:val="0"/>
          <w:marRight w:val="0"/>
          <w:marTop w:val="0"/>
          <w:marBottom w:val="0"/>
          <w:divBdr>
            <w:top w:val="none" w:sz="0" w:space="0" w:color="auto"/>
            <w:left w:val="none" w:sz="0" w:space="0" w:color="auto"/>
            <w:bottom w:val="none" w:sz="0" w:space="0" w:color="auto"/>
            <w:right w:val="none" w:sz="0" w:space="0" w:color="auto"/>
          </w:divBdr>
          <w:divsChild>
            <w:div w:id="1047878382">
              <w:marLeft w:val="0"/>
              <w:marRight w:val="0"/>
              <w:marTop w:val="0"/>
              <w:marBottom w:val="0"/>
              <w:divBdr>
                <w:top w:val="none" w:sz="0" w:space="0" w:color="auto"/>
                <w:left w:val="none" w:sz="0" w:space="0" w:color="auto"/>
                <w:bottom w:val="none" w:sz="0" w:space="0" w:color="auto"/>
                <w:right w:val="none" w:sz="0" w:space="0" w:color="auto"/>
              </w:divBdr>
              <w:divsChild>
                <w:div w:id="128672506">
                  <w:marLeft w:val="0"/>
                  <w:marRight w:val="0"/>
                  <w:marTop w:val="0"/>
                  <w:marBottom w:val="0"/>
                  <w:divBdr>
                    <w:top w:val="none" w:sz="0" w:space="0" w:color="auto"/>
                    <w:left w:val="none" w:sz="0" w:space="0" w:color="auto"/>
                    <w:bottom w:val="none" w:sz="0" w:space="0" w:color="auto"/>
                    <w:right w:val="none" w:sz="0" w:space="0" w:color="auto"/>
                  </w:divBdr>
                  <w:divsChild>
                    <w:div w:id="16537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en/system/files/files/draft-iana-op-budget-fy23-2021-en.pdf" TargetMode="External"/><Relationship Id="rId5" Type="http://schemas.openxmlformats.org/officeDocument/2006/relationships/hyperlink" Target="https://www.icann.org/en/system/files/files/draft-pti-op-budget-fy23-2021-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Tim Smith</cp:lastModifiedBy>
  <cp:revision>8</cp:revision>
  <dcterms:created xsi:type="dcterms:W3CDTF">2021-10-13T21:54:00Z</dcterms:created>
  <dcterms:modified xsi:type="dcterms:W3CDTF">2021-10-13T22:56:00Z</dcterms:modified>
</cp:coreProperties>
</file>