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77F4D" w14:textId="3B8790CC" w:rsidR="00863DD9" w:rsidRPr="009E7A82" w:rsidRDefault="00863DD9" w:rsidP="00857606">
      <w:pPr>
        <w:rPr>
          <w:rFonts w:asciiTheme="majorHAnsi" w:hAnsiTheme="majorHAnsi"/>
          <w:color w:val="17365D"/>
        </w:rPr>
      </w:pPr>
      <w:r w:rsidRPr="009E7A82">
        <w:rPr>
          <w:rFonts w:asciiTheme="majorHAnsi" w:hAnsiTheme="majorHAnsi"/>
          <w:color w:val="17365D"/>
        </w:rPr>
        <w:fldChar w:fldCharType="begin"/>
      </w:r>
      <w:r w:rsidRPr="009E7A82">
        <w:rPr>
          <w:rFonts w:asciiTheme="majorHAnsi" w:hAnsiTheme="majorHAnsi"/>
          <w:color w:val="17365D"/>
        </w:rPr>
        <w:instrText xml:space="preserve"> TIME \@ "d MMMM yyyy" </w:instrText>
      </w:r>
      <w:r w:rsidRPr="009E7A82">
        <w:rPr>
          <w:rFonts w:asciiTheme="majorHAnsi" w:hAnsiTheme="majorHAnsi"/>
          <w:color w:val="17365D"/>
        </w:rPr>
        <w:fldChar w:fldCharType="separate"/>
      </w:r>
      <w:r w:rsidR="007B4648">
        <w:rPr>
          <w:rFonts w:asciiTheme="majorHAnsi" w:hAnsiTheme="majorHAnsi"/>
          <w:noProof/>
          <w:color w:val="17365D"/>
        </w:rPr>
        <w:t>1</w:t>
      </w:r>
      <w:r w:rsidR="007B4648">
        <w:rPr>
          <w:rFonts w:asciiTheme="majorHAnsi" w:hAnsiTheme="majorHAnsi"/>
          <w:noProof/>
          <w:color w:val="17365D"/>
        </w:rPr>
        <w:t>9</w:t>
      </w:r>
      <w:r w:rsidR="007B4648">
        <w:rPr>
          <w:rFonts w:asciiTheme="majorHAnsi" w:hAnsiTheme="majorHAnsi"/>
          <w:noProof/>
          <w:color w:val="17365D"/>
        </w:rPr>
        <w:t xml:space="preserve"> November 2021</w:t>
      </w:r>
      <w:r w:rsidRPr="009E7A82">
        <w:rPr>
          <w:rFonts w:asciiTheme="majorHAnsi" w:hAnsiTheme="majorHAnsi"/>
          <w:color w:val="17365D"/>
        </w:rPr>
        <w:fldChar w:fldCharType="end"/>
      </w:r>
    </w:p>
    <w:p w14:paraId="274B5C08" w14:textId="77777777" w:rsidR="00863DD9" w:rsidRPr="009E7A82" w:rsidRDefault="00863DD9" w:rsidP="00857606">
      <w:pPr>
        <w:rPr>
          <w:rFonts w:asciiTheme="majorHAnsi" w:hAnsiTheme="majorHAnsi"/>
          <w:color w:val="17365D"/>
        </w:rPr>
      </w:pPr>
    </w:p>
    <w:p w14:paraId="1A03068B" w14:textId="67F65AD3" w:rsidR="007B4648" w:rsidRPr="007B4648" w:rsidRDefault="007B4648" w:rsidP="007B4648">
      <w:pPr>
        <w:rPr>
          <w:rFonts w:asciiTheme="majorHAnsi" w:eastAsia="Times New Roman" w:hAnsiTheme="majorHAnsi"/>
          <w:b/>
          <w:color w:val="17365D"/>
          <w:lang w:val="en-BE"/>
        </w:rPr>
      </w:pPr>
      <w:r w:rsidRPr="007B4648">
        <w:rPr>
          <w:rFonts w:asciiTheme="majorHAnsi" w:eastAsia="Times New Roman" w:hAnsiTheme="majorHAnsi"/>
          <w:b/>
          <w:color w:val="17365D"/>
          <w:lang w:val="en-BE"/>
        </w:rPr>
        <w:t>Submission of GNSO Council Review of ICANN7</w:t>
      </w:r>
      <w:r>
        <w:rPr>
          <w:rFonts w:asciiTheme="majorHAnsi" w:eastAsia="Times New Roman" w:hAnsiTheme="majorHAnsi"/>
          <w:b/>
          <w:color w:val="17365D"/>
        </w:rPr>
        <w:t>2</w:t>
      </w:r>
      <w:r w:rsidRPr="007B4648">
        <w:rPr>
          <w:rFonts w:asciiTheme="majorHAnsi" w:eastAsia="Times New Roman" w:hAnsiTheme="majorHAnsi"/>
          <w:b/>
          <w:color w:val="17365D"/>
          <w:lang w:val="en-BE"/>
        </w:rPr>
        <w:t xml:space="preserve"> GAC Communiqué</w:t>
      </w:r>
    </w:p>
    <w:p w14:paraId="20CAC69F" w14:textId="77777777" w:rsidR="00D132FB" w:rsidRPr="009E7A82" w:rsidRDefault="00D132FB" w:rsidP="00D132FB">
      <w:pPr>
        <w:rPr>
          <w:rFonts w:asciiTheme="majorHAnsi" w:eastAsia="Times New Roman" w:hAnsiTheme="majorHAnsi"/>
          <w:color w:val="17365D"/>
        </w:rPr>
      </w:pPr>
    </w:p>
    <w:p w14:paraId="1E3279E3" w14:textId="3CCDCC8C" w:rsidR="00D132FB" w:rsidRPr="009E7A82" w:rsidRDefault="007B4648" w:rsidP="00F50E87">
      <w:pPr>
        <w:outlineLvl w:val="0"/>
        <w:rPr>
          <w:rFonts w:asciiTheme="majorHAnsi" w:eastAsia="Times New Roman" w:hAnsiTheme="majorHAnsi"/>
          <w:color w:val="17365D"/>
        </w:rPr>
      </w:pPr>
      <w:r>
        <w:rPr>
          <w:rFonts w:asciiTheme="majorHAnsi" w:eastAsia="Times New Roman" w:hAnsiTheme="majorHAnsi"/>
          <w:color w:val="17365D"/>
        </w:rPr>
        <w:t xml:space="preserve">Philippe </w:t>
      </w:r>
      <w:proofErr w:type="spellStart"/>
      <w:r>
        <w:rPr>
          <w:rFonts w:asciiTheme="majorHAnsi" w:eastAsia="Times New Roman" w:hAnsiTheme="majorHAnsi"/>
          <w:color w:val="17365D"/>
        </w:rPr>
        <w:t>Fouquart</w:t>
      </w:r>
      <w:proofErr w:type="spellEnd"/>
      <w:r>
        <w:rPr>
          <w:rFonts w:asciiTheme="majorHAnsi" w:eastAsia="Times New Roman" w:hAnsiTheme="majorHAnsi"/>
          <w:color w:val="17365D"/>
        </w:rPr>
        <w:t>, GNSO Chair</w:t>
      </w:r>
    </w:p>
    <w:p w14:paraId="15657EAE" w14:textId="59AB1B7A" w:rsidR="00D132FB" w:rsidRDefault="00D132FB" w:rsidP="00D132FB">
      <w:pPr>
        <w:rPr>
          <w:rFonts w:asciiTheme="majorHAnsi" w:eastAsia="Times New Roman" w:hAnsiTheme="majorHAnsi"/>
          <w:color w:val="17365D"/>
        </w:rPr>
      </w:pPr>
    </w:p>
    <w:p w14:paraId="56FBAC59" w14:textId="77777777" w:rsidR="007B4648" w:rsidRDefault="007B4648" w:rsidP="007B4648">
      <w:pPr>
        <w:rPr>
          <w:rFonts w:asciiTheme="majorHAnsi" w:eastAsia="Times New Roman" w:hAnsiTheme="majorHAnsi"/>
          <w:color w:val="17365D"/>
          <w:lang w:val="en-BE"/>
        </w:rPr>
      </w:pPr>
      <w:r w:rsidRPr="007B4648">
        <w:rPr>
          <w:rFonts w:asciiTheme="majorHAnsi" w:eastAsia="Times New Roman" w:hAnsiTheme="majorHAnsi"/>
          <w:color w:val="17365D"/>
          <w:lang w:val="en-BE"/>
        </w:rPr>
        <w:t xml:space="preserve">To: Maarten Botterman, Chair of ICANN Board </w:t>
      </w:r>
    </w:p>
    <w:p w14:paraId="7A61DB20" w14:textId="3823F85C" w:rsidR="007B4648" w:rsidRPr="007B4648" w:rsidRDefault="007B4648" w:rsidP="007B4648">
      <w:pPr>
        <w:rPr>
          <w:rFonts w:asciiTheme="majorHAnsi" w:eastAsia="Times New Roman" w:hAnsiTheme="majorHAnsi"/>
          <w:color w:val="17365D"/>
          <w:lang w:val="en-BE"/>
        </w:rPr>
      </w:pPr>
      <w:r w:rsidRPr="007B4648">
        <w:rPr>
          <w:rFonts w:asciiTheme="majorHAnsi" w:eastAsia="Times New Roman" w:hAnsiTheme="majorHAnsi"/>
          <w:color w:val="17365D"/>
          <w:lang w:val="en-BE"/>
        </w:rPr>
        <w:t xml:space="preserve">Cc: Manal Ismail, Chair of the GAC </w:t>
      </w:r>
    </w:p>
    <w:p w14:paraId="71B994C7" w14:textId="77777777" w:rsidR="00D132FB" w:rsidRPr="009E7A82" w:rsidRDefault="00D132FB" w:rsidP="00D132FB">
      <w:pPr>
        <w:rPr>
          <w:rFonts w:asciiTheme="majorHAnsi" w:eastAsia="Times New Roman" w:hAnsiTheme="majorHAnsi"/>
        </w:rPr>
      </w:pPr>
    </w:p>
    <w:p w14:paraId="64650211" w14:textId="77777777" w:rsidR="007B4648" w:rsidRDefault="007B4648" w:rsidP="007B4648">
      <w:pPr>
        <w:rPr>
          <w:rFonts w:asciiTheme="majorHAnsi" w:eastAsia="Times New Roman" w:hAnsiTheme="majorHAnsi"/>
          <w:lang w:val="en-BE"/>
        </w:rPr>
      </w:pPr>
      <w:r w:rsidRPr="007B4648">
        <w:rPr>
          <w:rFonts w:asciiTheme="majorHAnsi" w:eastAsia="Times New Roman" w:hAnsiTheme="majorHAnsi"/>
          <w:lang w:val="en-BE"/>
        </w:rPr>
        <w:t xml:space="preserve">Dear Maarten and members of the ICANN Board, </w:t>
      </w:r>
    </w:p>
    <w:p w14:paraId="1F43EC17" w14:textId="77777777" w:rsidR="007B4648" w:rsidRDefault="007B4648" w:rsidP="007B4648">
      <w:pPr>
        <w:rPr>
          <w:rFonts w:asciiTheme="majorHAnsi" w:eastAsia="Times New Roman" w:hAnsiTheme="majorHAnsi"/>
          <w:lang w:val="en-BE"/>
        </w:rPr>
      </w:pPr>
    </w:p>
    <w:p w14:paraId="08A3D342" w14:textId="77777777" w:rsidR="007B4648" w:rsidRDefault="007B4648" w:rsidP="007B4648">
      <w:pPr>
        <w:rPr>
          <w:rFonts w:asciiTheme="majorHAnsi" w:eastAsia="Times New Roman" w:hAnsiTheme="majorHAnsi"/>
          <w:lang w:val="en-BE"/>
        </w:rPr>
      </w:pPr>
      <w:r w:rsidRPr="007B4648">
        <w:rPr>
          <w:rFonts w:asciiTheme="majorHAnsi" w:eastAsia="Times New Roman" w:hAnsiTheme="majorHAnsi"/>
          <w:lang w:val="en-BE"/>
        </w:rPr>
        <w:t>On behalf of the GNSO Council, I am hereby transmitting to you the review by the GNSO Council of the ICANN7</w:t>
      </w:r>
      <w:r>
        <w:rPr>
          <w:rFonts w:asciiTheme="majorHAnsi" w:eastAsia="Times New Roman" w:hAnsiTheme="majorHAnsi"/>
        </w:rPr>
        <w:t>2</w:t>
      </w:r>
      <w:r w:rsidRPr="007B4648">
        <w:rPr>
          <w:rFonts w:asciiTheme="majorHAnsi" w:eastAsia="Times New Roman" w:hAnsiTheme="majorHAnsi"/>
          <w:lang w:val="en-BE"/>
        </w:rPr>
        <w:t xml:space="preserve"> GAC Communiqué, which was unanimously adopted by the Council during its meeting on </w:t>
      </w:r>
      <w:r w:rsidRPr="00FA6B13">
        <w:rPr>
          <w:rFonts w:asciiTheme="majorHAnsi" w:eastAsia="Times New Roman" w:hAnsiTheme="majorHAnsi"/>
        </w:rPr>
        <w:t>18 November</w:t>
      </w:r>
      <w:r w:rsidRPr="007B4648">
        <w:rPr>
          <w:rFonts w:asciiTheme="majorHAnsi" w:eastAsia="Times New Roman" w:hAnsiTheme="majorHAnsi"/>
          <w:lang w:val="en-BE"/>
        </w:rPr>
        <w:t xml:space="preserve"> 2021. </w:t>
      </w:r>
    </w:p>
    <w:p w14:paraId="73A38B24" w14:textId="77777777" w:rsidR="007B4648" w:rsidRDefault="007B4648" w:rsidP="007B4648">
      <w:pPr>
        <w:rPr>
          <w:rFonts w:asciiTheme="majorHAnsi" w:eastAsia="Times New Roman" w:hAnsiTheme="majorHAnsi"/>
          <w:lang w:val="en-BE"/>
        </w:rPr>
      </w:pPr>
    </w:p>
    <w:p w14:paraId="663F18C5" w14:textId="1069E561" w:rsidR="007B4648" w:rsidRDefault="007B4648" w:rsidP="007B4648">
      <w:pPr>
        <w:rPr>
          <w:rFonts w:asciiTheme="majorHAnsi" w:eastAsia="Times New Roman" w:hAnsiTheme="majorHAnsi"/>
          <w:lang w:val="en-BE"/>
        </w:rPr>
      </w:pPr>
      <w:r w:rsidRPr="007B4648">
        <w:rPr>
          <w:rFonts w:asciiTheme="majorHAnsi" w:eastAsia="Times New Roman" w:hAnsiTheme="majorHAnsi"/>
          <w:lang w:val="en-BE"/>
        </w:rPr>
        <w:t xml:space="preserve">The GNSO Council’s review of each GAC Communiqué is an effort to provide feedback to you, in your capacity as members of the ICANN Board, as you consider issues referenced in the Communiqué that we believe relate to policies governing generic Top-Level Domains. Our intent is to inform you and the broader community of gTLD policy activities, either existing or planned, that may directly or indirectly relate to advice provided by the GAC. </w:t>
      </w:r>
    </w:p>
    <w:p w14:paraId="49916BC4" w14:textId="6AE01A83" w:rsidR="007B4648" w:rsidRDefault="007B4648" w:rsidP="007B4648">
      <w:pPr>
        <w:rPr>
          <w:rFonts w:asciiTheme="majorHAnsi" w:eastAsia="Times New Roman" w:hAnsiTheme="majorHAnsi"/>
          <w:lang w:val="en-BE"/>
        </w:rPr>
      </w:pPr>
    </w:p>
    <w:p w14:paraId="32660B67" w14:textId="779A6870" w:rsidR="007B4648" w:rsidRDefault="007B4648" w:rsidP="007B4648">
      <w:pPr>
        <w:rPr>
          <w:rFonts w:asciiTheme="majorHAnsi" w:eastAsia="Times New Roman" w:hAnsiTheme="majorHAnsi"/>
        </w:rPr>
      </w:pPr>
      <w:r>
        <w:rPr>
          <w:rFonts w:asciiTheme="majorHAnsi" w:eastAsia="Times New Roman" w:hAnsiTheme="majorHAnsi"/>
        </w:rPr>
        <w:t xml:space="preserve">In addition to feedback included in the attached review document, the GNSO Council would like to provide the following input regarding specific items in the </w:t>
      </w:r>
      <w:r w:rsidRPr="007B4648">
        <w:rPr>
          <w:rFonts w:asciiTheme="majorHAnsi" w:eastAsia="Times New Roman" w:hAnsiTheme="majorHAnsi"/>
          <w:lang w:val="en-BE"/>
        </w:rPr>
        <w:t>GAC Communiqué</w:t>
      </w:r>
      <w:r>
        <w:rPr>
          <w:rFonts w:asciiTheme="majorHAnsi" w:eastAsia="Times New Roman" w:hAnsiTheme="majorHAnsi"/>
        </w:rPr>
        <w:t>:</w:t>
      </w:r>
    </w:p>
    <w:p w14:paraId="79A57C22" w14:textId="77777777" w:rsidR="007B4648" w:rsidRDefault="007B4648" w:rsidP="007B4648">
      <w:pPr>
        <w:rPr>
          <w:rFonts w:asciiTheme="majorHAnsi" w:eastAsia="Times New Roman" w:hAnsiTheme="majorHAnsi"/>
        </w:rPr>
      </w:pPr>
    </w:p>
    <w:p w14:paraId="26263274" w14:textId="01699735" w:rsidR="00905330" w:rsidRPr="00905330" w:rsidRDefault="00905330" w:rsidP="00905330">
      <w:pPr>
        <w:pStyle w:val="ListParagraph"/>
        <w:numPr>
          <w:ilvl w:val="0"/>
          <w:numId w:val="1"/>
        </w:numPr>
        <w:rPr>
          <w:rFonts w:asciiTheme="majorHAnsi" w:eastAsia="Times New Roman" w:hAnsiTheme="majorHAnsi"/>
          <w:lang w:val="en-BE"/>
        </w:rPr>
      </w:pPr>
      <w:r>
        <w:rPr>
          <w:rFonts w:asciiTheme="majorHAnsi" w:eastAsia="Times New Roman" w:hAnsiTheme="majorHAnsi"/>
        </w:rPr>
        <w:t>In reference to GAC Advice V.</w:t>
      </w:r>
      <w:r w:rsidR="007B4648">
        <w:rPr>
          <w:rFonts w:asciiTheme="majorHAnsi" w:eastAsia="Times New Roman" w:hAnsiTheme="majorHAnsi"/>
        </w:rPr>
        <w:t>1.a.i</w:t>
      </w:r>
      <w:r>
        <w:rPr>
          <w:rFonts w:asciiTheme="majorHAnsi" w:eastAsia="Times New Roman" w:hAnsiTheme="majorHAnsi"/>
        </w:rPr>
        <w:t>,</w:t>
      </w:r>
      <w:r>
        <w:rPr>
          <w:rStyle w:val="FootnoteReference"/>
          <w:rFonts w:asciiTheme="majorHAnsi" w:eastAsia="Times New Roman" w:hAnsiTheme="majorHAnsi"/>
        </w:rPr>
        <w:footnoteReference w:id="1"/>
      </w:r>
      <w:r w:rsidR="007B4648">
        <w:rPr>
          <w:rFonts w:asciiTheme="majorHAnsi" w:eastAsia="Times New Roman" w:hAnsiTheme="majorHAnsi"/>
        </w:rPr>
        <w:t xml:space="preserve"> </w:t>
      </w:r>
      <w:r w:rsidRPr="00905330">
        <w:rPr>
          <w:rFonts w:asciiTheme="majorHAnsi" w:eastAsia="Times New Roman" w:hAnsiTheme="majorHAnsi"/>
          <w:lang w:val="en-BE"/>
        </w:rPr>
        <w:t xml:space="preserve">The GNSO Council is aware of the </w:t>
      </w:r>
      <w:r w:rsidRPr="00905330">
        <w:rPr>
          <w:rFonts w:asciiTheme="majorHAnsi" w:eastAsia="Times New Roman" w:hAnsiTheme="majorHAnsi"/>
          <w:lang w:val="en-BE"/>
        </w:rPr>
        <w:fldChar w:fldCharType="begin"/>
      </w:r>
      <w:r w:rsidRPr="00905330">
        <w:rPr>
          <w:rFonts w:asciiTheme="majorHAnsi" w:eastAsia="Times New Roman" w:hAnsiTheme="majorHAnsi"/>
          <w:lang w:val="en-BE"/>
        </w:rPr>
        <w:instrText xml:space="preserve"> HYPERLINK "https://www.icann.org/en/system/files/files/ssr2-scorecard-22jul21-en.pdf" </w:instrText>
      </w:r>
      <w:r w:rsidRPr="00905330">
        <w:rPr>
          <w:rFonts w:asciiTheme="majorHAnsi" w:eastAsia="Times New Roman" w:hAnsiTheme="majorHAnsi"/>
          <w:lang w:val="en-BE"/>
        </w:rPr>
        <w:fldChar w:fldCharType="separate"/>
      </w:r>
      <w:r w:rsidRPr="00905330">
        <w:rPr>
          <w:rStyle w:val="Hyperlink"/>
          <w:rFonts w:asciiTheme="majorHAnsi" w:eastAsia="Times New Roman" w:hAnsiTheme="majorHAnsi"/>
          <w:lang w:val="en-BE"/>
        </w:rPr>
        <w:t>Board</w:t>
      </w:r>
      <w:r w:rsidRPr="00905330">
        <w:rPr>
          <w:rFonts w:asciiTheme="majorHAnsi" w:eastAsia="Times New Roman" w:hAnsiTheme="majorHAnsi"/>
        </w:rPr>
        <w:fldChar w:fldCharType="end"/>
      </w:r>
      <w:r w:rsidRPr="00905330">
        <w:rPr>
          <w:rFonts w:asciiTheme="majorHAnsi" w:eastAsia="Times New Roman" w:hAnsiTheme="majorHAnsi"/>
          <w:lang w:val="en-BE"/>
        </w:rPr>
        <w:t xml:space="preserve"> Scorecard on SSR2 and agrees with the GAC that the ICANN Board's support of the community, including the GNSO as it actions the items in the Scorecard which fall under the GNSO's remit, is vital. </w:t>
      </w:r>
    </w:p>
    <w:p w14:paraId="1388F46C" w14:textId="2E93CD9C" w:rsidR="007B4648" w:rsidRPr="00CB1156" w:rsidRDefault="00905330" w:rsidP="00CB1156">
      <w:pPr>
        <w:pStyle w:val="ListParagraph"/>
        <w:numPr>
          <w:ilvl w:val="0"/>
          <w:numId w:val="1"/>
        </w:numPr>
        <w:rPr>
          <w:rFonts w:asciiTheme="majorHAnsi" w:eastAsia="Times New Roman" w:hAnsiTheme="majorHAnsi"/>
          <w:lang w:val="en-BE"/>
        </w:rPr>
      </w:pPr>
      <w:r>
        <w:rPr>
          <w:rFonts w:asciiTheme="majorHAnsi" w:eastAsia="Times New Roman" w:hAnsiTheme="majorHAnsi"/>
        </w:rPr>
        <w:t>In reference to Follow up to Previous GAC Advice VI.1,</w:t>
      </w:r>
      <w:r>
        <w:rPr>
          <w:rStyle w:val="FootnoteReference"/>
          <w:rFonts w:asciiTheme="majorHAnsi" w:eastAsia="Times New Roman" w:hAnsiTheme="majorHAnsi"/>
        </w:rPr>
        <w:footnoteReference w:id="2"/>
      </w:r>
      <w:r>
        <w:rPr>
          <w:rFonts w:asciiTheme="majorHAnsi" w:eastAsia="Times New Roman" w:hAnsiTheme="majorHAnsi"/>
        </w:rPr>
        <w:t xml:space="preserve"> </w:t>
      </w:r>
      <w:r w:rsidR="00CB1156">
        <w:rPr>
          <w:rFonts w:asciiTheme="majorHAnsi" w:eastAsia="Times New Roman" w:hAnsiTheme="majorHAnsi"/>
        </w:rPr>
        <w:t>t</w:t>
      </w:r>
      <w:r w:rsidR="00CB1156" w:rsidRPr="00CB1156">
        <w:rPr>
          <w:rFonts w:asciiTheme="majorHAnsi" w:eastAsia="Times New Roman" w:hAnsiTheme="majorHAnsi"/>
          <w:lang w:val="en-BE"/>
        </w:rPr>
        <w:t>o the extent that the information requested by the GAC is provided, the GNSO Council encourages the ICANN Board to make the information available to the broader ICANN community.</w:t>
      </w:r>
    </w:p>
    <w:p w14:paraId="08865AD4" w14:textId="77777777" w:rsidR="007B4648" w:rsidRDefault="007B4648" w:rsidP="007B4648">
      <w:pPr>
        <w:rPr>
          <w:rFonts w:asciiTheme="majorHAnsi" w:eastAsia="Times New Roman" w:hAnsiTheme="majorHAnsi"/>
          <w:lang w:val="en-BE"/>
        </w:rPr>
      </w:pPr>
    </w:p>
    <w:p w14:paraId="1A00176B" w14:textId="1A036C99" w:rsidR="007B4648" w:rsidRPr="007B4648" w:rsidRDefault="007B4648" w:rsidP="007B4648">
      <w:pPr>
        <w:rPr>
          <w:rFonts w:asciiTheme="majorHAnsi" w:eastAsia="Times New Roman" w:hAnsiTheme="majorHAnsi"/>
          <w:lang w:val="en-BE"/>
        </w:rPr>
      </w:pPr>
      <w:r w:rsidRPr="007B4648">
        <w:rPr>
          <w:rFonts w:asciiTheme="majorHAnsi" w:eastAsia="Times New Roman" w:hAnsiTheme="majorHAnsi"/>
          <w:lang w:val="en-BE"/>
        </w:rPr>
        <w:t>The GNSO Council hopes that the input provided through its review of the GAC Communiqué will enhance co-ordination and promote the sharing of information on gTLD related policy activities between the GAC, Board and the GNSO.</w:t>
      </w:r>
    </w:p>
    <w:p w14:paraId="0A669F68" w14:textId="52E0D728" w:rsidR="00D132FB" w:rsidRDefault="00D132FB" w:rsidP="00D132FB">
      <w:pPr>
        <w:rPr>
          <w:rFonts w:asciiTheme="majorHAnsi" w:eastAsia="Times New Roman" w:hAnsiTheme="majorHAnsi"/>
        </w:rPr>
      </w:pPr>
    </w:p>
    <w:p w14:paraId="16AB0D73" w14:textId="7EBB49C5" w:rsidR="007B4648" w:rsidRPr="009E7A82" w:rsidRDefault="007B4648" w:rsidP="00D132FB">
      <w:pPr>
        <w:rPr>
          <w:rFonts w:asciiTheme="majorHAnsi" w:eastAsia="Times New Roman" w:hAnsiTheme="majorHAnsi"/>
        </w:rPr>
      </w:pPr>
      <w:r>
        <w:rPr>
          <w:rFonts w:asciiTheme="majorHAnsi" w:eastAsia="Times New Roman" w:hAnsiTheme="majorHAnsi"/>
        </w:rPr>
        <w:t>On behalf of the GNSO Council,</w:t>
      </w:r>
    </w:p>
    <w:p w14:paraId="1DFE10C1" w14:textId="77777777" w:rsidR="00D132FB" w:rsidRPr="009E7A82" w:rsidRDefault="00D132FB" w:rsidP="00D132FB">
      <w:pPr>
        <w:rPr>
          <w:rFonts w:asciiTheme="majorHAnsi" w:eastAsia="Times New Roman" w:hAnsiTheme="majorHAnsi"/>
        </w:rPr>
      </w:pPr>
    </w:p>
    <w:p w14:paraId="36D589E4" w14:textId="2DE5D599" w:rsidR="00D132FB" w:rsidRPr="009E7A82" w:rsidRDefault="007B4648" w:rsidP="00F50E87">
      <w:pPr>
        <w:outlineLvl w:val="0"/>
        <w:rPr>
          <w:rFonts w:asciiTheme="majorHAnsi" w:eastAsia="Times New Roman" w:hAnsiTheme="majorHAnsi"/>
          <w:i/>
          <w:color w:val="17365D"/>
        </w:rPr>
      </w:pPr>
      <w:r>
        <w:rPr>
          <w:rFonts w:asciiTheme="majorHAnsi" w:eastAsia="Times New Roman" w:hAnsiTheme="majorHAnsi"/>
          <w:i/>
          <w:color w:val="17365D"/>
        </w:rPr>
        <w:t>Philippe Fouquart</w:t>
      </w:r>
    </w:p>
    <w:p w14:paraId="3917B822" w14:textId="77777777" w:rsidR="000E0135" w:rsidRPr="009E7A82" w:rsidRDefault="000E0135">
      <w:pPr>
        <w:rPr>
          <w:rFonts w:asciiTheme="majorHAnsi" w:hAnsiTheme="majorHAnsi"/>
        </w:rPr>
      </w:pPr>
    </w:p>
    <w:p w14:paraId="5DFFD50E" w14:textId="77777777" w:rsidR="00406588" w:rsidRDefault="00406588"/>
    <w:p w14:paraId="3A9D58B9" w14:textId="77777777" w:rsidR="00406588" w:rsidRDefault="00406588">
      <w:pPr>
        <w:sectPr w:rsidR="00406588" w:rsidSect="00EA57F9">
          <w:headerReference w:type="default" r:id="rId8"/>
          <w:footerReference w:type="even" r:id="rId9"/>
          <w:footerReference w:type="default" r:id="rId10"/>
          <w:pgSz w:w="12240" w:h="15840"/>
          <w:pgMar w:top="1440" w:right="1000" w:bottom="1440" w:left="1000" w:header="400" w:footer="800" w:gutter="0"/>
          <w:cols w:space="720"/>
          <w:docGrid w:linePitch="360"/>
        </w:sectPr>
      </w:pPr>
    </w:p>
    <w:p w14:paraId="4161747E" w14:textId="369A08A8" w:rsidR="00406588" w:rsidRDefault="00406588"/>
    <w:p w14:paraId="19C7ABBA" w14:textId="66E82AF1" w:rsidR="00233E28" w:rsidRDefault="00233E28" w:rsidP="00233E28">
      <w:pPr>
        <w:rPr>
          <w:rFonts w:ascii="Calibri" w:eastAsia="Calibri" w:hAnsi="Calibri" w:cs="Calibri"/>
          <w:b/>
          <w:color w:val="1155CC"/>
          <w:sz w:val="22"/>
          <w:szCs w:val="22"/>
          <w:u w:val="single"/>
        </w:rPr>
      </w:pPr>
      <w:r>
        <w:rPr>
          <w:rFonts w:ascii="Calibri" w:eastAsia="Calibri" w:hAnsi="Calibri" w:cs="Calibri"/>
          <w:b/>
          <w:sz w:val="22"/>
          <w:szCs w:val="22"/>
        </w:rPr>
        <w:t>GNSO COUNCIL REVIEW OF</w:t>
      </w:r>
      <w:hyperlink r:id="rId11">
        <w:r>
          <w:rPr>
            <w:rFonts w:ascii="Calibri" w:eastAsia="Calibri" w:hAnsi="Calibri" w:cs="Calibri"/>
            <w:b/>
            <w:color w:val="1155CC"/>
            <w:sz w:val="22"/>
            <w:szCs w:val="22"/>
            <w:u w:val="single"/>
          </w:rPr>
          <w:t xml:space="preserve"> </w:t>
        </w:r>
      </w:hyperlink>
      <w:hyperlink r:id="rId12">
        <w:r>
          <w:rPr>
            <w:rFonts w:ascii="Calibri" w:eastAsia="Calibri" w:hAnsi="Calibri" w:cs="Calibri"/>
            <w:b/>
            <w:color w:val="1155CC"/>
            <w:sz w:val="22"/>
            <w:szCs w:val="22"/>
            <w:u w:val="single"/>
          </w:rPr>
          <w:t>ICANN72 GAC COMMUNIQUE</w:t>
        </w:r>
      </w:hyperlink>
      <w:r>
        <w:rPr>
          <w:rFonts w:ascii="Calibri" w:eastAsia="Calibri" w:hAnsi="Calibri" w:cs="Calibri"/>
          <w:b/>
          <w:sz w:val="22"/>
          <w:szCs w:val="22"/>
          <w:vertAlign w:val="superscript"/>
        </w:rPr>
        <w:footnoteReference w:id="3"/>
      </w:r>
    </w:p>
    <w:p w14:paraId="73C44AC5" w14:textId="77777777" w:rsidR="00233E28" w:rsidRDefault="00233E28" w:rsidP="00233E28">
      <w:pPr>
        <w:rPr>
          <w:rFonts w:ascii="Calibri" w:eastAsia="Calibri" w:hAnsi="Calibri" w:cs="Calibri"/>
          <w:b/>
          <w:sz w:val="22"/>
          <w:szCs w:val="22"/>
          <w:vertAlign w:val="superscript"/>
        </w:rPr>
      </w:pPr>
    </w:p>
    <w:tbl>
      <w:tblPr>
        <w:tblW w:w="13037" w:type="dxa"/>
        <w:tblInd w:w="7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1897"/>
        <w:gridCol w:w="3600"/>
        <w:gridCol w:w="2060"/>
        <w:gridCol w:w="2250"/>
        <w:gridCol w:w="3230"/>
      </w:tblGrid>
      <w:tr w:rsidR="00233E28" w14:paraId="3652D93E" w14:textId="77777777" w:rsidTr="00FC1839">
        <w:trPr>
          <w:trHeight w:val="1340"/>
        </w:trPr>
        <w:tc>
          <w:tcPr>
            <w:tcW w:w="1897" w:type="dxa"/>
            <w:tcBorders>
              <w:top w:val="single" w:sz="4" w:space="0" w:color="000001"/>
              <w:left w:val="single" w:sz="4" w:space="0" w:color="000001"/>
              <w:bottom w:val="single" w:sz="4" w:space="0" w:color="000001"/>
              <w:right w:val="single" w:sz="4" w:space="0" w:color="000001"/>
            </w:tcBorders>
            <w:shd w:val="clear" w:color="auto" w:fill="C0C0C0"/>
            <w:tcMar>
              <w:left w:w="75" w:type="dxa"/>
            </w:tcMar>
          </w:tcPr>
          <w:p w14:paraId="1C13CAC6" w14:textId="77777777" w:rsidR="00233E28" w:rsidRDefault="00233E28" w:rsidP="00FC1839">
            <w:pPr>
              <w:widowControl w:val="0"/>
              <w:rPr>
                <w:rFonts w:ascii="Calibri" w:eastAsia="Calibri" w:hAnsi="Calibri" w:cs="Calibri"/>
                <w:b/>
                <w:sz w:val="22"/>
                <w:szCs w:val="22"/>
              </w:rPr>
            </w:pPr>
            <w:r>
              <w:rPr>
                <w:rFonts w:ascii="Calibri" w:eastAsia="Calibri" w:hAnsi="Calibri" w:cs="Calibri"/>
                <w:b/>
                <w:sz w:val="22"/>
                <w:szCs w:val="22"/>
              </w:rPr>
              <w:t>GAC Advice - Topic</w:t>
            </w:r>
          </w:p>
        </w:tc>
        <w:tc>
          <w:tcPr>
            <w:tcW w:w="3600" w:type="dxa"/>
            <w:tcBorders>
              <w:top w:val="single" w:sz="4" w:space="0" w:color="000001"/>
              <w:left w:val="single" w:sz="4" w:space="0" w:color="000001"/>
              <w:bottom w:val="single" w:sz="4" w:space="0" w:color="000001"/>
              <w:right w:val="single" w:sz="4" w:space="0" w:color="000001"/>
            </w:tcBorders>
            <w:shd w:val="clear" w:color="auto" w:fill="C0C0C0"/>
            <w:tcMar>
              <w:left w:w="75" w:type="dxa"/>
            </w:tcMar>
          </w:tcPr>
          <w:p w14:paraId="3E56DD5B" w14:textId="77777777" w:rsidR="00233E28" w:rsidRDefault="00233E28" w:rsidP="00FC1839">
            <w:pPr>
              <w:widowControl w:val="0"/>
              <w:rPr>
                <w:rFonts w:ascii="Calibri" w:eastAsia="Calibri" w:hAnsi="Calibri" w:cs="Calibri"/>
                <w:b/>
                <w:sz w:val="22"/>
                <w:szCs w:val="22"/>
              </w:rPr>
            </w:pPr>
            <w:r>
              <w:rPr>
                <w:rFonts w:ascii="Calibri" w:eastAsia="Calibri" w:hAnsi="Calibri" w:cs="Calibri"/>
                <w:b/>
                <w:sz w:val="22"/>
                <w:szCs w:val="22"/>
              </w:rPr>
              <w:t>GAC Advice Details</w:t>
            </w:r>
          </w:p>
        </w:tc>
        <w:tc>
          <w:tcPr>
            <w:tcW w:w="2060" w:type="dxa"/>
            <w:tcBorders>
              <w:top w:val="single" w:sz="4" w:space="0" w:color="000001"/>
              <w:left w:val="single" w:sz="4" w:space="0" w:color="000001"/>
              <w:bottom w:val="single" w:sz="4" w:space="0" w:color="000001"/>
              <w:right w:val="single" w:sz="4" w:space="0" w:color="000001"/>
            </w:tcBorders>
            <w:shd w:val="clear" w:color="auto" w:fill="C0C0C0"/>
            <w:tcMar>
              <w:left w:w="75" w:type="dxa"/>
            </w:tcMar>
          </w:tcPr>
          <w:p w14:paraId="2576B437" w14:textId="77777777" w:rsidR="00233E28" w:rsidRDefault="00233E28" w:rsidP="00FC1839">
            <w:pPr>
              <w:widowControl w:val="0"/>
              <w:rPr>
                <w:rFonts w:ascii="Calibri" w:eastAsia="Calibri" w:hAnsi="Calibri" w:cs="Calibri"/>
                <w:b/>
                <w:sz w:val="22"/>
                <w:szCs w:val="22"/>
              </w:rPr>
            </w:pPr>
            <w:r>
              <w:rPr>
                <w:rFonts w:ascii="Calibri" w:eastAsia="Calibri" w:hAnsi="Calibri" w:cs="Calibri"/>
                <w:b/>
                <w:sz w:val="22"/>
                <w:szCs w:val="22"/>
              </w:rPr>
              <w:t>Does the advice concern an issue that can be considered within the remit</w:t>
            </w:r>
            <w:r>
              <w:rPr>
                <w:rFonts w:ascii="Calibri" w:eastAsia="Calibri" w:hAnsi="Calibri" w:cs="Calibri"/>
                <w:b/>
                <w:sz w:val="22"/>
                <w:szCs w:val="22"/>
                <w:vertAlign w:val="superscript"/>
              </w:rPr>
              <w:footnoteReference w:id="4"/>
            </w:r>
            <w:r>
              <w:rPr>
                <w:rFonts w:ascii="Calibri" w:eastAsia="Calibri" w:hAnsi="Calibri" w:cs="Calibri"/>
                <w:b/>
                <w:sz w:val="22"/>
                <w:szCs w:val="22"/>
              </w:rPr>
              <w:t xml:space="preserve"> of the GNSO (yes/no)</w:t>
            </w:r>
          </w:p>
        </w:tc>
        <w:tc>
          <w:tcPr>
            <w:tcW w:w="2250" w:type="dxa"/>
            <w:tcBorders>
              <w:top w:val="single" w:sz="4" w:space="0" w:color="000001"/>
              <w:left w:val="single" w:sz="4" w:space="0" w:color="000001"/>
              <w:bottom w:val="single" w:sz="4" w:space="0" w:color="000001"/>
              <w:right w:val="single" w:sz="4" w:space="0" w:color="000001"/>
            </w:tcBorders>
            <w:shd w:val="clear" w:color="auto" w:fill="C0C0C0"/>
            <w:tcMar>
              <w:left w:w="75" w:type="dxa"/>
            </w:tcMar>
          </w:tcPr>
          <w:p w14:paraId="55EC78BF" w14:textId="77777777" w:rsidR="00233E28" w:rsidRDefault="00233E28" w:rsidP="00FC1839">
            <w:pPr>
              <w:widowControl w:val="0"/>
              <w:rPr>
                <w:rFonts w:ascii="Calibri" w:eastAsia="Calibri" w:hAnsi="Calibri" w:cs="Calibri"/>
                <w:b/>
                <w:i/>
                <w:sz w:val="22"/>
                <w:szCs w:val="22"/>
              </w:rPr>
            </w:pPr>
            <w:r>
              <w:rPr>
                <w:rFonts w:ascii="Calibri" w:eastAsia="Calibri" w:hAnsi="Calibri" w:cs="Calibri"/>
                <w:b/>
                <w:i/>
                <w:sz w:val="22"/>
                <w:szCs w:val="22"/>
              </w:rPr>
              <w:t>If yes, is it subject to existing policy recommendations, implementation action or ongoing GNSO policy development work?</w:t>
            </w:r>
          </w:p>
        </w:tc>
        <w:tc>
          <w:tcPr>
            <w:tcW w:w="3230" w:type="dxa"/>
            <w:tcBorders>
              <w:top w:val="single" w:sz="4" w:space="0" w:color="000001"/>
              <w:left w:val="single" w:sz="4" w:space="0" w:color="000001"/>
              <w:bottom w:val="single" w:sz="4" w:space="0" w:color="000001"/>
              <w:right w:val="single" w:sz="4" w:space="0" w:color="000001"/>
            </w:tcBorders>
            <w:shd w:val="clear" w:color="auto" w:fill="C0C0C0"/>
            <w:tcMar>
              <w:left w:w="75" w:type="dxa"/>
            </w:tcMar>
          </w:tcPr>
          <w:p w14:paraId="6BE11E43" w14:textId="77777777" w:rsidR="00233E28" w:rsidRDefault="00233E28" w:rsidP="00FC1839">
            <w:pPr>
              <w:widowControl w:val="0"/>
              <w:rPr>
                <w:rFonts w:ascii="Calibri" w:eastAsia="Calibri" w:hAnsi="Calibri" w:cs="Calibri"/>
                <w:b/>
                <w:i/>
                <w:sz w:val="22"/>
                <w:szCs w:val="22"/>
              </w:rPr>
            </w:pPr>
            <w:r>
              <w:rPr>
                <w:rFonts w:ascii="Calibri" w:eastAsia="Calibri" w:hAnsi="Calibri" w:cs="Calibri"/>
                <w:b/>
                <w:i/>
                <w:sz w:val="22"/>
                <w:szCs w:val="22"/>
              </w:rPr>
              <w:t>How has this issue been/is being/will be dealt with by the GNSO</w:t>
            </w:r>
          </w:p>
        </w:tc>
      </w:tr>
      <w:tr w:rsidR="00233E28" w14:paraId="682CE341" w14:textId="77777777" w:rsidTr="00FC1839">
        <w:trPr>
          <w:trHeight w:val="3200"/>
        </w:trPr>
        <w:tc>
          <w:tcPr>
            <w:tcW w:w="1897"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2364DE64" w14:textId="77777777" w:rsidR="00233E28" w:rsidRDefault="00233E28" w:rsidP="00FC1839">
            <w:pPr>
              <w:widowControl w:val="0"/>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sz w:val="22"/>
                <w:szCs w:val="22"/>
              </w:rPr>
              <w:t>1. Board Scorecard on SSR2 Review Final Report</w:t>
            </w:r>
          </w:p>
        </w:tc>
        <w:tc>
          <w:tcPr>
            <w:tcW w:w="360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6FB46503"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rPr>
            </w:pPr>
            <w:r>
              <w:rPr>
                <w:rFonts w:ascii="Calibri" w:eastAsia="Calibri" w:hAnsi="Calibri" w:cs="Calibri"/>
                <w:color w:val="00000A"/>
                <w:sz w:val="22"/>
                <w:szCs w:val="22"/>
              </w:rPr>
              <w:t xml:space="preserve">a. The GAC advises the Board to: </w:t>
            </w:r>
            <w:r>
              <w:rPr>
                <w:rFonts w:ascii="Calibri" w:eastAsia="Calibri" w:hAnsi="Calibri" w:cs="Calibri"/>
                <w:color w:val="00000A"/>
                <w:sz w:val="22"/>
                <w:szCs w:val="22"/>
              </w:rPr>
              <w:br/>
            </w:r>
            <w:proofErr w:type="spellStart"/>
            <w:r>
              <w:rPr>
                <w:rFonts w:ascii="Calibri" w:eastAsia="Calibri" w:hAnsi="Calibri" w:cs="Calibri"/>
                <w:color w:val="00000A"/>
                <w:sz w:val="22"/>
                <w:szCs w:val="22"/>
              </w:rPr>
              <w:t>i</w:t>
            </w:r>
            <w:proofErr w:type="spellEnd"/>
            <w:r>
              <w:rPr>
                <w:rFonts w:ascii="Calibri" w:eastAsia="Calibri" w:hAnsi="Calibri" w:cs="Calibri"/>
                <w:color w:val="00000A"/>
                <w:sz w:val="22"/>
                <w:szCs w:val="22"/>
              </w:rPr>
              <w:t>. Undertake as a matter of priority the follow-up actions needed to support the swift implementation of the Board’s scorecard on the Final SSR2 Review Team Report, and to inform the GAC accordingly, including about the corresponding timeline.</w:t>
            </w:r>
          </w:p>
          <w:p w14:paraId="76941740"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rPr>
            </w:pPr>
          </w:p>
          <w:p w14:paraId="2A4CF97F"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u w:val="single"/>
              </w:rPr>
            </w:pPr>
            <w:r>
              <w:rPr>
                <w:rFonts w:ascii="Calibri" w:eastAsia="Calibri" w:hAnsi="Calibri" w:cs="Calibri"/>
                <w:color w:val="00000A"/>
                <w:sz w:val="22"/>
                <w:szCs w:val="22"/>
                <w:u w:val="single"/>
              </w:rPr>
              <w:t xml:space="preserve">RATIONALE </w:t>
            </w:r>
          </w:p>
          <w:p w14:paraId="660C51BB"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rPr>
            </w:pPr>
            <w:r>
              <w:rPr>
                <w:rFonts w:ascii="Calibri" w:eastAsia="Calibri" w:hAnsi="Calibri" w:cs="Calibri"/>
                <w:color w:val="00000A"/>
                <w:sz w:val="22"/>
                <w:szCs w:val="22"/>
              </w:rPr>
              <w:t xml:space="preserve">This advice aims to support the effective follow-up action on the Board’s tasks set in the Board Scorecard on the Final SSR2 Review Team Final Report. Noting the need expressed by the Board for further analysis and </w:t>
            </w:r>
            <w:proofErr w:type="gramStart"/>
            <w:r>
              <w:rPr>
                <w:rFonts w:ascii="Calibri" w:eastAsia="Calibri" w:hAnsi="Calibri" w:cs="Calibri"/>
                <w:color w:val="00000A"/>
                <w:sz w:val="22"/>
                <w:szCs w:val="22"/>
              </w:rPr>
              <w:t>consultation, and</w:t>
            </w:r>
            <w:proofErr w:type="gramEnd"/>
            <w:r>
              <w:rPr>
                <w:rFonts w:ascii="Calibri" w:eastAsia="Calibri" w:hAnsi="Calibri" w:cs="Calibri"/>
                <w:color w:val="00000A"/>
                <w:sz w:val="22"/>
                <w:szCs w:val="22"/>
              </w:rPr>
              <w:t xml:space="preserve"> given the importance of the SSR2 recommendations to 9 address cybersecurity and DNS Abuse, the GAC encourages the Board to proceed with the necessary action plan in a timely manner. The Board </w:t>
            </w:r>
            <w:r>
              <w:rPr>
                <w:rFonts w:ascii="Calibri" w:eastAsia="Calibri" w:hAnsi="Calibri" w:cs="Calibri"/>
                <w:color w:val="00000A"/>
                <w:sz w:val="22"/>
                <w:szCs w:val="22"/>
              </w:rPr>
              <w:lastRenderedPageBreak/>
              <w:t>Scorecard identifies which action the Board expects from which entity (ICANN org, SSR2 Review Team Implementation Shepherds, and others), which is a very useful starting tool. The Board is expected to prioritize the different actions in the scorecard and accompany the proposed follow-up action plan by a clear timeline. This would help ICANN’s constitutive bodies to actively deliver on the Board Scorecard, while allowing issues prioritization and appropriate mobilization of the ICANN community.</w:t>
            </w:r>
          </w:p>
        </w:tc>
        <w:tc>
          <w:tcPr>
            <w:tcW w:w="206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01A84F8D"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lastRenderedPageBreak/>
              <w:t>Yes, in part.</w:t>
            </w:r>
          </w:p>
        </w:tc>
        <w:tc>
          <w:tcPr>
            <w:tcW w:w="225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310074D1"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t>The GNSO is “responsible for developing and recommending to the Board substantive policies relating to generic top-level domains…”  ICANN Bylaws Section 11.1.</w:t>
            </w:r>
          </w:p>
          <w:p w14:paraId="798E504A" w14:textId="77777777" w:rsidR="00233E28" w:rsidRDefault="00233E28" w:rsidP="00FC1839">
            <w:pPr>
              <w:widowControl w:val="0"/>
              <w:rPr>
                <w:rFonts w:ascii="Calibri" w:eastAsia="Calibri" w:hAnsi="Calibri" w:cs="Calibri"/>
                <w:sz w:val="22"/>
                <w:szCs w:val="22"/>
              </w:rPr>
            </w:pPr>
          </w:p>
          <w:p w14:paraId="63AB0E78" w14:textId="77777777" w:rsidR="00233E28" w:rsidRDefault="00233E28" w:rsidP="00FC1839">
            <w:pPr>
              <w:widowControl w:val="0"/>
              <w:rPr>
                <w:rFonts w:ascii="Calibri" w:eastAsia="Calibri" w:hAnsi="Calibri" w:cs="Calibri"/>
                <w:sz w:val="22"/>
                <w:szCs w:val="22"/>
              </w:rPr>
            </w:pPr>
          </w:p>
        </w:tc>
        <w:tc>
          <w:tcPr>
            <w:tcW w:w="323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34570343"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t>N/A</w:t>
            </w:r>
          </w:p>
          <w:p w14:paraId="0924E9E0" w14:textId="77777777" w:rsidR="00233E28" w:rsidRDefault="00233E28" w:rsidP="00FC1839">
            <w:pPr>
              <w:widowControl w:val="0"/>
              <w:rPr>
                <w:rFonts w:ascii="Calibri" w:eastAsia="Calibri" w:hAnsi="Calibri" w:cs="Calibri"/>
                <w:b/>
                <w:sz w:val="22"/>
                <w:szCs w:val="22"/>
                <w:highlight w:val="yellow"/>
              </w:rPr>
            </w:pPr>
          </w:p>
        </w:tc>
      </w:tr>
      <w:tr w:rsidR="00233E28" w14:paraId="6ED28AB5" w14:textId="77777777" w:rsidTr="00FC1839">
        <w:trPr>
          <w:trHeight w:val="700"/>
        </w:trPr>
        <w:tc>
          <w:tcPr>
            <w:tcW w:w="1897"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1D172D40" w14:textId="77777777" w:rsidR="00233E28" w:rsidRDefault="00233E28" w:rsidP="00FC1839">
            <w:pPr>
              <w:widowControl w:val="0"/>
              <w:rPr>
                <w:rFonts w:ascii="Calibri" w:eastAsia="Calibri" w:hAnsi="Calibri" w:cs="Calibri"/>
                <w:b/>
                <w:i/>
                <w:color w:val="0000FF"/>
                <w:sz w:val="22"/>
                <w:szCs w:val="22"/>
              </w:rPr>
            </w:pPr>
            <w:r>
              <w:rPr>
                <w:rFonts w:ascii="Calibri" w:eastAsia="Calibri" w:hAnsi="Calibri" w:cs="Calibri"/>
                <w:b/>
                <w:i/>
                <w:sz w:val="22"/>
                <w:szCs w:val="22"/>
              </w:rPr>
              <w:t>1. Board Scorecard on SSR2 Review Final Report</w:t>
            </w:r>
          </w:p>
        </w:tc>
        <w:tc>
          <w:tcPr>
            <w:tcW w:w="360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1D2FB4A9"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rPr>
            </w:pPr>
            <w:r>
              <w:rPr>
                <w:rFonts w:ascii="Calibri" w:eastAsia="Calibri" w:hAnsi="Calibri" w:cs="Calibri"/>
                <w:color w:val="00000A"/>
                <w:sz w:val="22"/>
                <w:szCs w:val="22"/>
              </w:rPr>
              <w:t xml:space="preserve">b. The GAC advises the Board to: </w:t>
            </w:r>
            <w:r>
              <w:rPr>
                <w:rFonts w:ascii="Calibri" w:eastAsia="Calibri" w:hAnsi="Calibri" w:cs="Calibri"/>
                <w:color w:val="00000A"/>
                <w:sz w:val="22"/>
                <w:szCs w:val="22"/>
              </w:rPr>
              <w:br/>
            </w:r>
            <w:proofErr w:type="spellStart"/>
            <w:r>
              <w:rPr>
                <w:rFonts w:ascii="Calibri" w:eastAsia="Calibri" w:hAnsi="Calibri" w:cs="Calibri"/>
                <w:color w:val="00000A"/>
                <w:sz w:val="22"/>
                <w:szCs w:val="22"/>
              </w:rPr>
              <w:t>i</w:t>
            </w:r>
            <w:proofErr w:type="spellEnd"/>
            <w:r>
              <w:rPr>
                <w:rFonts w:ascii="Calibri" w:eastAsia="Calibri" w:hAnsi="Calibri" w:cs="Calibri"/>
                <w:color w:val="00000A"/>
                <w:sz w:val="22"/>
                <w:szCs w:val="22"/>
              </w:rPr>
              <w:t>. Provide further information on the diverging interpretation by the Board and SSR2 Review Team of the level of implementation of certain recommendations.</w:t>
            </w:r>
          </w:p>
          <w:p w14:paraId="4A328B04"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rPr>
            </w:pPr>
          </w:p>
          <w:p w14:paraId="100BE735"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u w:val="single"/>
              </w:rPr>
            </w:pPr>
            <w:r>
              <w:rPr>
                <w:rFonts w:ascii="Calibri" w:eastAsia="Calibri" w:hAnsi="Calibri" w:cs="Calibri"/>
                <w:color w:val="00000A"/>
                <w:sz w:val="22"/>
                <w:szCs w:val="22"/>
                <w:u w:val="single"/>
              </w:rPr>
              <w:t xml:space="preserve">RATIONALE </w:t>
            </w:r>
          </w:p>
          <w:p w14:paraId="33B18C0F"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rPr>
            </w:pPr>
            <w:r>
              <w:rPr>
                <w:rFonts w:ascii="Calibri" w:eastAsia="Calibri" w:hAnsi="Calibri" w:cs="Calibri"/>
                <w:color w:val="00000A"/>
                <w:sz w:val="22"/>
                <w:szCs w:val="22"/>
              </w:rPr>
              <w:t>The GAC believes that additional information would be helpful for the GAC to gain a deeper understanding of the diverging interpretations. This advice would allow ICANN and the ICANN community to gain a shared understanding of the issues effectively requiring further action.</w:t>
            </w:r>
          </w:p>
        </w:tc>
        <w:tc>
          <w:tcPr>
            <w:tcW w:w="206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3D56F0F1"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t>Yes, in part.</w:t>
            </w:r>
          </w:p>
        </w:tc>
        <w:tc>
          <w:tcPr>
            <w:tcW w:w="225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4B66310E"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t>The GNSO is “responsible for developing and recommending to the Board substantive policies relating to generic top-level domains…”  ICANN Bylaws Section 11.1.</w:t>
            </w:r>
          </w:p>
        </w:tc>
        <w:tc>
          <w:tcPr>
            <w:tcW w:w="323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2A74C852"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t>Although the GNSO Council does not have a position at this time, the GNSO Council will follow this discussion and provide a perspective if necessary and appropriate.</w:t>
            </w:r>
          </w:p>
          <w:p w14:paraId="5D35AA49" w14:textId="77777777" w:rsidR="00233E28" w:rsidRDefault="00233E28" w:rsidP="00FC1839">
            <w:pPr>
              <w:widowControl w:val="0"/>
              <w:rPr>
                <w:rFonts w:ascii="Calibri" w:eastAsia="Calibri" w:hAnsi="Calibri" w:cs="Calibri"/>
                <w:sz w:val="22"/>
                <w:szCs w:val="22"/>
              </w:rPr>
            </w:pPr>
          </w:p>
        </w:tc>
      </w:tr>
      <w:tr w:rsidR="00233E28" w14:paraId="0253EB25" w14:textId="77777777" w:rsidTr="00FC1839">
        <w:trPr>
          <w:trHeight w:val="700"/>
        </w:trPr>
        <w:tc>
          <w:tcPr>
            <w:tcW w:w="1897"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1E2039F1" w14:textId="77777777" w:rsidR="00233E28" w:rsidRDefault="00233E28" w:rsidP="00FC1839">
            <w:pPr>
              <w:widowControl w:val="0"/>
              <w:rPr>
                <w:rFonts w:ascii="Calibri" w:eastAsia="Calibri" w:hAnsi="Calibri" w:cs="Calibri"/>
                <w:b/>
                <w:sz w:val="22"/>
                <w:szCs w:val="22"/>
              </w:rPr>
            </w:pPr>
            <w:r>
              <w:rPr>
                <w:rFonts w:ascii="Calibri" w:eastAsia="Calibri" w:hAnsi="Calibri" w:cs="Calibri"/>
                <w:b/>
                <w:sz w:val="22"/>
                <w:szCs w:val="22"/>
              </w:rPr>
              <w:t>1. Domain Name Registration Directory Service and Data Protection</w:t>
            </w:r>
          </w:p>
          <w:p w14:paraId="555B9383" w14:textId="77777777" w:rsidR="00233E28" w:rsidRDefault="00233E28" w:rsidP="00FC1839">
            <w:pPr>
              <w:widowControl w:val="0"/>
              <w:rPr>
                <w:rFonts w:ascii="Calibri" w:eastAsia="Calibri" w:hAnsi="Calibri" w:cs="Calibri"/>
                <w:b/>
                <w:sz w:val="22"/>
                <w:szCs w:val="22"/>
              </w:rPr>
            </w:pPr>
          </w:p>
          <w:p w14:paraId="3536F4F0" w14:textId="77777777" w:rsidR="00233E28" w:rsidRDefault="00233E28" w:rsidP="00FC1839">
            <w:pPr>
              <w:widowControl w:val="0"/>
              <w:rPr>
                <w:rFonts w:ascii="Calibri" w:eastAsia="Calibri" w:hAnsi="Calibri" w:cs="Calibri"/>
                <w:i/>
                <w:color w:val="0000FF"/>
                <w:sz w:val="22"/>
                <w:szCs w:val="22"/>
              </w:rPr>
            </w:pPr>
            <w:r>
              <w:rPr>
                <w:rFonts w:ascii="Calibri" w:eastAsia="Calibri" w:hAnsi="Calibri" w:cs="Calibri"/>
                <w:i/>
                <w:color w:val="0000FF"/>
                <w:sz w:val="22"/>
                <w:szCs w:val="22"/>
              </w:rPr>
              <w:t>(Follow-up on Previous Advice)</w:t>
            </w:r>
          </w:p>
        </w:tc>
        <w:tc>
          <w:tcPr>
            <w:tcW w:w="360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185F67B1"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rPr>
            </w:pPr>
            <w:r>
              <w:rPr>
                <w:rFonts w:ascii="Calibri" w:eastAsia="Calibri" w:hAnsi="Calibri" w:cs="Calibri"/>
                <w:color w:val="00000A"/>
                <w:sz w:val="22"/>
                <w:szCs w:val="22"/>
              </w:rPr>
              <w:lastRenderedPageBreak/>
              <w:t xml:space="preserve">In response to the GAC Montreal Communiqué, the Board accepted the GAC’s advice to: “Instruct the ICANN organization to ensure that the current system that requires </w:t>
            </w:r>
            <w:r>
              <w:rPr>
                <w:rFonts w:ascii="Calibri" w:eastAsia="Calibri" w:hAnsi="Calibri" w:cs="Calibri"/>
                <w:color w:val="00000A"/>
                <w:sz w:val="22"/>
                <w:szCs w:val="22"/>
              </w:rPr>
              <w:lastRenderedPageBreak/>
              <w:t xml:space="preserve">‘reasonable </w:t>
            </w:r>
            <w:proofErr w:type="gramStart"/>
            <w:r>
              <w:rPr>
                <w:rFonts w:ascii="Calibri" w:eastAsia="Calibri" w:hAnsi="Calibri" w:cs="Calibri"/>
                <w:color w:val="00000A"/>
                <w:sz w:val="22"/>
                <w:szCs w:val="22"/>
              </w:rPr>
              <w:t>access’</w:t>
            </w:r>
            <w:proofErr w:type="gramEnd"/>
            <w:r>
              <w:rPr>
                <w:rFonts w:ascii="Calibri" w:eastAsia="Calibri" w:hAnsi="Calibri" w:cs="Calibri"/>
                <w:color w:val="00000A"/>
                <w:sz w:val="22"/>
                <w:szCs w:val="22"/>
              </w:rPr>
              <w:t xml:space="preserve"> to non-public domain name registration is operating effectively. This should include: – educating key stakeholder groups, including governments, that there is a process to request non-public data; – actively making available a standard request form that can be used by stakeholders to request access based upon the current consensus policy; and – actively making available links to registrar and registry information and points of contact on this topic.” The GAC would welcome the Board providing an update on these three efforts. In particular, the GAC observes that information on how to make a request for non-public data does not appear to be prominently located or easy to find on ICANN’s website. The GAC also recognizes that the contracted parties have developed guidance on the Minimum Required Information for </w:t>
            </w:r>
            <w:proofErr w:type="spellStart"/>
            <w:r>
              <w:rPr>
                <w:rFonts w:ascii="Calibri" w:eastAsia="Calibri" w:hAnsi="Calibri" w:cs="Calibri"/>
                <w:color w:val="00000A"/>
                <w:sz w:val="22"/>
                <w:szCs w:val="22"/>
              </w:rPr>
              <w:t>Whois</w:t>
            </w:r>
            <w:proofErr w:type="spellEnd"/>
            <w:r>
              <w:rPr>
                <w:rFonts w:ascii="Calibri" w:eastAsia="Calibri" w:hAnsi="Calibri" w:cs="Calibri"/>
                <w:color w:val="00000A"/>
                <w:sz w:val="22"/>
                <w:szCs w:val="22"/>
              </w:rPr>
              <w:t xml:space="preserve"> Data Requests and notes that relevant stakeholders would also benefit from the prominent display of this information in the relevant section of ICANN’s website.</w:t>
            </w:r>
          </w:p>
        </w:tc>
        <w:tc>
          <w:tcPr>
            <w:tcW w:w="206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1F19B63D"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lastRenderedPageBreak/>
              <w:t>No</w:t>
            </w:r>
          </w:p>
        </w:tc>
        <w:tc>
          <w:tcPr>
            <w:tcW w:w="225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3870F9D5" w14:textId="77777777" w:rsidR="00233E28" w:rsidRDefault="00233E28" w:rsidP="00FC1839">
            <w:pPr>
              <w:widowControl w:val="0"/>
              <w:rPr>
                <w:rFonts w:ascii="Calibri" w:eastAsia="Calibri" w:hAnsi="Calibri" w:cs="Calibri"/>
                <w:sz w:val="22"/>
                <w:szCs w:val="22"/>
              </w:rPr>
            </w:pPr>
          </w:p>
        </w:tc>
        <w:tc>
          <w:tcPr>
            <w:tcW w:w="323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612D38A5" w14:textId="77777777" w:rsidR="00233E28" w:rsidRDefault="00233E28" w:rsidP="00FC1839">
            <w:pPr>
              <w:widowControl w:val="0"/>
              <w:rPr>
                <w:rFonts w:ascii="Calibri" w:eastAsia="Calibri" w:hAnsi="Calibri" w:cs="Calibri"/>
                <w:sz w:val="22"/>
                <w:szCs w:val="22"/>
              </w:rPr>
            </w:pPr>
          </w:p>
          <w:p w14:paraId="1EE2EABC" w14:textId="77777777" w:rsidR="00233E28" w:rsidRDefault="00233E28" w:rsidP="00FC1839">
            <w:pPr>
              <w:widowControl w:val="0"/>
              <w:rPr>
                <w:rFonts w:ascii="Courier New" w:eastAsia="Courier New" w:hAnsi="Courier New" w:cs="Courier New"/>
                <w:color w:val="1155CC"/>
                <w:sz w:val="21"/>
                <w:szCs w:val="21"/>
                <w:highlight w:val="white"/>
                <w:u w:val="single"/>
              </w:rPr>
            </w:pPr>
          </w:p>
        </w:tc>
      </w:tr>
      <w:tr w:rsidR="00233E28" w14:paraId="3314FC69" w14:textId="77777777" w:rsidTr="00FC1839">
        <w:trPr>
          <w:trHeight w:val="700"/>
        </w:trPr>
        <w:tc>
          <w:tcPr>
            <w:tcW w:w="1897"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68708A6F" w14:textId="77777777" w:rsidR="00233E28" w:rsidRDefault="00233E28" w:rsidP="00FC1839">
            <w:pPr>
              <w:widowControl w:val="0"/>
              <w:rPr>
                <w:rFonts w:ascii="Calibri" w:eastAsia="Calibri" w:hAnsi="Calibri" w:cs="Calibri"/>
                <w:b/>
                <w:sz w:val="22"/>
                <w:szCs w:val="22"/>
              </w:rPr>
            </w:pPr>
            <w:r>
              <w:rPr>
                <w:rFonts w:ascii="Calibri" w:eastAsia="Calibri" w:hAnsi="Calibri" w:cs="Calibri"/>
                <w:b/>
                <w:sz w:val="22"/>
                <w:szCs w:val="22"/>
              </w:rPr>
              <w:t>2. EPDP Phase 1 Policy Implementation</w:t>
            </w:r>
          </w:p>
          <w:p w14:paraId="407BB3AC" w14:textId="77777777" w:rsidR="00233E28" w:rsidRDefault="00233E28" w:rsidP="00FC1839">
            <w:pPr>
              <w:widowControl w:val="0"/>
              <w:rPr>
                <w:rFonts w:ascii="Calibri" w:eastAsia="Calibri" w:hAnsi="Calibri" w:cs="Calibri"/>
                <w:b/>
                <w:sz w:val="22"/>
                <w:szCs w:val="22"/>
              </w:rPr>
            </w:pPr>
          </w:p>
          <w:p w14:paraId="64A894D0" w14:textId="77777777" w:rsidR="00233E28" w:rsidRDefault="00233E28" w:rsidP="00FC1839">
            <w:pPr>
              <w:widowControl w:val="0"/>
              <w:rPr>
                <w:rFonts w:ascii="Calibri" w:eastAsia="Calibri" w:hAnsi="Calibri" w:cs="Calibri"/>
                <w:b/>
                <w:color w:val="0000FF"/>
                <w:sz w:val="22"/>
                <w:szCs w:val="22"/>
              </w:rPr>
            </w:pPr>
            <w:r>
              <w:rPr>
                <w:rFonts w:ascii="Calibri" w:eastAsia="Calibri" w:hAnsi="Calibri" w:cs="Calibri"/>
                <w:i/>
                <w:color w:val="0000FF"/>
                <w:sz w:val="22"/>
                <w:szCs w:val="22"/>
              </w:rPr>
              <w:t>(Follow-up on Previous Advice)</w:t>
            </w:r>
          </w:p>
        </w:tc>
        <w:tc>
          <w:tcPr>
            <w:tcW w:w="360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3261ECC5" w14:textId="77777777" w:rsidR="00233E28" w:rsidRDefault="00233E28" w:rsidP="00FC1839">
            <w:pPr>
              <w:pBdr>
                <w:top w:val="none" w:sz="0" w:space="0" w:color="000000"/>
                <w:left w:val="none" w:sz="0" w:space="0" w:color="000000"/>
                <w:bottom w:val="none" w:sz="0" w:space="0" w:color="000000"/>
                <w:right w:val="none" w:sz="0" w:space="0" w:color="000000"/>
              </w:pBdr>
              <w:rPr>
                <w:rFonts w:ascii="Calibri" w:eastAsia="Calibri" w:hAnsi="Calibri" w:cs="Calibri"/>
                <w:color w:val="00000A"/>
                <w:sz w:val="22"/>
                <w:szCs w:val="22"/>
              </w:rPr>
            </w:pPr>
            <w:r>
              <w:rPr>
                <w:rFonts w:ascii="Calibri" w:eastAsia="Calibri" w:hAnsi="Calibri" w:cs="Calibri"/>
                <w:color w:val="00000A"/>
                <w:sz w:val="22"/>
                <w:szCs w:val="22"/>
              </w:rPr>
              <w:t xml:space="preserve">The GAC notes its previous advice within the ICANN66 Montréal Communiqué and the follow-up on previous advice in the ICANN70 and 71 Communiqués </w:t>
            </w:r>
            <w:proofErr w:type="gramStart"/>
            <w:r>
              <w:rPr>
                <w:rFonts w:ascii="Calibri" w:eastAsia="Calibri" w:hAnsi="Calibri" w:cs="Calibri"/>
                <w:color w:val="00000A"/>
                <w:sz w:val="22"/>
                <w:szCs w:val="22"/>
              </w:rPr>
              <w:t>with regard to</w:t>
            </w:r>
            <w:proofErr w:type="gramEnd"/>
            <w:r>
              <w:rPr>
                <w:rFonts w:ascii="Calibri" w:eastAsia="Calibri" w:hAnsi="Calibri" w:cs="Calibri"/>
                <w:color w:val="00000A"/>
                <w:sz w:val="22"/>
                <w:szCs w:val="22"/>
              </w:rPr>
              <w:t xml:space="preserve"> Phase 1 of the EPDP on gTLD Registration Data and the request for </w:t>
            </w:r>
            <w:r>
              <w:rPr>
                <w:rFonts w:ascii="Calibri" w:eastAsia="Calibri" w:hAnsi="Calibri" w:cs="Calibri"/>
                <w:color w:val="00000A"/>
                <w:sz w:val="22"/>
                <w:szCs w:val="22"/>
              </w:rPr>
              <w:lastRenderedPageBreak/>
              <w:t>“a detailed work plan identifying an updated realistic schedule to complete its work.” The GAC highlights with “continued concern that the Phase 1 Implementation Review Team (IRT) lacks a current published implementation timeline.”</w:t>
            </w:r>
          </w:p>
        </w:tc>
        <w:tc>
          <w:tcPr>
            <w:tcW w:w="206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71C5090C"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lastRenderedPageBreak/>
              <w:t>Yes</w:t>
            </w:r>
          </w:p>
        </w:tc>
        <w:tc>
          <w:tcPr>
            <w:tcW w:w="225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2EF8F624"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rPr>
              <w:t>Subject to ongoing implementation of the EPDP Phase 1 policy recommendations.</w:t>
            </w:r>
          </w:p>
        </w:tc>
        <w:tc>
          <w:tcPr>
            <w:tcW w:w="3230" w:type="dxa"/>
            <w:tcBorders>
              <w:top w:val="single" w:sz="4" w:space="0" w:color="000001"/>
              <w:left w:val="single" w:sz="4" w:space="0" w:color="000001"/>
              <w:bottom w:val="single" w:sz="4" w:space="0" w:color="000001"/>
              <w:right w:val="single" w:sz="4" w:space="0" w:color="000001"/>
            </w:tcBorders>
            <w:shd w:val="clear" w:color="auto" w:fill="FFFFFF"/>
            <w:tcMar>
              <w:left w:w="75" w:type="dxa"/>
            </w:tcMar>
          </w:tcPr>
          <w:p w14:paraId="20078265" w14:textId="77777777" w:rsidR="00233E28" w:rsidRDefault="00233E28" w:rsidP="00FC1839">
            <w:pPr>
              <w:widowControl w:val="0"/>
              <w:rPr>
                <w:rFonts w:ascii="Calibri" w:eastAsia="Calibri" w:hAnsi="Calibri" w:cs="Calibri"/>
                <w:sz w:val="22"/>
                <w:szCs w:val="22"/>
                <w:highlight w:val="white"/>
              </w:rPr>
            </w:pPr>
            <w:r>
              <w:rPr>
                <w:rFonts w:ascii="Calibri" w:eastAsia="Calibri" w:hAnsi="Calibri" w:cs="Calibri"/>
                <w:sz w:val="22"/>
                <w:szCs w:val="22"/>
                <w:highlight w:val="white"/>
              </w:rPr>
              <w:t xml:space="preserve">Policy implementation activities are managed by ICANN org. According to the PDP Manual, the Implementation Review Team, as agent of the GNSO Council, is to ensure that implementation conforms to the intent of policy </w:t>
            </w:r>
            <w:r>
              <w:rPr>
                <w:rFonts w:ascii="Calibri" w:eastAsia="Calibri" w:hAnsi="Calibri" w:cs="Calibri"/>
                <w:sz w:val="22"/>
                <w:szCs w:val="22"/>
                <w:highlight w:val="white"/>
              </w:rPr>
              <w:lastRenderedPageBreak/>
              <w:t xml:space="preserve">recommendations. The GNSO Council is also closely monitoring the implementation of the EPDP Phase 1 policy recommendations to ensure that the Implementation Review Team (IRT) can complete its work in a timely manner. The GNSO Council maintains trust in the implementation process. </w:t>
            </w:r>
          </w:p>
          <w:p w14:paraId="5B2222D3" w14:textId="77777777" w:rsidR="00233E28" w:rsidRDefault="00233E28" w:rsidP="00FC1839">
            <w:pPr>
              <w:widowControl w:val="0"/>
              <w:rPr>
                <w:rFonts w:ascii="Calibri" w:eastAsia="Calibri" w:hAnsi="Calibri" w:cs="Calibri"/>
                <w:sz w:val="22"/>
                <w:szCs w:val="22"/>
                <w:highlight w:val="white"/>
              </w:rPr>
            </w:pPr>
          </w:p>
          <w:p w14:paraId="479ED317" w14:textId="77777777" w:rsidR="00233E28" w:rsidRDefault="00233E28" w:rsidP="00FC1839">
            <w:pPr>
              <w:widowControl w:val="0"/>
              <w:rPr>
                <w:rFonts w:ascii="Calibri" w:eastAsia="Calibri" w:hAnsi="Calibri" w:cs="Calibri"/>
                <w:sz w:val="22"/>
                <w:szCs w:val="22"/>
              </w:rPr>
            </w:pPr>
            <w:r>
              <w:rPr>
                <w:rFonts w:ascii="Calibri" w:eastAsia="Calibri" w:hAnsi="Calibri" w:cs="Calibri"/>
                <w:sz w:val="22"/>
                <w:szCs w:val="22"/>
                <w:highlight w:val="white"/>
              </w:rPr>
              <w:t>The GNSO Council is in receipt of the Board's</w:t>
            </w:r>
            <w:r>
              <w:rPr>
                <w:rFonts w:ascii="Calibri" w:eastAsia="Calibri" w:hAnsi="Calibri" w:cs="Calibri"/>
                <w:color w:val="3C4043"/>
                <w:sz w:val="22"/>
                <w:szCs w:val="22"/>
                <w:highlight w:val="white"/>
              </w:rPr>
              <w:t xml:space="preserve"> </w:t>
            </w:r>
            <w:hyperlink r:id="rId13">
              <w:r>
                <w:rPr>
                  <w:rFonts w:ascii="Calibri" w:eastAsia="Calibri" w:hAnsi="Calibri" w:cs="Calibri"/>
                  <w:color w:val="1155CC"/>
                  <w:sz w:val="22"/>
                  <w:szCs w:val="22"/>
                  <w:highlight w:val="white"/>
                  <w:u w:val="single"/>
                </w:rPr>
                <w:t>recent communication</w:t>
              </w:r>
            </w:hyperlink>
            <w:r>
              <w:rPr>
                <w:rFonts w:ascii="Calibri" w:eastAsia="Calibri" w:hAnsi="Calibri" w:cs="Calibri"/>
                <w:color w:val="3C4043"/>
                <w:sz w:val="22"/>
                <w:szCs w:val="22"/>
                <w:highlight w:val="white"/>
              </w:rPr>
              <w:t xml:space="preserve"> </w:t>
            </w:r>
            <w:r>
              <w:rPr>
                <w:rFonts w:ascii="Calibri" w:eastAsia="Calibri" w:hAnsi="Calibri" w:cs="Calibri"/>
                <w:sz w:val="22"/>
                <w:szCs w:val="22"/>
                <w:highlight w:val="white"/>
              </w:rPr>
              <w:t>regarding Recommendation 12 and is in the process of formulating its response. Additionally, the Council, via its EPDP Phase 1 IRT liaison, will keep the Council informed of updates related to Recommendation 7.</w:t>
            </w:r>
          </w:p>
        </w:tc>
      </w:tr>
    </w:tbl>
    <w:p w14:paraId="472426EE" w14:textId="77777777" w:rsidR="00233E28" w:rsidRDefault="00233E28" w:rsidP="00233E28">
      <w:bookmarkStart w:id="0" w:name="_gjdgxs" w:colFirst="0" w:colLast="0"/>
      <w:bookmarkEnd w:id="0"/>
    </w:p>
    <w:p w14:paraId="775F302A" w14:textId="77777777" w:rsidR="00233E28" w:rsidRDefault="00233E28"/>
    <w:sectPr w:rsidR="00233E28" w:rsidSect="00233E28">
      <w:headerReference w:type="default" r:id="rId14"/>
      <w:footerReference w:type="default" r:id="rId15"/>
      <w:pgSz w:w="15840" w:h="12240" w:orient="landscape"/>
      <w:pgMar w:top="1000" w:right="1440" w:bottom="1000" w:left="1440" w:header="400" w:footer="8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4D986" w14:textId="77777777" w:rsidR="00F1564D" w:rsidRDefault="00F1564D" w:rsidP="00F50C9D">
      <w:r>
        <w:separator/>
      </w:r>
    </w:p>
  </w:endnote>
  <w:endnote w:type="continuationSeparator" w:id="0">
    <w:p w14:paraId="3C545CE2" w14:textId="77777777" w:rsidR="00F1564D" w:rsidRDefault="00F1564D" w:rsidP="00F5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9695649"/>
      <w:docPartObj>
        <w:docPartGallery w:val="Page Numbers (Bottom of Page)"/>
        <w:docPartUnique/>
      </w:docPartObj>
    </w:sdtPr>
    <w:sdtContent>
      <w:p w14:paraId="5E67A183" w14:textId="0B82A1D0" w:rsidR="00233E28" w:rsidRDefault="00233E28" w:rsidP="006066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D60B2A" w14:textId="77777777" w:rsidR="00233E28" w:rsidRDefault="00233E28" w:rsidP="00233E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3555" w14:textId="057336D1" w:rsidR="00233E28" w:rsidRPr="00233E28" w:rsidRDefault="00233E28" w:rsidP="0060661F">
    <w:pPr>
      <w:pStyle w:val="Footer"/>
      <w:framePr w:wrap="none" w:vAnchor="text" w:hAnchor="margin" w:xAlign="right" w:y="1"/>
      <w:rPr>
        <w:color w:val="17365D"/>
        <w:sz w:val="20"/>
        <w:szCs w:val="20"/>
      </w:rPr>
    </w:pPr>
    <w:r w:rsidRPr="00233E28">
      <w:rPr>
        <w:color w:val="17365D"/>
        <w:sz w:val="20"/>
        <w:szCs w:val="20"/>
      </w:rPr>
      <w:t>Page</w:t>
    </w:r>
    <w:r w:rsidRPr="00233E28">
      <w:rPr>
        <w:rStyle w:val="PageNumber"/>
        <w:rFonts w:ascii="Times New Roman" w:hAnsi="Times New Roman"/>
        <w:lang w:val="en-GB"/>
      </w:rPr>
      <w:t xml:space="preserve"> </w:t>
    </w:r>
    <w:r w:rsidRPr="00233E28">
      <w:rPr>
        <w:color w:val="17365D"/>
        <w:sz w:val="20"/>
        <w:szCs w:val="20"/>
      </w:rPr>
      <w:fldChar w:fldCharType="begin"/>
    </w:r>
    <w:r w:rsidRPr="00233E28">
      <w:rPr>
        <w:color w:val="17365D"/>
        <w:sz w:val="20"/>
        <w:szCs w:val="20"/>
      </w:rPr>
      <w:instrText xml:space="preserve"> PAGE </w:instrText>
    </w:r>
    <w:r w:rsidRPr="00233E28">
      <w:rPr>
        <w:color w:val="17365D"/>
        <w:sz w:val="20"/>
        <w:szCs w:val="20"/>
      </w:rPr>
      <w:fldChar w:fldCharType="separate"/>
    </w:r>
    <w:r w:rsidRPr="00233E28">
      <w:rPr>
        <w:color w:val="17365D"/>
        <w:sz w:val="20"/>
        <w:szCs w:val="20"/>
      </w:rPr>
      <w:t>3</w:t>
    </w:r>
    <w:r w:rsidRPr="00233E28">
      <w:rPr>
        <w:color w:val="17365D"/>
        <w:sz w:val="20"/>
        <w:szCs w:val="20"/>
      </w:rPr>
      <w:fldChar w:fldCharType="end"/>
    </w:r>
    <w:r w:rsidRPr="00233E28">
      <w:rPr>
        <w:color w:val="17365D"/>
        <w:sz w:val="20"/>
        <w:szCs w:val="20"/>
      </w:rPr>
      <w:t xml:space="preserve"> of </w:t>
    </w:r>
    <w:r w:rsidRPr="00233E28">
      <w:rPr>
        <w:color w:val="17365D"/>
        <w:sz w:val="20"/>
        <w:szCs w:val="20"/>
      </w:rPr>
      <w:fldChar w:fldCharType="begin"/>
    </w:r>
    <w:r w:rsidRPr="00233E28">
      <w:rPr>
        <w:color w:val="17365D"/>
        <w:sz w:val="20"/>
        <w:szCs w:val="20"/>
      </w:rPr>
      <w:instrText xml:space="preserve"> NUMPAGES </w:instrText>
    </w:r>
    <w:r w:rsidRPr="00233E28">
      <w:rPr>
        <w:color w:val="17365D"/>
        <w:sz w:val="20"/>
        <w:szCs w:val="20"/>
      </w:rPr>
      <w:fldChar w:fldCharType="separate"/>
    </w:r>
    <w:r w:rsidRPr="00233E28">
      <w:rPr>
        <w:color w:val="17365D"/>
        <w:sz w:val="20"/>
        <w:szCs w:val="20"/>
      </w:rPr>
      <w:t>6</w:t>
    </w:r>
    <w:r w:rsidRPr="00233E28">
      <w:rPr>
        <w:color w:val="17365D"/>
        <w:sz w:val="20"/>
        <w:szCs w:val="20"/>
      </w:rPr>
      <w:fldChar w:fldCharType="end"/>
    </w:r>
    <w:sdt>
      <w:sdtPr>
        <w:rPr>
          <w:color w:val="17365D"/>
          <w:sz w:val="20"/>
          <w:szCs w:val="20"/>
        </w:rPr>
        <w:id w:val="1659267341"/>
        <w:docPartObj>
          <w:docPartGallery w:val="Page Numbers (Bottom of Page)"/>
          <w:docPartUnique/>
        </w:docPartObj>
      </w:sdtPr>
      <w:sdtContent/>
    </w:sdt>
  </w:p>
  <w:p w14:paraId="6A4DE866" w14:textId="77777777" w:rsidR="00C55A10" w:rsidRPr="00233E28" w:rsidRDefault="00551468" w:rsidP="00233E28">
    <w:pPr>
      <w:pStyle w:val="Footer"/>
      <w:ind w:right="360"/>
      <w:rPr>
        <w:color w:val="17365D"/>
        <w:sz w:val="20"/>
        <w:szCs w:val="20"/>
      </w:rPr>
    </w:pPr>
    <w:r w:rsidRPr="00233E28">
      <w:rPr>
        <w:color w:val="17365D"/>
        <w:sz w:val="20"/>
        <w:szCs w:val="20"/>
      </w:rPr>
      <mc:AlternateContent>
        <mc:Choice Requires="wps">
          <w:drawing>
            <wp:anchor distT="4294967294" distB="4294967294" distL="114300" distR="114300" simplePos="0" relativeHeight="251657216" behindDoc="0" locked="0" layoutInCell="1" allowOverlap="1" wp14:anchorId="70C54669" wp14:editId="5B2B18E3">
              <wp:simplePos x="0" y="0"/>
              <wp:positionH relativeFrom="column">
                <wp:posOffset>-12065</wp:posOffset>
              </wp:positionH>
              <wp:positionV relativeFrom="paragraph">
                <wp:posOffset>-8891</wp:posOffset>
              </wp:positionV>
              <wp:extent cx="4399280" cy="0"/>
              <wp:effectExtent l="0" t="25400" r="20320" b="25400"/>
              <wp:wrapNone/>
              <wp:docPr id="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9280"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A0B4C9" id="Straight Connector 25"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pt" to="345.45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" strokecolor="#17375e" strokeweight="3pt">
              <o:lock v:ext="edit" shapetype="f"/>
            </v:line>
          </w:pict>
        </mc:Fallback>
      </mc:AlternateContent>
    </w:r>
    <w:r w:rsidRPr="00233E28">
      <w:rPr>
        <w:color w:val="17365D"/>
        <w:sz w:val="20"/>
        <w:szCs w:val="20"/>
      </w:rPr>
      <mc:AlternateContent>
        <mc:Choice Requires="wps">
          <w:drawing>
            <wp:anchor distT="0" distB="0" distL="114300" distR="114300" simplePos="0" relativeHeight="251653120" behindDoc="0" locked="0" layoutInCell="1" allowOverlap="1" wp14:anchorId="1F66A84A" wp14:editId="4052E0F8">
              <wp:simplePos x="0" y="0"/>
              <wp:positionH relativeFrom="column">
                <wp:posOffset>-85090</wp:posOffset>
              </wp:positionH>
              <wp:positionV relativeFrom="paragraph">
                <wp:posOffset>-28575</wp:posOffset>
              </wp:positionV>
              <wp:extent cx="6000115" cy="43434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115"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5AED94"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66A84A" id="_x0000_t202" coordsize="21600,21600" o:spt="202" path="m,l,21600r21600,l21600,xe">
              <v:stroke joinstyle="miter"/>
              <v:path gradientshapeok="t" o:connecttype="rect"/>
            </v:shapetype>
            <v:shape id="Text Box 24" o:spid="_x0000_s1027" type="#_x0000_t202" style="position:absolute;margin-left:-6.7pt;margin-top:-2.25pt;width:472.4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" filled="f" stroked="f">
              <v:textbox>
                <w:txbxContent>
                  <w:p w14:paraId="695AED94"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@ICANN_</w:t>
                    </w:r>
                    <w:proofErr w:type="gramStart"/>
                    <w:r w:rsidRPr="00041936">
                      <w:rPr>
                        <w:rFonts w:cs="Source Sans Pro"/>
                        <w:color w:val="17365D"/>
                        <w:sz w:val="20"/>
                        <w:szCs w:val="20"/>
                      </w:rPr>
                      <w:t xml:space="preserve">GNSO </w:t>
                    </w:r>
                    <w:r>
                      <w:rPr>
                        <w:rFonts w:cs="Source Sans Pro"/>
                        <w:color w:val="17365D"/>
                        <w:sz w:val="20"/>
                        <w:szCs w:val="20"/>
                      </w:rPr>
                      <w:t xml:space="preserve"> </w:t>
                    </w:r>
                    <w:r w:rsidRPr="00A60CA1">
                      <w:rPr>
                        <w:rFonts w:cs="Source Sans Pro"/>
                        <w:color w:val="17365D"/>
                        <w:sz w:val="20"/>
                        <w:szCs w:val="20"/>
                      </w:rPr>
                      <w:t>|</w:t>
                    </w:r>
                    <w:proofErr w:type="gramEnd"/>
                    <w:r w:rsidRPr="00A60CA1">
                      <w:rPr>
                        <w:rFonts w:cs="Source Sans Pro"/>
                        <w:color w:val="17365D"/>
                        <w:sz w:val="20"/>
                        <w:szCs w:val="20"/>
                      </w:rPr>
                      <w:t xml:space="preserve"> </w:t>
                    </w:r>
                    <w:r>
                      <w:rPr>
                        <w:rFonts w:cs="Source Sans Pro"/>
                        <w:color w:val="17365D"/>
                        <w:sz w:val="20"/>
                        <w:szCs w:val="20"/>
                      </w:rPr>
                      <w:t xml:space="preserve"> E-mail: </w:t>
                    </w:r>
                    <w:hyperlink r:id="rId2"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D5B9" w14:textId="1DFD1ADF" w:rsidR="00C55A10" w:rsidRPr="006C23A8" w:rsidRDefault="00233E28" w:rsidP="00233E28">
    <w:pPr>
      <w:pStyle w:val="Footer"/>
      <w:tabs>
        <w:tab w:val="left" w:pos="2280"/>
        <w:tab w:val="right" w:pos="12960"/>
      </w:tabs>
      <w:rPr>
        <w:sz w:val="20"/>
        <w:szCs w:val="20"/>
      </w:rPr>
    </w:pPr>
    <w:r>
      <w:rPr>
        <w:color w:val="17365D"/>
        <w:sz w:val="20"/>
        <w:szCs w:val="20"/>
      </w:rPr>
      <w:tab/>
    </w:r>
    <w:r>
      <w:rPr>
        <w:color w:val="17365D"/>
        <w:sz w:val="20"/>
        <w:szCs w:val="20"/>
      </w:rPr>
      <w:tab/>
    </w:r>
    <w:r>
      <w:rPr>
        <w:color w:val="17365D"/>
        <w:sz w:val="20"/>
        <w:szCs w:val="20"/>
      </w:rPr>
      <w:tab/>
    </w:r>
    <w:r>
      <w:rPr>
        <w:color w:val="17365D"/>
        <w:sz w:val="20"/>
        <w:szCs w:val="20"/>
      </w:rPr>
      <w:tab/>
    </w:r>
    <w:r w:rsidR="00C55A10" w:rsidRPr="00AF1D81">
      <w:rPr>
        <w:color w:val="17365D"/>
        <w:sz w:val="20"/>
        <w:szCs w:val="20"/>
      </w:rPr>
      <w:t xml:space="preserve">Page </w:t>
    </w:r>
    <w:r w:rsidR="00C55A10" w:rsidRPr="00AF1D81">
      <w:rPr>
        <w:color w:val="17365D"/>
        <w:sz w:val="20"/>
        <w:szCs w:val="20"/>
      </w:rPr>
      <w:fldChar w:fldCharType="begin"/>
    </w:r>
    <w:r w:rsidR="00C55A10" w:rsidRPr="00AF1D81">
      <w:rPr>
        <w:color w:val="17365D"/>
        <w:sz w:val="20"/>
        <w:szCs w:val="20"/>
      </w:rPr>
      <w:instrText xml:space="preserve"> PAGE </w:instrText>
    </w:r>
    <w:r w:rsidR="00C55A10" w:rsidRPr="00AF1D81">
      <w:rPr>
        <w:color w:val="17365D"/>
        <w:sz w:val="20"/>
        <w:szCs w:val="20"/>
      </w:rPr>
      <w:fldChar w:fldCharType="separate"/>
    </w:r>
    <w:r w:rsidR="009E7A82">
      <w:rPr>
        <w:noProof/>
        <w:color w:val="17365D"/>
        <w:sz w:val="20"/>
        <w:szCs w:val="20"/>
      </w:rPr>
      <w:t>2</w:t>
    </w:r>
    <w:r w:rsidR="00C55A10" w:rsidRPr="00AF1D81">
      <w:rPr>
        <w:color w:val="17365D"/>
        <w:sz w:val="20"/>
        <w:szCs w:val="20"/>
      </w:rPr>
      <w:fldChar w:fldCharType="end"/>
    </w:r>
    <w:r w:rsidR="00C55A10" w:rsidRPr="00AF1D81">
      <w:rPr>
        <w:color w:val="17365D"/>
        <w:sz w:val="20"/>
        <w:szCs w:val="20"/>
      </w:rPr>
      <w:t xml:space="preserve"> of </w:t>
    </w:r>
    <w:r w:rsidR="00C55A10" w:rsidRPr="00AF1D81">
      <w:rPr>
        <w:color w:val="17365D"/>
        <w:sz w:val="20"/>
        <w:szCs w:val="20"/>
      </w:rPr>
      <w:fldChar w:fldCharType="begin"/>
    </w:r>
    <w:r w:rsidR="00C55A10" w:rsidRPr="00AF1D81">
      <w:rPr>
        <w:color w:val="17365D"/>
        <w:sz w:val="20"/>
        <w:szCs w:val="20"/>
      </w:rPr>
      <w:instrText xml:space="preserve"> NUMPAGES </w:instrText>
    </w:r>
    <w:r w:rsidR="00C55A10" w:rsidRPr="00AF1D81">
      <w:rPr>
        <w:color w:val="17365D"/>
        <w:sz w:val="20"/>
        <w:szCs w:val="20"/>
      </w:rPr>
      <w:fldChar w:fldCharType="separate"/>
    </w:r>
    <w:r w:rsidR="009E7A82">
      <w:rPr>
        <w:noProof/>
        <w:color w:val="17365D"/>
        <w:sz w:val="20"/>
        <w:szCs w:val="20"/>
      </w:rPr>
      <w:t>2</w:t>
    </w:r>
    <w:r w:rsidR="00C55A10" w:rsidRPr="00AF1D81">
      <w:rPr>
        <w:color w:val="17365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B8161" w14:textId="77777777" w:rsidR="00F1564D" w:rsidRDefault="00F1564D" w:rsidP="00F50C9D">
      <w:r>
        <w:separator/>
      </w:r>
    </w:p>
  </w:footnote>
  <w:footnote w:type="continuationSeparator" w:id="0">
    <w:p w14:paraId="71B50FCA" w14:textId="77777777" w:rsidR="00F1564D" w:rsidRDefault="00F1564D" w:rsidP="00F50C9D">
      <w:r>
        <w:continuationSeparator/>
      </w:r>
    </w:p>
  </w:footnote>
  <w:footnote w:id="1">
    <w:p w14:paraId="6FEB81A5" w14:textId="0D519BA0" w:rsidR="00905330" w:rsidRPr="00905330" w:rsidRDefault="00905330">
      <w:pPr>
        <w:pStyle w:val="FootnoteText"/>
      </w:pPr>
      <w:r>
        <w:rPr>
          <w:rStyle w:val="FootnoteReference"/>
        </w:rPr>
        <w:footnoteRef/>
      </w:r>
      <w:r>
        <w:t xml:space="preserve"> </w:t>
      </w:r>
      <w:r w:rsidR="00CB1156">
        <w:t>“</w:t>
      </w:r>
      <w:r>
        <w:rPr>
          <w:rFonts w:asciiTheme="majorHAnsi" w:eastAsia="Times New Roman" w:hAnsiTheme="majorHAnsi"/>
        </w:rPr>
        <w:t>T</w:t>
      </w:r>
      <w:r>
        <w:rPr>
          <w:rFonts w:asciiTheme="majorHAnsi" w:eastAsia="Times New Roman" w:hAnsiTheme="majorHAnsi"/>
        </w:rPr>
        <w:t>he GAC advises the Board to</w:t>
      </w:r>
      <w:r>
        <w:rPr>
          <w:rFonts w:asciiTheme="majorHAnsi" w:eastAsia="Times New Roman" w:hAnsiTheme="majorHAnsi"/>
        </w:rPr>
        <w:t xml:space="preserve">: </w:t>
      </w:r>
      <w:r w:rsidRPr="007B4648">
        <w:rPr>
          <w:rFonts w:asciiTheme="majorHAnsi" w:eastAsia="Times New Roman" w:hAnsiTheme="majorHAnsi"/>
          <w:lang w:val="en-BE"/>
        </w:rPr>
        <w:t>Undertake as a matter of priority the follow-up actions needed to support the swift implementation of the Board’s sc</w:t>
      </w:r>
      <w:r w:rsidR="00233E28">
        <w:rPr>
          <w:rFonts w:asciiTheme="majorHAnsi" w:eastAsia="Times New Roman" w:hAnsiTheme="majorHAnsi"/>
        </w:rPr>
        <w:t xml:space="preserve"> </w:t>
      </w:r>
      <w:r w:rsidRPr="007B4648">
        <w:rPr>
          <w:rFonts w:asciiTheme="majorHAnsi" w:eastAsia="Times New Roman" w:hAnsiTheme="majorHAnsi"/>
          <w:lang w:val="en-BE"/>
        </w:rPr>
        <w:t>orecard on the Final SSR2 Review Team Report, and to inform the GAC accordingly, including about the corresponding timeline</w:t>
      </w:r>
      <w:r>
        <w:rPr>
          <w:rFonts w:asciiTheme="majorHAnsi" w:eastAsia="Times New Roman" w:hAnsiTheme="majorHAnsi"/>
        </w:rPr>
        <w:t>.</w:t>
      </w:r>
      <w:r w:rsidR="00CB1156">
        <w:rPr>
          <w:rFonts w:asciiTheme="majorHAnsi" w:eastAsia="Times New Roman" w:hAnsiTheme="majorHAnsi"/>
        </w:rPr>
        <w:t>”</w:t>
      </w:r>
    </w:p>
  </w:footnote>
  <w:footnote w:id="2">
    <w:p w14:paraId="4648B050" w14:textId="79129161" w:rsidR="00905330" w:rsidRDefault="00905330" w:rsidP="00905330">
      <w:pPr>
        <w:rPr>
          <w:rFonts w:asciiTheme="majorHAnsi" w:eastAsia="Times New Roman" w:hAnsiTheme="majorHAnsi" w:cstheme="majorHAnsi"/>
          <w:sz w:val="20"/>
          <w:szCs w:val="20"/>
          <w:lang w:val="en-BE" w:eastAsia="en-GB"/>
        </w:rPr>
      </w:pPr>
      <w:r>
        <w:rPr>
          <w:rStyle w:val="FootnoteReference"/>
        </w:rPr>
        <w:footnoteRef/>
      </w:r>
      <w:r>
        <w:t xml:space="preserve"> </w:t>
      </w:r>
      <w:r w:rsidR="00CB1156">
        <w:t>“</w:t>
      </w:r>
      <w:r w:rsidRPr="00905330">
        <w:rPr>
          <w:rFonts w:asciiTheme="majorHAnsi" w:eastAsia="Times New Roman" w:hAnsiTheme="majorHAnsi" w:cstheme="majorHAnsi"/>
          <w:sz w:val="20"/>
          <w:szCs w:val="20"/>
          <w:lang w:val="en-BE" w:eastAsia="en-GB"/>
        </w:rPr>
        <w:t xml:space="preserve">In response to the GAC Montreal Communiqué, the Board accepted the GAC’s advice to: </w:t>
      </w:r>
    </w:p>
    <w:p w14:paraId="638A8779" w14:textId="77777777" w:rsidR="00905330" w:rsidRDefault="00905330" w:rsidP="00905330">
      <w:pPr>
        <w:rPr>
          <w:rFonts w:asciiTheme="majorHAnsi" w:eastAsia="Times New Roman" w:hAnsiTheme="majorHAnsi" w:cstheme="majorHAnsi"/>
          <w:sz w:val="20"/>
          <w:szCs w:val="20"/>
          <w:lang w:val="en-BE" w:eastAsia="en-GB"/>
        </w:rPr>
      </w:pPr>
      <w:r w:rsidRPr="00905330">
        <w:rPr>
          <w:rFonts w:asciiTheme="majorHAnsi" w:eastAsia="Times New Roman" w:hAnsiTheme="majorHAnsi" w:cstheme="majorHAnsi"/>
          <w:sz w:val="20"/>
          <w:szCs w:val="20"/>
          <w:lang w:val="en-BE" w:eastAsia="en-GB"/>
        </w:rPr>
        <w:t xml:space="preserve">“Instruct the ICANN organization to ensure that the current system that requires ‘reasonable access’ to non-public domain name registration is operating effectively. This should include: </w:t>
      </w:r>
    </w:p>
    <w:p w14:paraId="7826CF92" w14:textId="77777777" w:rsidR="00905330" w:rsidRPr="00905330" w:rsidRDefault="00905330" w:rsidP="00905330">
      <w:pPr>
        <w:pStyle w:val="ListParagraph"/>
        <w:numPr>
          <w:ilvl w:val="0"/>
          <w:numId w:val="3"/>
        </w:numPr>
        <w:rPr>
          <w:rFonts w:ascii="Times New Roman" w:eastAsia="Times New Roman" w:hAnsi="Times New Roman"/>
          <w:lang w:val="en-BE" w:eastAsia="en-GB"/>
        </w:rPr>
      </w:pPr>
      <w:r w:rsidRPr="00905330">
        <w:rPr>
          <w:rFonts w:asciiTheme="majorHAnsi" w:eastAsia="Times New Roman" w:hAnsiTheme="majorHAnsi" w:cstheme="majorHAnsi"/>
          <w:sz w:val="20"/>
          <w:szCs w:val="20"/>
          <w:lang w:val="en-BE" w:eastAsia="en-GB"/>
        </w:rPr>
        <w:t>educating key stakeholder groups, including governments, that there is a process to request non-public data;</w:t>
      </w:r>
    </w:p>
    <w:p w14:paraId="3FA7C312" w14:textId="77777777" w:rsidR="00905330" w:rsidRPr="00905330" w:rsidRDefault="00905330" w:rsidP="00905330">
      <w:pPr>
        <w:pStyle w:val="ListParagraph"/>
        <w:numPr>
          <w:ilvl w:val="0"/>
          <w:numId w:val="3"/>
        </w:numPr>
        <w:rPr>
          <w:rFonts w:ascii="Times New Roman" w:eastAsia="Times New Roman" w:hAnsi="Times New Roman"/>
          <w:lang w:val="en-BE" w:eastAsia="en-GB"/>
        </w:rPr>
      </w:pPr>
      <w:r w:rsidRPr="00905330">
        <w:rPr>
          <w:rFonts w:asciiTheme="majorHAnsi" w:eastAsia="Times New Roman" w:hAnsiTheme="majorHAnsi" w:cstheme="majorHAnsi"/>
          <w:sz w:val="20"/>
          <w:szCs w:val="20"/>
          <w:lang w:val="en-BE" w:eastAsia="en-GB"/>
        </w:rPr>
        <w:t>actively making available a standard request form that can be used by stakeholders to request access based upon the current consensus policy; and</w:t>
      </w:r>
    </w:p>
    <w:p w14:paraId="194AB2FE" w14:textId="056DCC9F" w:rsidR="00CB1156" w:rsidRPr="00CB1156" w:rsidRDefault="00905330" w:rsidP="00CB1156">
      <w:pPr>
        <w:pStyle w:val="ListParagraph"/>
        <w:numPr>
          <w:ilvl w:val="0"/>
          <w:numId w:val="3"/>
        </w:numPr>
        <w:rPr>
          <w:rFonts w:ascii="Times New Roman" w:eastAsia="Times New Roman" w:hAnsi="Times New Roman"/>
          <w:lang w:val="en-BE" w:eastAsia="en-GB"/>
        </w:rPr>
      </w:pPr>
      <w:r w:rsidRPr="00905330">
        <w:rPr>
          <w:rFonts w:asciiTheme="majorHAnsi" w:eastAsia="Times New Roman" w:hAnsiTheme="majorHAnsi" w:cstheme="majorHAnsi"/>
          <w:sz w:val="20"/>
          <w:szCs w:val="20"/>
          <w:lang w:val="en-BE" w:eastAsia="en-GB"/>
        </w:rPr>
        <w:t xml:space="preserve">actively making available links to registrar and registry information and points of contact on this topic.” </w:t>
      </w:r>
    </w:p>
    <w:p w14:paraId="2A20C31A" w14:textId="22D14652" w:rsidR="00905330" w:rsidRPr="00CB1156" w:rsidRDefault="00905330" w:rsidP="00CB1156">
      <w:pPr>
        <w:rPr>
          <w:rFonts w:ascii="Times New Roman" w:eastAsia="Times New Roman" w:hAnsi="Times New Roman"/>
          <w:lang w:eastAsia="en-GB"/>
        </w:rPr>
      </w:pPr>
      <w:r w:rsidRPr="00CB1156">
        <w:rPr>
          <w:rFonts w:asciiTheme="majorHAnsi" w:eastAsia="Times New Roman" w:hAnsiTheme="majorHAnsi" w:cstheme="majorHAnsi"/>
          <w:sz w:val="20"/>
          <w:szCs w:val="20"/>
          <w:lang w:val="en-BE" w:eastAsia="en-GB"/>
        </w:rPr>
        <w:t>The GAC would welcome the Board providing an update on these three efforts. In particular, the GAC observes that information on how to make a request for non-public data does not appear to be prominently located or easy to find on ICANN’s website. The GAC also recognizes that the contracted parties have developed guidance on the Minimum Required Information for Whois Data Requests and notes that relevant stakeholders would also benefit from the prominent display of this information in the relevant section of ICANN’s website.</w:t>
      </w:r>
      <w:r w:rsidR="00CB1156">
        <w:rPr>
          <w:rFonts w:asciiTheme="majorHAnsi" w:eastAsia="Times New Roman" w:hAnsiTheme="majorHAnsi" w:cstheme="majorHAnsi"/>
          <w:sz w:val="20"/>
          <w:szCs w:val="20"/>
          <w:lang w:eastAsia="en-GB"/>
        </w:rPr>
        <w:t>”</w:t>
      </w:r>
    </w:p>
    <w:p w14:paraId="4B641E47" w14:textId="45E9916A" w:rsidR="00905330" w:rsidRDefault="00905330">
      <w:pPr>
        <w:pStyle w:val="FootnoteText"/>
      </w:pPr>
    </w:p>
  </w:footnote>
  <w:footnote w:id="3">
    <w:p w14:paraId="50F649AF" w14:textId="77777777" w:rsidR="00233E28" w:rsidRDefault="00233E28" w:rsidP="00233E28">
      <w:r>
        <w:rPr>
          <w:vertAlign w:val="superscript"/>
        </w:rPr>
        <w:footnoteRef/>
      </w:r>
      <w:r>
        <w:rPr>
          <w:rFonts w:ascii="Calibri" w:eastAsia="Calibri" w:hAnsi="Calibri" w:cs="Calibri"/>
          <w:sz w:val="20"/>
          <w:szCs w:val="20"/>
          <w:vertAlign w:val="superscript"/>
        </w:rPr>
        <w:t xml:space="preserve"> </w:t>
      </w:r>
      <w:r>
        <w:rPr>
          <w:rFonts w:ascii="Calibri" w:eastAsia="Calibri" w:hAnsi="Calibri" w:cs="Calibri"/>
          <w:sz w:val="20"/>
          <w:szCs w:val="20"/>
        </w:rPr>
        <w:t xml:space="preserve"> Focused only the following sections of the Communiqué: Section V: GAC Advice to the ICANN Board and Section VI: Follow-up on Previous Advice</w:t>
      </w:r>
    </w:p>
  </w:footnote>
  <w:footnote w:id="4">
    <w:p w14:paraId="13759485" w14:textId="77777777" w:rsidR="00233E28" w:rsidRDefault="00233E28" w:rsidP="00233E2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As per the ICANN Bylaws: ‘There shall be a policy-development body known as the Generic Names Supporting Organization (GNSO), which shall be responsible for developing and recommending to the ICANN Board substantive policies relating to generic top-level domains.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1AC3" w14:textId="77777777" w:rsidR="00C55A10" w:rsidRDefault="00551468">
    <w:pPr>
      <w:pStyle w:val="Header"/>
    </w:pPr>
    <w:r>
      <w:rPr>
        <w:noProof/>
      </w:rPr>
      <mc:AlternateContent>
        <mc:Choice Requires="wps">
          <w:drawing>
            <wp:anchor distT="4294967294" distB="4294967294" distL="114300" distR="114300" simplePos="0" relativeHeight="251658240" behindDoc="0" locked="0" layoutInCell="1" allowOverlap="1" wp14:anchorId="5E84CE6C" wp14:editId="27EFEE6F">
              <wp:simplePos x="0" y="0"/>
              <wp:positionH relativeFrom="column">
                <wp:posOffset>-10795</wp:posOffset>
              </wp:positionH>
              <wp:positionV relativeFrom="paragraph">
                <wp:posOffset>460374</wp:posOffset>
              </wp:positionV>
              <wp:extent cx="5750560" cy="0"/>
              <wp:effectExtent l="0" t="0" r="15240" b="25400"/>
              <wp:wrapNone/>
              <wp:docPr id="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056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DDC32B" id="Straight Connector 16"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5pt,36.25pt" to="451.95pt,3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" strokecolor="#17375e" strokeweight="1pt">
              <o:lock v:ext="edit" shapetype="f"/>
            </v:line>
          </w:pict>
        </mc:Fallback>
      </mc:AlternateContent>
    </w:r>
    <w:r>
      <w:rPr>
        <w:noProof/>
      </w:rPr>
      <mc:AlternateContent>
        <mc:Choice Requires="wps">
          <w:drawing>
            <wp:anchor distT="4294967294" distB="4294967294" distL="114300" distR="114300" simplePos="0" relativeHeight="251659264" behindDoc="0" locked="0" layoutInCell="1" allowOverlap="1" wp14:anchorId="3A9AF310" wp14:editId="656B8560">
              <wp:simplePos x="0" y="0"/>
              <wp:positionH relativeFrom="column">
                <wp:posOffset>-10160</wp:posOffset>
              </wp:positionH>
              <wp:positionV relativeFrom="paragraph">
                <wp:posOffset>477519</wp:posOffset>
              </wp:positionV>
              <wp:extent cx="1642745" cy="0"/>
              <wp:effectExtent l="0" t="25400" r="8255" b="2540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2745"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375598"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pt,37.6pt" to="128.55pt,3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" strokecolor="#17375e" strokeweight="3pt">
              <o:lock v:ext="edit" shapetype="f"/>
            </v:line>
          </w:pict>
        </mc:Fallback>
      </mc:AlternateContent>
    </w:r>
    <w:r>
      <w:rPr>
        <w:noProof/>
      </w:rPr>
      <mc:AlternateContent>
        <mc:Choice Requires="wps">
          <w:drawing>
            <wp:anchor distT="4294967294" distB="4294967294" distL="114300" distR="114300" simplePos="0" relativeHeight="251656192" behindDoc="0" locked="0" layoutInCell="1" allowOverlap="1" wp14:anchorId="68E8A889" wp14:editId="409688DB">
              <wp:simplePos x="0" y="0"/>
              <wp:positionH relativeFrom="column">
                <wp:posOffset>-12065</wp:posOffset>
              </wp:positionH>
              <wp:positionV relativeFrom="paragraph">
                <wp:posOffset>9098914</wp:posOffset>
              </wp:positionV>
              <wp:extent cx="6604000" cy="0"/>
              <wp:effectExtent l="0" t="0" r="25400" b="25400"/>
              <wp:wrapNone/>
              <wp:docPr id="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F635047" id="Straight Connector 25"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16.45pt" to="519.05pt,7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" strokecolor="#17375e" strokeweight="1pt">
              <o:lock v:ext="edit" shapetype="f"/>
            </v:line>
          </w:pict>
        </mc:Fallback>
      </mc:AlternateContent>
    </w:r>
    <w:r>
      <w:rPr>
        <w:noProof/>
      </w:rPr>
      <w:drawing>
        <wp:inline distT="0" distB="0" distL="0" distR="0" wp14:anchorId="6A0D016A" wp14:editId="0FFC20C5">
          <wp:extent cx="1600200" cy="38100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14:anchorId="5681D033" wp14:editId="4D1D1BEE">
              <wp:simplePos x="0" y="0"/>
              <wp:positionH relativeFrom="column">
                <wp:posOffset>5729605</wp:posOffset>
              </wp:positionH>
              <wp:positionV relativeFrom="paragraph">
                <wp:posOffset>24765</wp:posOffset>
              </wp:positionV>
              <wp:extent cx="914400" cy="6210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21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A8B1F8" w14:textId="77777777" w:rsidR="00C55A10" w:rsidRDefault="00551468" w:rsidP="00C55A10">
                          <w:pPr>
                            <w:jc w:val="right"/>
                          </w:pPr>
                          <w:r>
                            <w:rPr>
                              <w:noProof/>
                            </w:rPr>
                            <w:drawing>
                              <wp:inline distT="0" distB="0" distL="0" distR="0" wp14:anchorId="119CA576" wp14:editId="41845418">
                                <wp:extent cx="685800" cy="5334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681D033" id="_x0000_t202" coordsize="21600,21600" o:spt="202" path="m,l,21600r21600,l21600,xe">
              <v:stroke joinstyle="miter"/>
              <v:path gradientshapeok="t" o:connecttype="rect"/>
            </v:shapetype>
            <v:shape id="Text Box 6" o:spid="_x0000_s1026" type="#_x0000_t202" style="position:absolute;margin-left:451.15pt;margin-top:1.95pt;width:1in;height:4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" filled="f" stroked="f">
              <v:textbox>
                <w:txbxContent>
                  <w:p w14:paraId="52A8B1F8" w14:textId="77777777" w:rsidR="00C55A10" w:rsidRDefault="00551468" w:rsidP="00C55A10">
                    <w:pPr>
                      <w:jc w:val="right"/>
                    </w:pPr>
                    <w:r>
                      <w:rPr>
                        <w:noProof/>
                      </w:rPr>
                      <w:drawing>
                        <wp:inline distT="0" distB="0" distL="0" distR="0" wp14:anchorId="119CA576" wp14:editId="41845418">
                          <wp:extent cx="685800" cy="5334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EA69" w14:textId="34D535B9" w:rsidR="00C55A10" w:rsidRDefault="00C55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53DA9"/>
    <w:multiLevelType w:val="hybridMultilevel"/>
    <w:tmpl w:val="77E6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386893"/>
    <w:multiLevelType w:val="hybridMultilevel"/>
    <w:tmpl w:val="E5847606"/>
    <w:lvl w:ilvl="0" w:tplc="659A6102">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7B396C"/>
    <w:multiLevelType w:val="hybridMultilevel"/>
    <w:tmpl w:val="6818F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468"/>
    <w:rsid w:val="00012A11"/>
    <w:rsid w:val="00075B18"/>
    <w:rsid w:val="000E0135"/>
    <w:rsid w:val="00190312"/>
    <w:rsid w:val="00231C84"/>
    <w:rsid w:val="00233E28"/>
    <w:rsid w:val="00245EE8"/>
    <w:rsid w:val="00406588"/>
    <w:rsid w:val="00545662"/>
    <w:rsid w:val="00551468"/>
    <w:rsid w:val="00586825"/>
    <w:rsid w:val="005E4C69"/>
    <w:rsid w:val="005F19BF"/>
    <w:rsid w:val="00684F60"/>
    <w:rsid w:val="006A01A4"/>
    <w:rsid w:val="006B3F72"/>
    <w:rsid w:val="006C23A8"/>
    <w:rsid w:val="007B4648"/>
    <w:rsid w:val="007C4A19"/>
    <w:rsid w:val="00854039"/>
    <w:rsid w:val="00857606"/>
    <w:rsid w:val="00863DD9"/>
    <w:rsid w:val="00905330"/>
    <w:rsid w:val="0093192A"/>
    <w:rsid w:val="009E7A82"/>
    <w:rsid w:val="00AC0AC4"/>
    <w:rsid w:val="00AF1D81"/>
    <w:rsid w:val="00C30923"/>
    <w:rsid w:val="00C36AD3"/>
    <w:rsid w:val="00C55A10"/>
    <w:rsid w:val="00CB1156"/>
    <w:rsid w:val="00D132FB"/>
    <w:rsid w:val="00D465CB"/>
    <w:rsid w:val="00DC3332"/>
    <w:rsid w:val="00EA57F9"/>
    <w:rsid w:val="00EB2C0B"/>
    <w:rsid w:val="00EF418D"/>
    <w:rsid w:val="00F1564D"/>
    <w:rsid w:val="00F50C9D"/>
    <w:rsid w:val="00F50E87"/>
    <w:rsid w:val="00FA6B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A17E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57606"/>
    <w:rPr>
      <w:rFonts w:ascii="Source Sans Pro" w:hAnsi="Source Sans Pro"/>
      <w:sz w:val="24"/>
      <w:szCs w:val="24"/>
    </w:rPr>
  </w:style>
  <w:style w:type="paragraph" w:styleId="Heading1">
    <w:name w:val="heading 1"/>
    <w:next w:val="Normal"/>
    <w:link w:val="Heading1Char"/>
    <w:uiPriority w:val="9"/>
    <w:qFormat/>
    <w:rsid w:val="0093192A"/>
    <w:pPr>
      <w:keepNext/>
      <w:keepLines/>
      <w:outlineLvl w:val="0"/>
    </w:pPr>
    <w:rPr>
      <w:rFonts w:ascii="Source Sans Pro Light" w:eastAsia="MS Gothic" w:hAnsi="Source Sans Pro Light"/>
      <w:bCs/>
      <w:color w:val="345A8A"/>
      <w:sz w:val="28"/>
      <w:szCs w:val="32"/>
    </w:rPr>
  </w:style>
  <w:style w:type="paragraph" w:styleId="Heading3">
    <w:name w:val="heading 3"/>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9D"/>
    <w:pPr>
      <w:tabs>
        <w:tab w:val="center" w:pos="4320"/>
        <w:tab w:val="right" w:pos="8640"/>
      </w:tabs>
    </w:pPr>
    <w:rPr>
      <w:sz w:val="22"/>
    </w:rPr>
  </w:style>
  <w:style w:type="character" w:customStyle="1" w:styleId="HeaderChar">
    <w:name w:val="Header Char"/>
    <w:link w:val="Header"/>
    <w:uiPriority w:val="99"/>
    <w:rsid w:val="00F50C9D"/>
    <w:rPr>
      <w:rFonts w:ascii="Source Sans Pro" w:hAnsi="Source Sans Pro"/>
      <w:sz w:val="22"/>
    </w:rPr>
  </w:style>
  <w:style w:type="character" w:customStyle="1" w:styleId="Heading3Char">
    <w:name w:val="Heading 3 Char"/>
    <w:link w:val="Heading3"/>
    <w:uiPriority w:val="9"/>
    <w:rsid w:val="00012A11"/>
    <w:rPr>
      <w:rFonts w:ascii="Source Sans Pro Light" w:hAnsi="Source Sans Pro Light"/>
      <w:bCs/>
      <w:sz w:val="36"/>
      <w:szCs w:val="27"/>
    </w:rPr>
  </w:style>
  <w:style w:type="paragraph" w:styleId="Footer">
    <w:name w:val="footer"/>
    <w:basedOn w:val="Normal"/>
    <w:link w:val="FooterChar"/>
    <w:uiPriority w:val="99"/>
    <w:unhideWhenUsed/>
    <w:rsid w:val="00F50C9D"/>
    <w:pPr>
      <w:tabs>
        <w:tab w:val="center" w:pos="4320"/>
        <w:tab w:val="right" w:pos="8640"/>
      </w:tabs>
    </w:pPr>
    <w:rPr>
      <w:sz w:val="22"/>
    </w:rPr>
  </w:style>
  <w:style w:type="character" w:customStyle="1" w:styleId="FooterChar">
    <w:name w:val="Footer Char"/>
    <w:link w:val="Footer"/>
    <w:uiPriority w:val="99"/>
    <w:rsid w:val="00F50C9D"/>
    <w:rPr>
      <w:rFonts w:ascii="Source Sans Pro" w:hAnsi="Source Sans Pro"/>
      <w:sz w:val="22"/>
    </w:rPr>
  </w:style>
  <w:style w:type="character" w:customStyle="1" w:styleId="Heading1Char">
    <w:name w:val="Heading 1 Char"/>
    <w:link w:val="Heading1"/>
    <w:uiPriority w:val="9"/>
    <w:rsid w:val="0093192A"/>
    <w:rPr>
      <w:rFonts w:ascii="Source Sans Pro Light" w:eastAsia="MS Gothic" w:hAnsi="Source Sans Pro Light" w:cs="Times New Roman"/>
      <w:bCs/>
      <w:color w:val="345A8A"/>
      <w:sz w:val="28"/>
      <w:szCs w:val="32"/>
    </w:rPr>
  </w:style>
  <w:style w:type="paragraph" w:styleId="BalloonText">
    <w:name w:val="Balloon Text"/>
    <w:basedOn w:val="Normal"/>
    <w:link w:val="BalloonTextChar"/>
    <w:uiPriority w:val="99"/>
    <w:semiHidden/>
    <w:unhideWhenUsed/>
    <w:rsid w:val="00F50C9D"/>
    <w:rPr>
      <w:rFonts w:ascii="Lucida Grande" w:hAnsi="Lucida Grande" w:cs="Lucida Grande"/>
      <w:sz w:val="18"/>
      <w:szCs w:val="18"/>
    </w:rPr>
  </w:style>
  <w:style w:type="paragraph" w:styleId="NoSpacing">
    <w:name w:val="No Spacing"/>
    <w:next w:val="Normal"/>
    <w:uiPriority w:val="1"/>
    <w:qFormat/>
    <w:rsid w:val="0093192A"/>
    <w:rPr>
      <w:rFonts w:ascii="Source Sans Pro" w:hAnsi="Source Sans Pro"/>
      <w:sz w:val="22"/>
      <w:szCs w:val="24"/>
    </w:rPr>
  </w:style>
  <w:style w:type="character" w:customStyle="1" w:styleId="BalloonTextChar">
    <w:name w:val="Balloon Text Char"/>
    <w:link w:val="BalloonText"/>
    <w:uiPriority w:val="99"/>
    <w:semiHidden/>
    <w:rsid w:val="00F50C9D"/>
    <w:rPr>
      <w:rFonts w:ascii="Lucida Grande" w:hAnsi="Lucida Grande" w:cs="Lucida Grande"/>
      <w:sz w:val="18"/>
      <w:szCs w:val="18"/>
    </w:rPr>
  </w:style>
  <w:style w:type="character" w:styleId="Hyperlink">
    <w:name w:val="Hyperlink"/>
    <w:uiPriority w:val="99"/>
    <w:unhideWhenUsed/>
    <w:rsid w:val="005F19BF"/>
    <w:rPr>
      <w:rFonts w:ascii="Source Sans Pro" w:hAnsi="Source Sans Pro"/>
      <w:color w:val="548DD4"/>
      <w:u w:val="single"/>
    </w:rPr>
  </w:style>
  <w:style w:type="character" w:styleId="PageNumber">
    <w:name w:val="page number"/>
    <w:basedOn w:val="DefaultParagraphFont"/>
    <w:uiPriority w:val="99"/>
    <w:semiHidden/>
    <w:unhideWhenUsed/>
    <w:rsid w:val="006C23A8"/>
  </w:style>
  <w:style w:type="paragraph" w:styleId="ListParagraph">
    <w:name w:val="List Paragraph"/>
    <w:basedOn w:val="Normal"/>
    <w:uiPriority w:val="34"/>
    <w:qFormat/>
    <w:rsid w:val="007B4648"/>
    <w:pPr>
      <w:ind w:left="720"/>
      <w:contextualSpacing/>
    </w:pPr>
  </w:style>
  <w:style w:type="character" w:styleId="UnresolvedMention">
    <w:name w:val="Unresolved Mention"/>
    <w:basedOn w:val="DefaultParagraphFont"/>
    <w:uiPriority w:val="99"/>
    <w:rsid w:val="00905330"/>
    <w:rPr>
      <w:color w:val="605E5C"/>
      <w:shd w:val="clear" w:color="auto" w:fill="E1DFDD"/>
    </w:rPr>
  </w:style>
  <w:style w:type="paragraph" w:styleId="FootnoteText">
    <w:name w:val="footnote text"/>
    <w:basedOn w:val="Normal"/>
    <w:link w:val="FootnoteTextChar"/>
    <w:uiPriority w:val="99"/>
    <w:semiHidden/>
    <w:unhideWhenUsed/>
    <w:rsid w:val="00905330"/>
    <w:rPr>
      <w:sz w:val="20"/>
      <w:szCs w:val="20"/>
    </w:rPr>
  </w:style>
  <w:style w:type="character" w:customStyle="1" w:styleId="FootnoteTextChar">
    <w:name w:val="Footnote Text Char"/>
    <w:basedOn w:val="DefaultParagraphFont"/>
    <w:link w:val="FootnoteText"/>
    <w:uiPriority w:val="99"/>
    <w:semiHidden/>
    <w:rsid w:val="00905330"/>
    <w:rPr>
      <w:rFonts w:ascii="Source Sans Pro" w:hAnsi="Source Sans Pro"/>
    </w:rPr>
  </w:style>
  <w:style w:type="character" w:styleId="FootnoteReference">
    <w:name w:val="footnote reference"/>
    <w:basedOn w:val="DefaultParagraphFont"/>
    <w:uiPriority w:val="99"/>
    <w:semiHidden/>
    <w:unhideWhenUsed/>
    <w:rsid w:val="009053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6523">
      <w:bodyDiv w:val="1"/>
      <w:marLeft w:val="0"/>
      <w:marRight w:val="0"/>
      <w:marTop w:val="0"/>
      <w:marBottom w:val="0"/>
      <w:divBdr>
        <w:top w:val="none" w:sz="0" w:space="0" w:color="auto"/>
        <w:left w:val="none" w:sz="0" w:space="0" w:color="auto"/>
        <w:bottom w:val="none" w:sz="0" w:space="0" w:color="auto"/>
        <w:right w:val="none" w:sz="0" w:space="0" w:color="auto"/>
      </w:divBdr>
    </w:div>
    <w:div w:id="305091265">
      <w:bodyDiv w:val="1"/>
      <w:marLeft w:val="0"/>
      <w:marRight w:val="0"/>
      <w:marTop w:val="0"/>
      <w:marBottom w:val="0"/>
      <w:divBdr>
        <w:top w:val="none" w:sz="0" w:space="0" w:color="auto"/>
        <w:left w:val="none" w:sz="0" w:space="0" w:color="auto"/>
        <w:bottom w:val="none" w:sz="0" w:space="0" w:color="auto"/>
        <w:right w:val="none" w:sz="0" w:space="0" w:color="auto"/>
      </w:divBdr>
    </w:div>
    <w:div w:id="306862927">
      <w:bodyDiv w:val="1"/>
      <w:marLeft w:val="0"/>
      <w:marRight w:val="0"/>
      <w:marTop w:val="0"/>
      <w:marBottom w:val="0"/>
      <w:divBdr>
        <w:top w:val="none" w:sz="0" w:space="0" w:color="auto"/>
        <w:left w:val="none" w:sz="0" w:space="0" w:color="auto"/>
        <w:bottom w:val="none" w:sz="0" w:space="0" w:color="auto"/>
        <w:right w:val="none" w:sz="0" w:space="0" w:color="auto"/>
      </w:divBdr>
    </w:div>
    <w:div w:id="336882278">
      <w:bodyDiv w:val="1"/>
      <w:marLeft w:val="0"/>
      <w:marRight w:val="0"/>
      <w:marTop w:val="0"/>
      <w:marBottom w:val="0"/>
      <w:divBdr>
        <w:top w:val="none" w:sz="0" w:space="0" w:color="auto"/>
        <w:left w:val="none" w:sz="0" w:space="0" w:color="auto"/>
        <w:bottom w:val="none" w:sz="0" w:space="0" w:color="auto"/>
        <w:right w:val="none" w:sz="0" w:space="0" w:color="auto"/>
      </w:divBdr>
    </w:div>
    <w:div w:id="524949257">
      <w:bodyDiv w:val="1"/>
      <w:marLeft w:val="0"/>
      <w:marRight w:val="0"/>
      <w:marTop w:val="0"/>
      <w:marBottom w:val="0"/>
      <w:divBdr>
        <w:top w:val="none" w:sz="0" w:space="0" w:color="auto"/>
        <w:left w:val="none" w:sz="0" w:space="0" w:color="auto"/>
        <w:bottom w:val="none" w:sz="0" w:space="0" w:color="auto"/>
        <w:right w:val="none" w:sz="0" w:space="0" w:color="auto"/>
      </w:divBdr>
    </w:div>
    <w:div w:id="631059962">
      <w:bodyDiv w:val="1"/>
      <w:marLeft w:val="0"/>
      <w:marRight w:val="0"/>
      <w:marTop w:val="0"/>
      <w:marBottom w:val="0"/>
      <w:divBdr>
        <w:top w:val="none" w:sz="0" w:space="0" w:color="auto"/>
        <w:left w:val="none" w:sz="0" w:space="0" w:color="auto"/>
        <w:bottom w:val="none" w:sz="0" w:space="0" w:color="auto"/>
        <w:right w:val="none" w:sz="0" w:space="0" w:color="auto"/>
      </w:divBdr>
    </w:div>
    <w:div w:id="672608787">
      <w:bodyDiv w:val="1"/>
      <w:marLeft w:val="0"/>
      <w:marRight w:val="0"/>
      <w:marTop w:val="0"/>
      <w:marBottom w:val="0"/>
      <w:divBdr>
        <w:top w:val="none" w:sz="0" w:space="0" w:color="auto"/>
        <w:left w:val="none" w:sz="0" w:space="0" w:color="auto"/>
        <w:bottom w:val="none" w:sz="0" w:space="0" w:color="auto"/>
        <w:right w:val="none" w:sz="0" w:space="0" w:color="auto"/>
      </w:divBdr>
    </w:div>
    <w:div w:id="1289505955">
      <w:bodyDiv w:val="1"/>
      <w:marLeft w:val="0"/>
      <w:marRight w:val="0"/>
      <w:marTop w:val="0"/>
      <w:marBottom w:val="0"/>
      <w:divBdr>
        <w:top w:val="none" w:sz="0" w:space="0" w:color="auto"/>
        <w:left w:val="none" w:sz="0" w:space="0" w:color="auto"/>
        <w:bottom w:val="none" w:sz="0" w:space="0" w:color="auto"/>
        <w:right w:val="none" w:sz="0" w:space="0" w:color="auto"/>
      </w:divBdr>
    </w:div>
    <w:div w:id="1508322508">
      <w:bodyDiv w:val="1"/>
      <w:marLeft w:val="0"/>
      <w:marRight w:val="0"/>
      <w:marTop w:val="0"/>
      <w:marBottom w:val="0"/>
      <w:divBdr>
        <w:top w:val="none" w:sz="0" w:space="0" w:color="auto"/>
        <w:left w:val="none" w:sz="0" w:space="0" w:color="auto"/>
        <w:bottom w:val="none" w:sz="0" w:space="0" w:color="auto"/>
        <w:right w:val="none" w:sz="0" w:space="0" w:color="auto"/>
      </w:divBdr>
    </w:div>
    <w:div w:id="1623802140">
      <w:bodyDiv w:val="1"/>
      <w:marLeft w:val="0"/>
      <w:marRight w:val="0"/>
      <w:marTop w:val="0"/>
      <w:marBottom w:val="0"/>
      <w:divBdr>
        <w:top w:val="none" w:sz="0" w:space="0" w:color="auto"/>
        <w:left w:val="none" w:sz="0" w:space="0" w:color="auto"/>
        <w:bottom w:val="none" w:sz="0" w:space="0" w:color="auto"/>
        <w:right w:val="none" w:sz="0" w:space="0" w:color="auto"/>
      </w:divBdr>
    </w:div>
    <w:div w:id="1709407890">
      <w:bodyDiv w:val="1"/>
      <w:marLeft w:val="0"/>
      <w:marRight w:val="0"/>
      <w:marTop w:val="0"/>
      <w:marBottom w:val="0"/>
      <w:divBdr>
        <w:top w:val="none" w:sz="0" w:space="0" w:color="auto"/>
        <w:left w:val="none" w:sz="0" w:space="0" w:color="auto"/>
        <w:bottom w:val="none" w:sz="0" w:space="0" w:color="auto"/>
        <w:right w:val="none" w:sz="0" w:space="0" w:color="auto"/>
      </w:divBdr>
    </w:div>
    <w:div w:id="1710104582">
      <w:bodyDiv w:val="1"/>
      <w:marLeft w:val="0"/>
      <w:marRight w:val="0"/>
      <w:marTop w:val="0"/>
      <w:marBottom w:val="0"/>
      <w:divBdr>
        <w:top w:val="none" w:sz="0" w:space="0" w:color="auto"/>
        <w:left w:val="none" w:sz="0" w:space="0" w:color="auto"/>
        <w:bottom w:val="none" w:sz="0" w:space="0" w:color="auto"/>
        <w:right w:val="none" w:sz="0" w:space="0" w:color="auto"/>
      </w:divBdr>
    </w:div>
    <w:div w:id="20969005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gnso.icann.org/sites/default/files/file/field-file-attach/botterman-to-fouquart-23oct21-e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ac.icann.org/advice/communiques/icann72-gac-communique.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c.icann.org/advice/communiques/icann72-gac-communique.pdf"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gnso-secs@icann.org" TargetMode="External"/><Relationship Id="rId1" Type="http://schemas.openxmlformats.org/officeDocument/2006/relationships/hyperlink" Target="mailto:gnso-secs@icann.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KO-4781:Users:marika.konings:Downloads:GNSO_letterhead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C1718-7AFB-6E41-A1D8-914F0C068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MAKO-4781:Users:marika.konings:Downloads:GNSO_letterheadv1.dot</Template>
  <TotalTime>1</TotalTime>
  <Pages>6</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7600</CharactersWithSpaces>
  <SharedDoc>false</SharedDoc>
  <HyperlinkBase/>
  <HLinks>
    <vt:vector size="12" baseType="variant">
      <vt:variant>
        <vt:i4>2293834</vt:i4>
      </vt:variant>
      <vt:variant>
        <vt:i4>3</vt:i4>
      </vt:variant>
      <vt:variant>
        <vt:i4>0</vt:i4>
      </vt:variant>
      <vt:variant>
        <vt:i4>5</vt:i4>
      </vt:variant>
      <vt:variant>
        <vt:lpwstr>mailto:gnso-secs@icann.org</vt:lpwstr>
      </vt:variant>
      <vt:variant>
        <vt:lpwstr/>
      </vt:variant>
      <vt:variant>
        <vt:i4>2293834</vt:i4>
      </vt:variant>
      <vt:variant>
        <vt:i4>0</vt:i4>
      </vt:variant>
      <vt:variant>
        <vt:i4>0</vt:i4>
      </vt:variant>
      <vt:variant>
        <vt:i4>5</vt:i4>
      </vt:variant>
      <vt:variant>
        <vt:lpwstr>mailto:gnso-secs@icann.org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Microsoft Office User</cp:lastModifiedBy>
  <cp:revision>3</cp:revision>
  <dcterms:created xsi:type="dcterms:W3CDTF">2021-11-11T12:24:00Z</dcterms:created>
  <dcterms:modified xsi:type="dcterms:W3CDTF">2021-11-11T12:24:00Z</dcterms:modified>
  <cp:category/>
</cp:coreProperties>
</file>