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5F43" w:rsidRDefault="00FA1371">
      <w:r>
        <w:t>Dear Maarten and Manal,</w:t>
      </w:r>
    </w:p>
    <w:p w14:paraId="00000002" w14:textId="77777777" w:rsidR="00D25F43" w:rsidRDefault="00D25F43"/>
    <w:p w14:paraId="00000003" w14:textId="010CB10F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The purpose of this brief cover letter is to convey the outcomes of the GNSO Council’s small team on next steps for Closed Generics. As you will recall, the Counci</w:t>
      </w:r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l </w:t>
      </w:r>
      <w:hyperlink r:id="rId7">
        <w:r>
          <w:rPr>
            <w:rFonts w:ascii="Roboto" w:eastAsia="Roboto" w:hAnsi="Roboto" w:cs="Roboto"/>
            <w:color w:val="0052CC"/>
            <w:sz w:val="21"/>
            <w:szCs w:val="21"/>
            <w:highlight w:val="white"/>
            <w:u w:val="single"/>
          </w:rPr>
          <w:t>responded</w:t>
        </w:r>
      </w:hyperlink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to the Board affirmatively on 27 April 2022, that it is willing to pursue next steps in the facilitated dialogue. </w:t>
      </w:r>
      <w:r>
        <w:rPr>
          <w:rFonts w:ascii="Roboto" w:eastAsia="Roboto" w:hAnsi="Roboto" w:cs="Roboto"/>
          <w:sz w:val="21"/>
          <w:szCs w:val="21"/>
          <w:highlight w:val="white"/>
        </w:rPr>
        <w:t>In addition</w:t>
      </w:r>
      <w:r>
        <w:rPr>
          <w:rFonts w:ascii="Roboto" w:eastAsia="Roboto" w:hAnsi="Roboto" w:cs="Roboto"/>
          <w:sz w:val="21"/>
          <w:szCs w:val="21"/>
          <w:highlight w:val="white"/>
        </w:rPr>
        <w:t>, the Council convened a small team to review the</w:t>
      </w:r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 </w:t>
      </w:r>
      <w:hyperlink r:id="rId8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Framing Paper</w:t>
        </w:r>
      </w:hyperlink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sz w:val="21"/>
          <w:szCs w:val="21"/>
          <w:highlight w:val="white"/>
        </w:rPr>
        <w:t>and the</w:t>
      </w:r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 </w:t>
      </w:r>
      <w:hyperlink r:id="rId9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response</w:t>
        </w:r>
      </w:hyperlink>
      <w:r>
        <w:rPr>
          <w:rFonts w:ascii="Roboto" w:eastAsia="Roboto" w:hAnsi="Roboto" w:cs="Roboto"/>
          <w:color w:val="172B4D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from the GAC, to formulate the Council’s expectations for the conditions, parameters, and methodology for the facilitated dialogue. </w:t>
      </w:r>
    </w:p>
    <w:p w14:paraId="00000004" w14:textId="77777777" w:rsidR="00D25F43" w:rsidRDefault="00D25F4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5" w14:textId="77777777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The small team was responsible for three di</w:t>
      </w:r>
      <w:r>
        <w:rPr>
          <w:rFonts w:ascii="Roboto" w:eastAsia="Roboto" w:hAnsi="Roboto" w:cs="Roboto"/>
          <w:sz w:val="21"/>
          <w:szCs w:val="21"/>
          <w:highlight w:val="white"/>
        </w:rPr>
        <w:t>screte tasks:</w:t>
      </w:r>
    </w:p>
    <w:p w14:paraId="00000006" w14:textId="77777777" w:rsidR="00D25F43" w:rsidRDefault="00FA137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Provide input on the criteria for identifying a facilitator.</w:t>
      </w:r>
    </w:p>
    <w:p w14:paraId="00000007" w14:textId="77777777" w:rsidR="00D25F43" w:rsidRDefault="00FA137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Consider whether the Council is amenable to the ALAC taking part in the facilitated dialogue.</w:t>
      </w:r>
    </w:p>
    <w:p w14:paraId="00000008" w14:textId="77777777" w:rsidR="00D25F43" w:rsidRDefault="00FA1371">
      <w:pPr>
        <w:numPr>
          <w:ilvl w:val="0"/>
          <w:numId w:val="1"/>
        </w:num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Provide guidance on the conditions, parameters, and methodology for the dialogue, which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will be subject to mutual agreement with the GAC.</w:t>
      </w:r>
    </w:p>
    <w:p w14:paraId="00000009" w14:textId="77777777" w:rsidR="00D25F43" w:rsidRDefault="00D25F4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A" w14:textId="77777777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All three tasks were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completed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and outcomes captured in the small team’s recommendations to the Council, attached to this email. In brief, the small team 1) largely supported the facilitator criteria iden</w:t>
      </w:r>
      <w:r>
        <w:rPr>
          <w:rFonts w:ascii="Roboto" w:eastAsia="Roboto" w:hAnsi="Roboto" w:cs="Roboto"/>
          <w:sz w:val="21"/>
          <w:szCs w:val="21"/>
          <w:highlight w:val="white"/>
        </w:rPr>
        <w:t>tified by the GAC, with a small adjustment 2) supports the inclusion of an ALAC member and 3) supports the parameters and methodology in the ICANN org Framing Paper as a good basis for the facilitated dialogue, with some adjustments and points of emphasis.</w:t>
      </w:r>
    </w:p>
    <w:p w14:paraId="0000000B" w14:textId="77777777" w:rsidR="00D25F43" w:rsidRDefault="00D25F4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C" w14:textId="77777777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With the attached report, the GNSO Council hopes that a mutually agreeable foundation is established for the facilitated dialogue and looks forward to working with the GAC on the framework for Closed Generics.</w:t>
      </w:r>
    </w:p>
    <w:p w14:paraId="0000000D" w14:textId="77777777" w:rsidR="00D25F43" w:rsidRDefault="00D25F4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0E" w14:textId="77777777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Best regards,</w:t>
      </w:r>
    </w:p>
    <w:p w14:paraId="0000000F" w14:textId="77777777" w:rsidR="00D25F43" w:rsidRDefault="00D25F4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00000010" w14:textId="77777777" w:rsidR="00D25F43" w:rsidRDefault="00FA1371">
      <w:pPr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Philippe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Fouquart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>, GNSO Chair</w:t>
      </w:r>
    </w:p>
    <w:p w14:paraId="00000011" w14:textId="77777777" w:rsidR="00D25F43" w:rsidRDefault="00D25F43">
      <w:pPr>
        <w:rPr>
          <w:rFonts w:ascii="Roboto" w:eastAsia="Roboto" w:hAnsi="Roboto" w:cs="Roboto"/>
          <w:color w:val="172B4D"/>
          <w:sz w:val="21"/>
          <w:szCs w:val="21"/>
          <w:highlight w:val="white"/>
        </w:rPr>
      </w:pPr>
    </w:p>
    <w:p w14:paraId="00000012" w14:textId="77777777" w:rsidR="00D25F43" w:rsidRDefault="00D25F43"/>
    <w:p w14:paraId="00000013" w14:textId="77777777" w:rsidR="00D25F43" w:rsidRDefault="00D25F43"/>
    <w:sectPr w:rsidR="00D25F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120D" w14:textId="77777777" w:rsidR="00FA1371" w:rsidRDefault="00FA1371" w:rsidP="00FA1371">
      <w:pPr>
        <w:spacing w:line="240" w:lineRule="auto"/>
      </w:pPr>
      <w:r>
        <w:separator/>
      </w:r>
    </w:p>
  </w:endnote>
  <w:endnote w:type="continuationSeparator" w:id="0">
    <w:p w14:paraId="5B76954D" w14:textId="77777777" w:rsidR="00FA1371" w:rsidRDefault="00FA1371" w:rsidP="00FA1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B287" w14:textId="77777777" w:rsidR="00FA1371" w:rsidRDefault="00FA1371" w:rsidP="00FA1371">
      <w:pPr>
        <w:spacing w:line="240" w:lineRule="auto"/>
      </w:pPr>
      <w:r>
        <w:separator/>
      </w:r>
    </w:p>
  </w:footnote>
  <w:footnote w:type="continuationSeparator" w:id="0">
    <w:p w14:paraId="543E923C" w14:textId="77777777" w:rsidR="00FA1371" w:rsidRDefault="00FA1371" w:rsidP="00FA1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21D3"/>
    <w:multiLevelType w:val="multilevel"/>
    <w:tmpl w:val="AE8CA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43"/>
    <w:rsid w:val="00D25F43"/>
    <w:rsid w:val="00F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9012160-6002-43EE-9EA4-266F8EEF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sites/default/files/policy/2022/correspondence/gnso-council-et-al-to-fouqaurt-08mar22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nso.icann.org/sites/default/files/policy/2022/correspondence/fouquart-to-botterman-27apr22-closed-gener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c.icann.org/contentMigrated/gac-response-to-icann-org-framing-paper-on-the-board-facilitated-process-for-a-gac-and-gnso-council-dialogue-on-closed-gene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4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FOUQUART Philippe INNOV/NET</dc:creator>
  <cp:lastModifiedBy>FOUQUART Philippe INNOV/NET</cp:lastModifiedBy>
  <cp:revision>2</cp:revision>
  <dcterms:created xsi:type="dcterms:W3CDTF">2022-06-28T13:10:00Z</dcterms:created>
  <dcterms:modified xsi:type="dcterms:W3CDTF">2022-06-28T13:10:00Z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2022-06-28T13:09:59Z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83432a67-fc06-4b8b-bb60-705c49097126</vt:lpwstr>
  </property>
  <property fmtid="{D5CDD505-2E9C-101B-9397-08002B2CF9AE}" pid="8" name="MSIP_Label_07222825-62ea-40f3-96b5-5375c07996e2_ContentBits">
    <vt:lpwstr>0</vt:lpwstr>
  </property>
</Properties>
</file>