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071BF151" w:rsidR="00E35140" w:rsidRPr="003E220B" w:rsidRDefault="008F1AD8">
      <w:pPr>
        <w:rPr>
          <w:rFonts w:ascii="Calibri Light" w:hAnsi="Calibri Light" w:cs="Calibri Light"/>
          <w:b/>
          <w:bCs/>
          <w:lang w:val="en-AU"/>
        </w:rPr>
      </w:pPr>
      <w:r w:rsidRPr="003E220B">
        <w:rPr>
          <w:rFonts w:ascii="Calibri Light" w:hAnsi="Calibri Light" w:cs="Calibri Light"/>
          <w:b/>
          <w:bCs/>
          <w:lang w:val="en-AU"/>
        </w:rPr>
        <w:t xml:space="preserve">GNSO Council </w:t>
      </w:r>
      <w:r w:rsidR="005D41BD" w:rsidRPr="003E220B">
        <w:rPr>
          <w:rFonts w:ascii="Calibri Light" w:hAnsi="Calibri Light" w:cs="Calibri Light"/>
          <w:b/>
          <w:bCs/>
          <w:lang w:val="en-AU"/>
        </w:rPr>
        <w:t xml:space="preserve">Small Team </w:t>
      </w:r>
      <w:r w:rsidRPr="003E220B">
        <w:rPr>
          <w:rFonts w:ascii="Calibri Light" w:hAnsi="Calibri Light" w:cs="Calibri Light"/>
          <w:b/>
          <w:bCs/>
          <w:lang w:val="en-AU"/>
        </w:rPr>
        <w:t xml:space="preserve">Review </w:t>
      </w:r>
      <w:r w:rsidR="00B23133" w:rsidRPr="003E220B">
        <w:rPr>
          <w:rFonts w:ascii="Calibri Light" w:hAnsi="Calibri Light" w:cs="Calibri Light"/>
          <w:b/>
          <w:bCs/>
          <w:lang w:val="en-AU"/>
        </w:rPr>
        <w:t>of</w:t>
      </w:r>
      <w:r w:rsidRPr="003E220B">
        <w:rPr>
          <w:rFonts w:ascii="Calibri Light" w:hAnsi="Calibri Light" w:cs="Calibri Light"/>
          <w:b/>
          <w:bCs/>
          <w:lang w:val="en-AU"/>
        </w:rPr>
        <w:t xml:space="preserve"> the SubPro Operational Design Assessment (ODA)</w:t>
      </w:r>
    </w:p>
    <w:p w14:paraId="0BAA7C2C" w14:textId="77777777" w:rsidR="00B23133" w:rsidRPr="003E220B" w:rsidRDefault="00B23133">
      <w:pPr>
        <w:rPr>
          <w:rFonts w:ascii="Calibri Light" w:hAnsi="Calibri Light" w:cs="Calibri Light"/>
          <w:lang w:val="en-AU"/>
        </w:rPr>
      </w:pPr>
    </w:p>
    <w:p w14:paraId="1FC172E8" w14:textId="35DF0350" w:rsidR="00A62FEF" w:rsidRPr="003E220B" w:rsidRDefault="00B23133">
      <w:pPr>
        <w:rPr>
          <w:rFonts w:ascii="Calibri Light" w:hAnsi="Calibri Light" w:cs="Calibri Light"/>
          <w:lang w:val="en-AU"/>
        </w:rPr>
      </w:pPr>
      <w:r w:rsidRPr="003E220B">
        <w:rPr>
          <w:rFonts w:ascii="Calibri Light" w:hAnsi="Calibri Light" w:cs="Calibri Light"/>
          <w:lang w:val="en-AU"/>
        </w:rPr>
        <w:t xml:space="preserve">A Council small team has reviewed </w:t>
      </w:r>
      <w:r w:rsidRPr="003E220B">
        <w:rPr>
          <w:rFonts w:ascii="Calibri Light" w:hAnsi="Calibri Light" w:cs="Calibri Light"/>
          <w:lang w:val="en-AU"/>
        </w:rPr>
        <w:t>the SubPro Operational Design Assessment (ODA</w:t>
      </w:r>
      <w:r w:rsidRPr="003E220B">
        <w:rPr>
          <w:rFonts w:ascii="Calibri Light" w:hAnsi="Calibri Light" w:cs="Calibri Light"/>
          <w:lang w:val="en-AU"/>
        </w:rPr>
        <w:t xml:space="preserve">), appreciates the opportunity to provide input, and wishes to recognize the substantial, high quality work that went into the report. The </w:t>
      </w:r>
      <w:r w:rsidR="00963A69" w:rsidRPr="003E220B">
        <w:rPr>
          <w:rFonts w:ascii="Calibri Light" w:hAnsi="Calibri Light" w:cs="Calibri Light"/>
          <w:lang w:val="en-AU"/>
        </w:rPr>
        <w:t>timing of the upcoming Board workshop limited the depth of the review</w:t>
      </w:r>
      <w:r w:rsidR="00A62FEF" w:rsidRPr="003E220B">
        <w:rPr>
          <w:rFonts w:ascii="Calibri Light" w:hAnsi="Calibri Light" w:cs="Calibri Light"/>
          <w:lang w:val="en-AU"/>
        </w:rPr>
        <w:t xml:space="preserve"> and obviated the opportunity for full Council consideration. However, we believe this brief contains several common sensical </w:t>
      </w:r>
      <w:r w:rsidR="00F01288" w:rsidRPr="003E220B">
        <w:rPr>
          <w:rFonts w:ascii="Calibri Light" w:hAnsi="Calibri Light" w:cs="Calibri Light"/>
          <w:lang w:val="en-AU"/>
        </w:rPr>
        <w:t>observation</w:t>
      </w:r>
      <w:r w:rsidR="00A62FEF" w:rsidRPr="003E220B">
        <w:rPr>
          <w:rFonts w:ascii="Calibri Light" w:hAnsi="Calibri Light" w:cs="Calibri Light"/>
          <w:lang w:val="en-AU"/>
        </w:rPr>
        <w:t xml:space="preserve">s, and </w:t>
      </w:r>
      <w:r w:rsidR="00F01288" w:rsidRPr="003E220B">
        <w:rPr>
          <w:rFonts w:ascii="Calibri Light" w:hAnsi="Calibri Light" w:cs="Calibri Light"/>
          <w:lang w:val="en-AU"/>
        </w:rPr>
        <w:t xml:space="preserve">also </w:t>
      </w:r>
      <w:r w:rsidR="00A62FEF" w:rsidRPr="003E220B">
        <w:rPr>
          <w:rFonts w:ascii="Calibri Light" w:hAnsi="Calibri Light" w:cs="Calibri Light"/>
          <w:lang w:val="en-AU"/>
        </w:rPr>
        <w:t xml:space="preserve">believe that Board consideration of the ODA should not be delayed or tolled in any way. For brevity’s sake we list </w:t>
      </w:r>
      <w:r w:rsidR="002273AE" w:rsidRPr="003E220B">
        <w:rPr>
          <w:rFonts w:ascii="Calibri Light" w:hAnsi="Calibri Light" w:cs="Calibri Light"/>
          <w:lang w:val="en-AU"/>
        </w:rPr>
        <w:t>the observations</w:t>
      </w:r>
      <w:r w:rsidR="00A62FEF" w:rsidRPr="003E220B">
        <w:rPr>
          <w:rFonts w:ascii="Calibri Light" w:hAnsi="Calibri Light" w:cs="Calibri Light"/>
          <w:lang w:val="en-AU"/>
        </w:rPr>
        <w:t xml:space="preserve"> along with the rationale for each. </w:t>
      </w:r>
    </w:p>
    <w:p w14:paraId="58CA96DC" w14:textId="77777777" w:rsidR="00A62FEF" w:rsidRPr="003E220B" w:rsidRDefault="00A62FEF">
      <w:pPr>
        <w:rPr>
          <w:rFonts w:ascii="Calibri Light" w:hAnsi="Calibri Light" w:cs="Calibri Light"/>
          <w:lang w:val="en-AU"/>
        </w:rPr>
      </w:pPr>
    </w:p>
    <w:p w14:paraId="00000009" w14:textId="70644E88" w:rsidR="00E35140" w:rsidRPr="003E220B" w:rsidRDefault="00F01288">
      <w:pPr>
        <w:rPr>
          <w:rFonts w:ascii="Calibri Light" w:hAnsi="Calibri Light" w:cs="Calibri Light"/>
          <w:b/>
          <w:bCs/>
          <w:lang w:val="en-AU"/>
        </w:rPr>
      </w:pPr>
      <w:r w:rsidRPr="003E220B">
        <w:rPr>
          <w:rFonts w:ascii="Calibri Light" w:hAnsi="Calibri Light" w:cs="Calibri Light"/>
          <w:b/>
          <w:bCs/>
          <w:lang w:val="en-AU"/>
        </w:rPr>
        <w:t>Observ</w:t>
      </w:r>
      <w:r w:rsidR="005D41BD" w:rsidRPr="003E220B">
        <w:rPr>
          <w:rFonts w:ascii="Calibri Light" w:hAnsi="Calibri Light" w:cs="Calibri Light"/>
          <w:b/>
          <w:bCs/>
          <w:lang w:val="en-AU"/>
        </w:rPr>
        <w:t xml:space="preserve">ation: The Board should </w:t>
      </w:r>
      <w:r w:rsidR="002273AE" w:rsidRPr="003E220B">
        <w:rPr>
          <w:rFonts w:ascii="Calibri Light" w:hAnsi="Calibri Light" w:cs="Calibri Light"/>
          <w:b/>
          <w:bCs/>
          <w:lang w:val="en-AU"/>
        </w:rPr>
        <w:t xml:space="preserve">complete </w:t>
      </w:r>
      <w:r w:rsidR="005D41BD" w:rsidRPr="003E220B">
        <w:rPr>
          <w:rFonts w:ascii="Calibri Light" w:hAnsi="Calibri Light" w:cs="Calibri Light"/>
          <w:b/>
          <w:bCs/>
          <w:lang w:val="en-AU"/>
        </w:rPr>
        <w:t>consider</w:t>
      </w:r>
      <w:r w:rsidR="002273AE" w:rsidRPr="003E220B">
        <w:rPr>
          <w:rFonts w:ascii="Calibri Light" w:hAnsi="Calibri Light" w:cs="Calibri Light"/>
          <w:b/>
          <w:bCs/>
          <w:lang w:val="en-AU"/>
        </w:rPr>
        <w:t>ation of</w:t>
      </w:r>
      <w:r w:rsidR="005D41BD" w:rsidRPr="003E220B">
        <w:rPr>
          <w:rFonts w:ascii="Calibri Light" w:hAnsi="Calibri Light" w:cs="Calibri Light"/>
          <w:b/>
          <w:bCs/>
          <w:lang w:val="en-AU"/>
        </w:rPr>
        <w:t xml:space="preserve"> </w:t>
      </w:r>
      <w:r w:rsidR="000232C9" w:rsidRPr="003E220B">
        <w:rPr>
          <w:rFonts w:ascii="Calibri Light" w:hAnsi="Calibri Light" w:cs="Calibri Light"/>
          <w:b/>
          <w:bCs/>
          <w:lang w:val="en-AU"/>
        </w:rPr>
        <w:t>the ODA</w:t>
      </w:r>
      <w:r w:rsidR="002273AE" w:rsidRPr="003E220B">
        <w:rPr>
          <w:rFonts w:ascii="Calibri Light" w:hAnsi="Calibri Light" w:cs="Calibri Light"/>
          <w:b/>
          <w:bCs/>
          <w:lang w:val="en-AU"/>
        </w:rPr>
        <w:t>,</w:t>
      </w:r>
      <w:r w:rsidR="005D41BD" w:rsidRPr="003E220B">
        <w:rPr>
          <w:rFonts w:ascii="Calibri Light" w:hAnsi="Calibri Light" w:cs="Calibri Light"/>
          <w:b/>
          <w:bCs/>
          <w:lang w:val="en-AU"/>
        </w:rPr>
        <w:t xml:space="preserve"> </w:t>
      </w:r>
      <w:r w:rsidR="000232C9" w:rsidRPr="003E220B">
        <w:rPr>
          <w:rFonts w:ascii="Calibri Light" w:hAnsi="Calibri Light" w:cs="Calibri Light"/>
          <w:b/>
          <w:bCs/>
          <w:lang w:val="en-AU"/>
        </w:rPr>
        <w:t>go on to approve the SubPro Policy Recommendations</w:t>
      </w:r>
      <w:r w:rsidR="006516A4" w:rsidRPr="003E220B">
        <w:rPr>
          <w:rFonts w:ascii="Calibri Light" w:hAnsi="Calibri Light" w:cs="Calibri Light"/>
          <w:b/>
          <w:bCs/>
          <w:lang w:val="en-AU"/>
        </w:rPr>
        <w:t>,</w:t>
      </w:r>
      <w:r w:rsidR="000232C9" w:rsidRPr="003E220B">
        <w:rPr>
          <w:rFonts w:ascii="Calibri Light" w:hAnsi="Calibri Light" w:cs="Calibri Light"/>
          <w:b/>
          <w:bCs/>
          <w:lang w:val="en-AU"/>
        </w:rPr>
        <w:t xml:space="preserve"> and launch the IRT at the earliest, with no iteration of the ODA or delays </w:t>
      </w:r>
      <w:proofErr w:type="gramStart"/>
      <w:r w:rsidR="006516A4" w:rsidRPr="003E220B">
        <w:rPr>
          <w:rFonts w:ascii="Calibri Light" w:hAnsi="Calibri Light" w:cs="Calibri Light"/>
          <w:b/>
          <w:bCs/>
          <w:lang w:val="en-AU"/>
        </w:rPr>
        <w:t>to allow</w:t>
      </w:r>
      <w:proofErr w:type="gramEnd"/>
      <w:r w:rsidR="006516A4" w:rsidRPr="003E220B">
        <w:rPr>
          <w:rFonts w:ascii="Calibri Light" w:hAnsi="Calibri Light" w:cs="Calibri Light"/>
          <w:b/>
          <w:bCs/>
          <w:lang w:val="en-AU"/>
        </w:rPr>
        <w:t xml:space="preserve"> for additional</w:t>
      </w:r>
      <w:r w:rsidR="000232C9" w:rsidRPr="003E220B">
        <w:rPr>
          <w:rFonts w:ascii="Calibri Light" w:hAnsi="Calibri Light" w:cs="Calibri Light"/>
          <w:b/>
          <w:bCs/>
          <w:lang w:val="en-AU"/>
        </w:rPr>
        <w:t xml:space="preserve"> public comment. </w:t>
      </w:r>
    </w:p>
    <w:p w14:paraId="4B09263B" w14:textId="59E3F242" w:rsidR="007D47F0" w:rsidRPr="003E220B" w:rsidRDefault="007D47F0" w:rsidP="007D47F0">
      <w:pPr>
        <w:pStyle w:val="ListParagraph"/>
        <w:numPr>
          <w:ilvl w:val="0"/>
          <w:numId w:val="3"/>
        </w:numPr>
        <w:rPr>
          <w:rFonts w:ascii="Calibri Light" w:hAnsi="Calibri Light" w:cs="Calibri Light"/>
          <w:lang w:val="en-AU"/>
        </w:rPr>
      </w:pPr>
      <w:r w:rsidRPr="003E220B">
        <w:rPr>
          <w:rFonts w:ascii="Calibri Light" w:hAnsi="Calibri Light" w:cs="Calibri Light"/>
          <w:lang w:val="en-AU"/>
        </w:rPr>
        <w:t xml:space="preserve">the </w:t>
      </w:r>
      <w:r w:rsidRPr="003E220B">
        <w:rPr>
          <w:rFonts w:ascii="Calibri Light" w:hAnsi="Calibri Light" w:cs="Calibri Light"/>
          <w:lang w:val="en-AU"/>
        </w:rPr>
        <w:t xml:space="preserve">ODA </w:t>
      </w:r>
      <w:r w:rsidR="002273AE" w:rsidRPr="003E220B">
        <w:rPr>
          <w:rFonts w:ascii="Calibri Light" w:hAnsi="Calibri Light" w:cs="Calibri Light"/>
          <w:lang w:val="en-AU"/>
        </w:rPr>
        <w:t>made a number of observations</w:t>
      </w:r>
      <w:r w:rsidRPr="003E220B">
        <w:rPr>
          <w:rFonts w:ascii="Calibri Light" w:hAnsi="Calibri Light" w:cs="Calibri Light"/>
          <w:lang w:val="en-AU"/>
        </w:rPr>
        <w:t xml:space="preserve"> that</w:t>
      </w:r>
      <w:r w:rsidR="002273AE" w:rsidRPr="003E220B">
        <w:rPr>
          <w:rFonts w:ascii="Calibri Light" w:hAnsi="Calibri Light" w:cs="Calibri Light"/>
          <w:lang w:val="en-AU"/>
        </w:rPr>
        <w:t xml:space="preserve"> support adoption of the policy recommendations</w:t>
      </w:r>
      <w:r w:rsidRPr="003E220B">
        <w:rPr>
          <w:rFonts w:ascii="Calibri Light" w:hAnsi="Calibri Light" w:cs="Calibri Light"/>
          <w:lang w:val="en-AU"/>
        </w:rPr>
        <w:t>:</w:t>
      </w:r>
      <w:r w:rsidRPr="003E220B">
        <w:rPr>
          <w:rFonts w:ascii="Calibri Light" w:hAnsi="Calibri Light" w:cs="Calibri Light"/>
          <w:lang w:val="en-AU"/>
        </w:rPr>
        <w:t xml:space="preserve"> </w:t>
      </w:r>
    </w:p>
    <w:p w14:paraId="7D84CB46" w14:textId="494CA1AF" w:rsidR="007D47F0" w:rsidRPr="003E220B" w:rsidRDefault="007D47F0" w:rsidP="007D47F0">
      <w:pPr>
        <w:pStyle w:val="ListParagraph"/>
        <w:numPr>
          <w:ilvl w:val="1"/>
          <w:numId w:val="3"/>
        </w:numPr>
        <w:rPr>
          <w:rFonts w:ascii="Calibri Light" w:hAnsi="Calibri Light" w:cs="Calibri Light"/>
          <w:lang w:val="en-AU"/>
        </w:rPr>
      </w:pPr>
      <w:r w:rsidRPr="003E220B">
        <w:rPr>
          <w:rFonts w:ascii="Calibri Light" w:hAnsi="Calibri Light" w:cs="Calibri Light"/>
          <w:lang w:val="en-AU"/>
        </w:rPr>
        <w:t>“a majority of the SubPro Final Report outputs are implementable and can be embodied in the New gTLD Program</w:t>
      </w:r>
      <w:r w:rsidRPr="003E220B">
        <w:rPr>
          <w:rFonts w:ascii="Calibri Light" w:hAnsi="Calibri Light" w:cs="Calibri Light"/>
          <w:lang w:val="en-AU"/>
        </w:rPr>
        <w:t>,</w:t>
      </w:r>
      <w:r w:rsidRPr="003E220B">
        <w:rPr>
          <w:rFonts w:ascii="Calibri Light" w:hAnsi="Calibri Light" w:cs="Calibri Light"/>
          <w:lang w:val="en-AU"/>
        </w:rPr>
        <w:t xml:space="preserve">” </w:t>
      </w:r>
    </w:p>
    <w:p w14:paraId="71FC577F" w14:textId="2A20ADFD" w:rsidR="007D47F0" w:rsidRPr="003E220B" w:rsidRDefault="007D47F0" w:rsidP="007D47F0">
      <w:pPr>
        <w:pStyle w:val="ListParagraph"/>
        <w:numPr>
          <w:ilvl w:val="1"/>
          <w:numId w:val="3"/>
        </w:numPr>
        <w:rPr>
          <w:rFonts w:ascii="Calibri Light" w:hAnsi="Calibri Light" w:cs="Calibri Light"/>
          <w:lang w:val="en-AU"/>
        </w:rPr>
      </w:pPr>
      <w:r w:rsidRPr="003E220B">
        <w:rPr>
          <w:rFonts w:ascii="Calibri Light" w:hAnsi="Calibri Light" w:cs="Calibri Light"/>
          <w:lang w:val="en-AU"/>
        </w:rPr>
        <w:t>“the SubPro Final Report outputs encompass mechanisms to support diversity, predictability, and innovation</w:t>
      </w:r>
      <w:r w:rsidRPr="003E220B">
        <w:rPr>
          <w:rFonts w:ascii="Calibri Light" w:hAnsi="Calibri Light" w:cs="Calibri Light"/>
          <w:lang w:val="en-AU"/>
        </w:rPr>
        <w:t>,</w:t>
      </w:r>
      <w:r w:rsidRPr="003E220B">
        <w:rPr>
          <w:rFonts w:ascii="Calibri Light" w:hAnsi="Calibri Light" w:cs="Calibri Light"/>
          <w:lang w:val="en-AU"/>
        </w:rPr>
        <w:t xml:space="preserve">” </w:t>
      </w:r>
      <w:r w:rsidRPr="003E220B">
        <w:rPr>
          <w:rFonts w:ascii="Calibri Light" w:hAnsi="Calibri Light" w:cs="Calibri Light"/>
          <w:lang w:val="en-AU"/>
        </w:rPr>
        <w:t>and</w:t>
      </w:r>
    </w:p>
    <w:p w14:paraId="401685C2" w14:textId="1FCFAB1B" w:rsidR="007D47F0" w:rsidRPr="003E220B" w:rsidRDefault="007D47F0" w:rsidP="007D47F0">
      <w:pPr>
        <w:pStyle w:val="ListParagraph"/>
        <w:numPr>
          <w:ilvl w:val="1"/>
          <w:numId w:val="3"/>
        </w:numPr>
        <w:rPr>
          <w:rFonts w:ascii="Calibri Light" w:hAnsi="Calibri Light" w:cs="Calibri Light"/>
          <w:lang w:val="en-AU"/>
        </w:rPr>
      </w:pPr>
      <w:r w:rsidRPr="003E220B">
        <w:rPr>
          <w:rFonts w:ascii="Calibri Light" w:hAnsi="Calibri Light" w:cs="Calibri Light"/>
          <w:lang w:val="en-AU"/>
        </w:rPr>
        <w:t>“the Global Public Interest (GPI) was central to the discussions involved in this Policy Development Process (PDP)</w:t>
      </w:r>
      <w:r w:rsidRPr="003E220B">
        <w:rPr>
          <w:rFonts w:ascii="Calibri Light" w:hAnsi="Calibri Light" w:cs="Calibri Light"/>
          <w:lang w:val="en-AU"/>
        </w:rPr>
        <w:t>.</w:t>
      </w:r>
      <w:r w:rsidRPr="003E220B">
        <w:rPr>
          <w:rFonts w:ascii="Calibri Light" w:hAnsi="Calibri Light" w:cs="Calibri Light"/>
          <w:lang w:val="en-AU"/>
        </w:rPr>
        <w:t>”</w:t>
      </w:r>
    </w:p>
    <w:p w14:paraId="7CE3EAA5" w14:textId="2A5E85D5" w:rsidR="007D47F0" w:rsidRPr="003E220B" w:rsidRDefault="007D47F0" w:rsidP="007D47F0">
      <w:pPr>
        <w:pStyle w:val="ListParagraph"/>
        <w:numPr>
          <w:ilvl w:val="0"/>
          <w:numId w:val="3"/>
        </w:numPr>
        <w:rPr>
          <w:rFonts w:ascii="Calibri Light" w:hAnsi="Calibri Light" w:cs="Calibri Light"/>
          <w:lang w:val="en-AU"/>
        </w:rPr>
      </w:pPr>
      <w:r w:rsidRPr="003E220B">
        <w:rPr>
          <w:rFonts w:ascii="Calibri Light" w:hAnsi="Calibri Light" w:cs="Calibri Light"/>
          <w:lang w:val="en-AU"/>
        </w:rPr>
        <w:t xml:space="preserve">Council </w:t>
      </w:r>
      <w:r w:rsidR="008F44ED" w:rsidRPr="003E220B">
        <w:rPr>
          <w:rFonts w:ascii="Calibri Light" w:hAnsi="Calibri Light" w:cs="Calibri Light"/>
          <w:lang w:val="en-AU"/>
        </w:rPr>
        <w:t>(</w:t>
      </w:r>
      <w:r w:rsidR="006D6917" w:rsidRPr="003E220B">
        <w:rPr>
          <w:rFonts w:ascii="Calibri Light" w:hAnsi="Calibri Light" w:cs="Calibri Light"/>
          <w:lang w:val="en-AU"/>
        </w:rPr>
        <w:t xml:space="preserve">and Bylaw </w:t>
      </w:r>
      <w:r w:rsidRPr="003E220B">
        <w:rPr>
          <w:rFonts w:ascii="Calibri Light" w:hAnsi="Calibri Light" w:cs="Calibri Light"/>
          <w:lang w:val="en-AU"/>
        </w:rPr>
        <w:t>objective</w:t>
      </w:r>
      <w:r w:rsidR="008F44ED" w:rsidRPr="003E220B">
        <w:rPr>
          <w:rFonts w:ascii="Calibri Light" w:hAnsi="Calibri Light" w:cs="Calibri Light"/>
          <w:lang w:val="en-AU"/>
        </w:rPr>
        <w:t>s)</w:t>
      </w:r>
      <w:r w:rsidRPr="003E220B">
        <w:rPr>
          <w:rFonts w:ascii="Calibri Light" w:hAnsi="Calibri Light" w:cs="Calibri Light"/>
          <w:lang w:val="en-AU"/>
        </w:rPr>
        <w:t xml:space="preserve"> include the timely approval of </w:t>
      </w:r>
      <w:r w:rsidR="006D6917" w:rsidRPr="003E220B">
        <w:rPr>
          <w:rFonts w:ascii="Calibri Light" w:hAnsi="Calibri Light" w:cs="Calibri Light"/>
          <w:lang w:val="en-AU"/>
        </w:rPr>
        <w:t>the Council’s unanimous</w:t>
      </w:r>
      <w:r w:rsidR="008F44ED" w:rsidRPr="003E220B">
        <w:rPr>
          <w:rFonts w:ascii="Calibri Light" w:hAnsi="Calibri Light" w:cs="Calibri Light"/>
          <w:lang w:val="en-AU"/>
        </w:rPr>
        <w:t>ly adopted</w:t>
      </w:r>
      <w:r w:rsidR="006D6917" w:rsidRPr="003E220B">
        <w:rPr>
          <w:rFonts w:ascii="Calibri Light" w:hAnsi="Calibri Light" w:cs="Calibri Light"/>
          <w:lang w:val="en-AU"/>
        </w:rPr>
        <w:t xml:space="preserve"> </w:t>
      </w:r>
      <w:r w:rsidR="008F44ED" w:rsidRPr="003E220B">
        <w:rPr>
          <w:rFonts w:ascii="Calibri Light" w:hAnsi="Calibri Light" w:cs="Calibri Light"/>
          <w:lang w:val="en-AU"/>
        </w:rPr>
        <w:t xml:space="preserve">SubPro </w:t>
      </w:r>
      <w:r w:rsidR="006D6917" w:rsidRPr="003E220B">
        <w:rPr>
          <w:rFonts w:ascii="Calibri Light" w:hAnsi="Calibri Light" w:cs="Calibri Light"/>
          <w:lang w:val="en-AU"/>
        </w:rPr>
        <w:t>recommendations</w:t>
      </w:r>
      <w:r w:rsidR="006516A4" w:rsidRPr="003E220B">
        <w:rPr>
          <w:rFonts w:ascii="Calibri Light" w:hAnsi="Calibri Light" w:cs="Calibri Light"/>
          <w:lang w:val="en-AU"/>
        </w:rPr>
        <w:t>, which were informed by several years of public participation.</w:t>
      </w:r>
    </w:p>
    <w:p w14:paraId="749FF5A1" w14:textId="3A3BE95D" w:rsidR="006D6917" w:rsidRPr="003E220B" w:rsidRDefault="006D6917" w:rsidP="007D47F0">
      <w:pPr>
        <w:pStyle w:val="ListParagraph"/>
        <w:numPr>
          <w:ilvl w:val="0"/>
          <w:numId w:val="3"/>
        </w:numPr>
        <w:rPr>
          <w:rFonts w:ascii="Calibri Light" w:hAnsi="Calibri Light" w:cs="Calibri Light"/>
          <w:lang w:val="en-AU"/>
        </w:rPr>
      </w:pPr>
      <w:r w:rsidRPr="003E220B">
        <w:rPr>
          <w:rFonts w:ascii="Calibri Light" w:hAnsi="Calibri Light" w:cs="Calibri Light"/>
          <w:lang w:val="en-AU"/>
        </w:rPr>
        <w:t xml:space="preserve">The few remaining recommendations </w:t>
      </w:r>
      <w:r w:rsidR="005A2830" w:rsidRPr="003E220B">
        <w:rPr>
          <w:rFonts w:ascii="Calibri Light" w:hAnsi="Calibri Light" w:cs="Calibri Light"/>
          <w:lang w:val="en-AU"/>
        </w:rPr>
        <w:t xml:space="preserve">where </w:t>
      </w:r>
      <w:r w:rsidR="001D60BF" w:rsidRPr="003E220B">
        <w:rPr>
          <w:rFonts w:ascii="Calibri Light" w:hAnsi="Calibri Light" w:cs="Calibri Light"/>
          <w:lang w:val="en-AU"/>
        </w:rPr>
        <w:t xml:space="preserve">the ODA </w:t>
      </w:r>
      <w:proofErr w:type="spellStart"/>
      <w:r w:rsidR="001D60BF" w:rsidRPr="003E220B">
        <w:rPr>
          <w:rFonts w:ascii="Calibri Light" w:hAnsi="Calibri Light" w:cs="Calibri Light"/>
          <w:lang w:val="en-AU"/>
        </w:rPr>
        <w:t>signaled</w:t>
      </w:r>
      <w:proofErr w:type="spellEnd"/>
      <w:r w:rsidR="001D60BF" w:rsidRPr="003E220B">
        <w:rPr>
          <w:rFonts w:ascii="Calibri Light" w:hAnsi="Calibri Light" w:cs="Calibri Light"/>
          <w:lang w:val="en-AU"/>
        </w:rPr>
        <w:t xml:space="preserve"> that </w:t>
      </w:r>
      <w:r w:rsidR="008F44ED" w:rsidRPr="003E220B">
        <w:rPr>
          <w:rFonts w:ascii="Calibri Light" w:hAnsi="Calibri Light" w:cs="Calibri Light"/>
          <w:lang w:val="en-AU"/>
        </w:rPr>
        <w:t>un</w:t>
      </w:r>
      <w:r w:rsidR="005A2830" w:rsidRPr="003E220B">
        <w:rPr>
          <w:rFonts w:ascii="Calibri Light" w:hAnsi="Calibri Light" w:cs="Calibri Light"/>
          <w:lang w:val="en-AU"/>
        </w:rPr>
        <w:t xml:space="preserve">certainty </w:t>
      </w:r>
      <w:r w:rsidR="001D60BF" w:rsidRPr="003E220B">
        <w:rPr>
          <w:rFonts w:ascii="Calibri Light" w:hAnsi="Calibri Light" w:cs="Calibri Light"/>
          <w:lang w:val="en-AU"/>
        </w:rPr>
        <w:t xml:space="preserve">or risk </w:t>
      </w:r>
      <w:r w:rsidR="005A2830" w:rsidRPr="003E220B">
        <w:rPr>
          <w:rFonts w:ascii="Calibri Light" w:hAnsi="Calibri Light" w:cs="Calibri Light"/>
          <w:lang w:val="en-AU"/>
        </w:rPr>
        <w:t>remains (</w:t>
      </w:r>
      <w:r w:rsidR="001D60BF" w:rsidRPr="003E220B">
        <w:rPr>
          <w:rFonts w:ascii="Calibri Light" w:hAnsi="Calibri Light" w:cs="Calibri Light"/>
          <w:lang w:val="en-AU"/>
        </w:rPr>
        <w:t>i</w:t>
      </w:r>
      <w:r w:rsidR="005A2830" w:rsidRPr="003E220B">
        <w:rPr>
          <w:rFonts w:ascii="Calibri Light" w:hAnsi="Calibri Light" w:cs="Calibri Light"/>
          <w:lang w:val="en-AU"/>
        </w:rPr>
        <w:t>.</w:t>
      </w:r>
      <w:r w:rsidR="001D60BF" w:rsidRPr="003E220B">
        <w:rPr>
          <w:rFonts w:ascii="Calibri Light" w:hAnsi="Calibri Light" w:cs="Calibri Light"/>
          <w:lang w:val="en-AU"/>
        </w:rPr>
        <w:t>e</w:t>
      </w:r>
      <w:r w:rsidR="005A2830" w:rsidRPr="003E220B">
        <w:rPr>
          <w:rFonts w:ascii="Calibri Light" w:hAnsi="Calibri Light" w:cs="Calibri Light"/>
          <w:lang w:val="en-AU"/>
        </w:rPr>
        <w:t xml:space="preserve">., </w:t>
      </w:r>
      <w:r w:rsidR="008F44ED" w:rsidRPr="003E220B">
        <w:rPr>
          <w:rFonts w:ascii="Calibri Light" w:hAnsi="Calibri Light" w:cs="Calibri Light"/>
          <w:lang w:val="en-AU"/>
        </w:rPr>
        <w:t xml:space="preserve">the handling of </w:t>
      </w:r>
      <w:r w:rsidR="005A2830" w:rsidRPr="003E220B">
        <w:rPr>
          <w:rFonts w:ascii="Calibri Light" w:hAnsi="Calibri Light" w:cs="Calibri Light"/>
          <w:lang w:val="en-AU"/>
        </w:rPr>
        <w:t>CPE</w:t>
      </w:r>
      <w:r w:rsidR="008F44ED" w:rsidRPr="003E220B">
        <w:rPr>
          <w:rFonts w:ascii="Calibri Light" w:hAnsi="Calibri Light" w:cs="Calibri Light"/>
          <w:lang w:val="en-AU"/>
        </w:rPr>
        <w:t>s</w:t>
      </w:r>
      <w:r w:rsidR="001D60BF" w:rsidRPr="003E220B">
        <w:rPr>
          <w:rFonts w:ascii="Calibri Light" w:hAnsi="Calibri Light" w:cs="Calibri Light"/>
          <w:lang w:val="en-AU"/>
        </w:rPr>
        <w:t xml:space="preserve">, the scope of appeals and </w:t>
      </w:r>
      <w:r w:rsidR="006516A4" w:rsidRPr="003E220B">
        <w:rPr>
          <w:rFonts w:ascii="Calibri Light" w:hAnsi="Calibri Light" w:cs="Calibri Light"/>
          <w:lang w:val="en-AU"/>
        </w:rPr>
        <w:t>challenge</w:t>
      </w:r>
      <w:r w:rsidR="001D60BF" w:rsidRPr="003E220B">
        <w:rPr>
          <w:rFonts w:ascii="Calibri Light" w:hAnsi="Calibri Light" w:cs="Calibri Light"/>
          <w:lang w:val="en-AU"/>
        </w:rPr>
        <w:t xml:space="preserve"> mechanisms, </w:t>
      </w:r>
      <w:r w:rsidR="008F44ED" w:rsidRPr="003E220B">
        <w:rPr>
          <w:rFonts w:ascii="Calibri Light" w:hAnsi="Calibri Light" w:cs="Calibri Light"/>
          <w:lang w:val="en-AU"/>
        </w:rPr>
        <w:t>and other contention resolution mechanisms</w:t>
      </w:r>
      <w:r w:rsidR="005A2830" w:rsidRPr="003E220B">
        <w:rPr>
          <w:rFonts w:ascii="Calibri Light" w:hAnsi="Calibri Light" w:cs="Calibri Light"/>
          <w:lang w:val="en-AU"/>
        </w:rPr>
        <w:t xml:space="preserve">) are better left to implementation where public iteration </w:t>
      </w:r>
      <w:r w:rsidR="00F01288" w:rsidRPr="003E220B">
        <w:rPr>
          <w:rFonts w:ascii="Calibri Light" w:hAnsi="Calibri Light" w:cs="Calibri Light"/>
          <w:lang w:val="en-AU"/>
        </w:rPr>
        <w:t>is instrumental</w:t>
      </w:r>
      <w:r w:rsidR="008F44ED" w:rsidRPr="003E220B">
        <w:rPr>
          <w:rFonts w:ascii="Calibri Light" w:hAnsi="Calibri Light" w:cs="Calibri Light"/>
          <w:lang w:val="en-AU"/>
        </w:rPr>
        <w:t xml:space="preserve">; in fact, such issues are the IRT’s raison d’être. </w:t>
      </w:r>
    </w:p>
    <w:p w14:paraId="30473E45" w14:textId="382CADB1" w:rsidR="000232C9" w:rsidRPr="003E220B" w:rsidRDefault="000232C9">
      <w:pPr>
        <w:rPr>
          <w:rFonts w:ascii="Calibri Light" w:hAnsi="Calibri Light" w:cs="Calibri Light"/>
          <w:lang w:val="en-AU"/>
        </w:rPr>
      </w:pPr>
    </w:p>
    <w:p w14:paraId="251023DD" w14:textId="3820572A" w:rsidR="000232C9" w:rsidRPr="003E220B" w:rsidRDefault="00F01288">
      <w:pPr>
        <w:rPr>
          <w:rFonts w:ascii="Calibri Light" w:hAnsi="Calibri Light" w:cs="Calibri Light"/>
          <w:b/>
          <w:bCs/>
          <w:lang w:val="en-AU"/>
        </w:rPr>
      </w:pPr>
      <w:r w:rsidRPr="003E220B">
        <w:rPr>
          <w:rFonts w:ascii="Calibri Light" w:hAnsi="Calibri Light" w:cs="Calibri Light"/>
          <w:b/>
          <w:bCs/>
          <w:lang w:val="en-AU"/>
        </w:rPr>
        <w:t xml:space="preserve">Observation: The Board need not choose between the Options in order to approve the SubPro recommendations and initiate the IRT. </w:t>
      </w:r>
    </w:p>
    <w:p w14:paraId="6E7BD0E5" w14:textId="115BEB1E" w:rsidR="002B6A5A" w:rsidRPr="003E220B" w:rsidRDefault="002B6A5A" w:rsidP="002B6A5A">
      <w:pPr>
        <w:pStyle w:val="ListParagraph"/>
        <w:numPr>
          <w:ilvl w:val="0"/>
          <w:numId w:val="4"/>
        </w:numPr>
        <w:rPr>
          <w:rFonts w:ascii="Calibri Light" w:hAnsi="Calibri Light" w:cs="Calibri Light"/>
          <w:lang w:val="en-AU"/>
        </w:rPr>
      </w:pPr>
      <w:r w:rsidRPr="003E220B">
        <w:rPr>
          <w:rFonts w:ascii="Calibri Light" w:hAnsi="Calibri Light" w:cs="Calibri Light"/>
          <w:lang w:val="en-AU"/>
        </w:rPr>
        <w:t xml:space="preserve">The small team was unable to </w:t>
      </w:r>
      <w:r w:rsidRPr="003E220B">
        <w:rPr>
          <w:rFonts w:ascii="Calibri Light" w:hAnsi="Calibri Light" w:cs="Calibri Light"/>
          <w:lang w:val="en-AU"/>
        </w:rPr>
        <w:t>draw a bright-line distinction</w:t>
      </w:r>
      <w:r w:rsidRPr="003E220B">
        <w:rPr>
          <w:rFonts w:ascii="Calibri Light" w:hAnsi="Calibri Light" w:cs="Calibri Light"/>
          <w:lang w:val="en-AU"/>
        </w:rPr>
        <w:t xml:space="preserve"> </w:t>
      </w:r>
      <w:r w:rsidR="005B3221" w:rsidRPr="003E220B">
        <w:rPr>
          <w:rFonts w:ascii="Calibri Light" w:hAnsi="Calibri Light" w:cs="Calibri Light"/>
          <w:lang w:val="en-AU"/>
        </w:rPr>
        <w:t xml:space="preserve">between </w:t>
      </w:r>
      <w:r w:rsidRPr="003E220B">
        <w:rPr>
          <w:rFonts w:ascii="Calibri Light" w:hAnsi="Calibri Light" w:cs="Calibri Light"/>
          <w:lang w:val="en-AU"/>
        </w:rPr>
        <w:t>Options 1 and 2</w:t>
      </w:r>
      <w:r w:rsidRPr="003E220B">
        <w:rPr>
          <w:rFonts w:ascii="Calibri Light" w:hAnsi="Calibri Light" w:cs="Calibri Light"/>
          <w:lang w:val="en-AU"/>
        </w:rPr>
        <w:t xml:space="preserve"> and believes the Board </w:t>
      </w:r>
      <w:r w:rsidR="005B3221" w:rsidRPr="003E220B">
        <w:rPr>
          <w:rFonts w:ascii="Calibri Light" w:hAnsi="Calibri Light" w:cs="Calibri Light"/>
          <w:lang w:val="en-AU"/>
        </w:rPr>
        <w:t>and community suffer</w:t>
      </w:r>
      <w:r w:rsidR="008F44ED" w:rsidRPr="003E220B">
        <w:rPr>
          <w:rFonts w:ascii="Calibri Light" w:hAnsi="Calibri Light" w:cs="Calibri Light"/>
          <w:lang w:val="en-AU"/>
        </w:rPr>
        <w:t>s</w:t>
      </w:r>
      <w:r w:rsidR="005B3221" w:rsidRPr="003E220B">
        <w:rPr>
          <w:rFonts w:ascii="Calibri Light" w:hAnsi="Calibri Light" w:cs="Calibri Light"/>
          <w:lang w:val="en-AU"/>
        </w:rPr>
        <w:t xml:space="preserve"> the same confusion </w:t>
      </w:r>
      <w:r w:rsidR="006516A4" w:rsidRPr="003E220B">
        <w:rPr>
          <w:rFonts w:ascii="Calibri Light" w:hAnsi="Calibri Light" w:cs="Calibri Light"/>
          <w:lang w:val="en-AU"/>
        </w:rPr>
        <w:t>absent</w:t>
      </w:r>
      <w:r w:rsidR="008F44ED" w:rsidRPr="003E220B">
        <w:rPr>
          <w:rFonts w:ascii="Calibri Light" w:hAnsi="Calibri Light" w:cs="Calibri Light"/>
          <w:lang w:val="en-AU"/>
        </w:rPr>
        <w:t xml:space="preserve"> </w:t>
      </w:r>
      <w:r w:rsidR="005B3221" w:rsidRPr="003E220B">
        <w:rPr>
          <w:rFonts w:ascii="Calibri Light" w:hAnsi="Calibri Light" w:cs="Calibri Light"/>
          <w:lang w:val="en-AU"/>
        </w:rPr>
        <w:t>additional</w:t>
      </w:r>
      <w:r w:rsidR="0085494E" w:rsidRPr="003E220B">
        <w:rPr>
          <w:rFonts w:ascii="Calibri Light" w:hAnsi="Calibri Light" w:cs="Calibri Light"/>
          <w:lang w:val="en-AU"/>
        </w:rPr>
        <w:t>,</w:t>
      </w:r>
      <w:r w:rsidR="005B3221" w:rsidRPr="003E220B">
        <w:rPr>
          <w:rFonts w:ascii="Calibri Light" w:hAnsi="Calibri Light" w:cs="Calibri Light"/>
          <w:lang w:val="en-AU"/>
        </w:rPr>
        <w:t xml:space="preserve"> </w:t>
      </w:r>
      <w:r w:rsidR="0085494E" w:rsidRPr="003E220B">
        <w:rPr>
          <w:rFonts w:ascii="Calibri Light" w:hAnsi="Calibri Light" w:cs="Calibri Light"/>
          <w:lang w:val="en-AU"/>
        </w:rPr>
        <w:t xml:space="preserve">detailed </w:t>
      </w:r>
      <w:r w:rsidR="005B3221" w:rsidRPr="003E220B">
        <w:rPr>
          <w:rFonts w:ascii="Calibri Light" w:hAnsi="Calibri Light" w:cs="Calibri Light"/>
          <w:lang w:val="en-AU"/>
        </w:rPr>
        <w:t>briefings</w:t>
      </w:r>
      <w:r w:rsidR="0085494E" w:rsidRPr="003E220B">
        <w:rPr>
          <w:rFonts w:ascii="Calibri Light" w:hAnsi="Calibri Light" w:cs="Calibri Light"/>
          <w:lang w:val="en-AU"/>
        </w:rPr>
        <w:t>, which would absorb scarce staff, Board and community time.</w:t>
      </w:r>
    </w:p>
    <w:p w14:paraId="0E102A28" w14:textId="51C1326A" w:rsidR="000C185A" w:rsidRPr="003E220B" w:rsidRDefault="000C185A" w:rsidP="002B6A5A">
      <w:pPr>
        <w:pStyle w:val="ListParagraph"/>
        <w:numPr>
          <w:ilvl w:val="0"/>
          <w:numId w:val="4"/>
        </w:numPr>
        <w:rPr>
          <w:rFonts w:ascii="Calibri Light" w:hAnsi="Calibri Light" w:cs="Calibri Light"/>
          <w:lang w:val="en-AU"/>
        </w:rPr>
      </w:pPr>
      <w:r w:rsidRPr="003E220B">
        <w:rPr>
          <w:rFonts w:ascii="Calibri Light" w:hAnsi="Calibri Light" w:cs="Calibri Light"/>
          <w:lang w:val="en-AU"/>
        </w:rPr>
        <w:t xml:space="preserve">Working through the </w:t>
      </w:r>
      <w:r w:rsidR="006516A4" w:rsidRPr="003E220B">
        <w:rPr>
          <w:rFonts w:ascii="Calibri Light" w:hAnsi="Calibri Light" w:cs="Calibri Light"/>
          <w:lang w:val="en-AU"/>
        </w:rPr>
        <w:t>O</w:t>
      </w:r>
      <w:r w:rsidRPr="003E220B">
        <w:rPr>
          <w:rFonts w:ascii="Calibri Light" w:hAnsi="Calibri Light" w:cs="Calibri Light"/>
          <w:lang w:val="en-AU"/>
        </w:rPr>
        <w:t xml:space="preserve">ptions during IRT will provide the opportunity to ameliorate the “sticker shock” caused by the ODA pricing model. </w:t>
      </w:r>
    </w:p>
    <w:p w14:paraId="15E970B4" w14:textId="0CB6B2A9" w:rsidR="00B40A45" w:rsidRPr="003E220B" w:rsidRDefault="00B40A45" w:rsidP="002B6A5A">
      <w:pPr>
        <w:pStyle w:val="ListParagraph"/>
        <w:numPr>
          <w:ilvl w:val="0"/>
          <w:numId w:val="4"/>
        </w:numPr>
        <w:rPr>
          <w:rFonts w:ascii="Calibri Light" w:hAnsi="Calibri Light" w:cs="Calibri Light"/>
          <w:lang w:val="en-AU"/>
        </w:rPr>
      </w:pPr>
      <w:r w:rsidRPr="003E220B">
        <w:rPr>
          <w:rFonts w:ascii="Calibri Light" w:hAnsi="Calibri Light" w:cs="Calibri Light"/>
          <w:lang w:val="en-AU"/>
        </w:rPr>
        <w:t xml:space="preserve">It makes more sense to pick from </w:t>
      </w:r>
      <w:r w:rsidR="006516A4" w:rsidRPr="003E220B">
        <w:rPr>
          <w:rFonts w:ascii="Calibri Light" w:hAnsi="Calibri Light" w:cs="Calibri Light"/>
          <w:lang w:val="en-AU"/>
        </w:rPr>
        <w:t>“</w:t>
      </w:r>
      <w:r w:rsidRPr="003E220B">
        <w:rPr>
          <w:rFonts w:ascii="Calibri Light" w:hAnsi="Calibri Light" w:cs="Calibri Light"/>
          <w:lang w:val="en-AU"/>
        </w:rPr>
        <w:t>column A and B</w:t>
      </w:r>
      <w:r w:rsidR="006516A4" w:rsidRPr="003E220B">
        <w:rPr>
          <w:rFonts w:ascii="Calibri Light" w:hAnsi="Calibri Light" w:cs="Calibri Light"/>
          <w:lang w:val="en-AU"/>
        </w:rPr>
        <w:t>”</w:t>
      </w:r>
      <w:r w:rsidRPr="003E220B">
        <w:rPr>
          <w:rFonts w:ascii="Calibri Light" w:hAnsi="Calibri Light" w:cs="Calibri Light"/>
          <w:lang w:val="en-AU"/>
        </w:rPr>
        <w:t xml:space="preserve"> during implementation as the risks and </w:t>
      </w:r>
      <w:r w:rsidR="0085494E" w:rsidRPr="003E220B">
        <w:rPr>
          <w:rFonts w:ascii="Calibri Light" w:hAnsi="Calibri Light" w:cs="Calibri Light"/>
          <w:lang w:val="en-AU"/>
        </w:rPr>
        <w:t>benefit</w:t>
      </w:r>
      <w:r w:rsidRPr="003E220B">
        <w:rPr>
          <w:rFonts w:ascii="Calibri Light" w:hAnsi="Calibri Light" w:cs="Calibri Light"/>
          <w:lang w:val="en-AU"/>
        </w:rPr>
        <w:t xml:space="preserve">s </w:t>
      </w:r>
      <w:r w:rsidR="006516A4" w:rsidRPr="003E220B">
        <w:rPr>
          <w:rFonts w:ascii="Calibri Light" w:hAnsi="Calibri Light" w:cs="Calibri Light"/>
          <w:lang w:val="en-AU"/>
        </w:rPr>
        <w:t xml:space="preserve">will </w:t>
      </w:r>
      <w:r w:rsidRPr="003E220B">
        <w:rPr>
          <w:rFonts w:ascii="Calibri Light" w:hAnsi="Calibri Light" w:cs="Calibri Light"/>
          <w:lang w:val="en-AU"/>
        </w:rPr>
        <w:t>become clear</w:t>
      </w:r>
      <w:r w:rsidR="006516A4" w:rsidRPr="003E220B">
        <w:rPr>
          <w:rFonts w:ascii="Calibri Light" w:hAnsi="Calibri Light" w:cs="Calibri Light"/>
          <w:lang w:val="en-AU"/>
        </w:rPr>
        <w:t xml:space="preserve"> during that phase</w:t>
      </w:r>
      <w:r w:rsidRPr="003E220B">
        <w:rPr>
          <w:rFonts w:ascii="Calibri Light" w:hAnsi="Calibri Light" w:cs="Calibri Light"/>
          <w:lang w:val="en-AU"/>
        </w:rPr>
        <w:t xml:space="preserve">. Even at this stage, we see advantages in both </w:t>
      </w:r>
      <w:r w:rsidR="006516A4" w:rsidRPr="003E220B">
        <w:rPr>
          <w:rFonts w:ascii="Calibri Light" w:hAnsi="Calibri Light" w:cs="Calibri Light"/>
          <w:lang w:val="en-AU"/>
        </w:rPr>
        <w:t>Options</w:t>
      </w:r>
      <w:r w:rsidRPr="003E220B">
        <w:rPr>
          <w:rFonts w:ascii="Calibri Light" w:hAnsi="Calibri Light" w:cs="Calibri Light"/>
          <w:lang w:val="en-AU"/>
        </w:rPr>
        <w:t xml:space="preserve"> but need more information to confirm them. A transparent IRT is the place to perform that analysis and make those calls. For example: </w:t>
      </w:r>
    </w:p>
    <w:p w14:paraId="7D136C8B" w14:textId="6AFA09A2" w:rsidR="00B40A45" w:rsidRPr="003E220B" w:rsidRDefault="0085494E" w:rsidP="00B40A45">
      <w:pPr>
        <w:pStyle w:val="ListParagraph"/>
        <w:numPr>
          <w:ilvl w:val="1"/>
          <w:numId w:val="4"/>
        </w:numPr>
        <w:rPr>
          <w:rFonts w:ascii="Calibri Light" w:hAnsi="Calibri Light" w:cs="Calibri Light"/>
          <w:lang w:val="en-AU"/>
        </w:rPr>
      </w:pPr>
      <w:r w:rsidRPr="003E220B">
        <w:rPr>
          <w:rFonts w:ascii="Calibri Light" w:hAnsi="Calibri Light" w:cs="Calibri Light"/>
          <w:lang w:val="en-AU"/>
        </w:rPr>
        <w:t>Making c</w:t>
      </w:r>
      <w:r w:rsidR="00B40A45" w:rsidRPr="003E220B">
        <w:rPr>
          <w:rFonts w:ascii="Calibri Light" w:hAnsi="Calibri Light" w:cs="Calibri Light"/>
          <w:lang w:val="en-AU"/>
        </w:rPr>
        <w:t>ost effective choices between automated</w:t>
      </w:r>
      <w:r w:rsidR="00E80D92" w:rsidRPr="003E220B">
        <w:rPr>
          <w:rFonts w:ascii="Calibri Light" w:hAnsi="Calibri Light" w:cs="Calibri Light"/>
          <w:lang w:val="en-AU"/>
        </w:rPr>
        <w:t>,</w:t>
      </w:r>
      <w:r w:rsidR="00B40A45" w:rsidRPr="003E220B">
        <w:rPr>
          <w:rFonts w:ascii="Calibri Light" w:hAnsi="Calibri Light" w:cs="Calibri Light"/>
          <w:lang w:val="en-AU"/>
        </w:rPr>
        <w:t xml:space="preserve"> manual</w:t>
      </w:r>
      <w:r w:rsidR="00E80D92" w:rsidRPr="003E220B">
        <w:rPr>
          <w:rFonts w:ascii="Calibri Light" w:hAnsi="Calibri Light" w:cs="Calibri Light"/>
          <w:lang w:val="en-AU"/>
        </w:rPr>
        <w:t>, and in-between</w:t>
      </w:r>
      <w:r w:rsidR="00B40A45" w:rsidRPr="003E220B">
        <w:rPr>
          <w:rFonts w:ascii="Calibri Light" w:hAnsi="Calibri Light" w:cs="Calibri Light"/>
          <w:lang w:val="en-AU"/>
        </w:rPr>
        <w:t xml:space="preserve"> approaches </w:t>
      </w:r>
      <w:r w:rsidR="00B671AE" w:rsidRPr="003E220B">
        <w:rPr>
          <w:rFonts w:ascii="Calibri Light" w:hAnsi="Calibri Light" w:cs="Calibri Light"/>
          <w:lang w:val="en-AU"/>
        </w:rPr>
        <w:t xml:space="preserve">(and bespoke vs commercially available approaches) </w:t>
      </w:r>
      <w:r w:rsidR="00B40A45" w:rsidRPr="003E220B">
        <w:rPr>
          <w:rFonts w:ascii="Calibri Light" w:hAnsi="Calibri Light" w:cs="Calibri Light"/>
          <w:lang w:val="en-AU"/>
        </w:rPr>
        <w:t>as process details, cost</w:t>
      </w:r>
      <w:r w:rsidRPr="003E220B">
        <w:rPr>
          <w:rFonts w:ascii="Calibri Light" w:hAnsi="Calibri Light" w:cs="Calibri Light"/>
          <w:lang w:val="en-AU"/>
        </w:rPr>
        <w:t>s</w:t>
      </w:r>
      <w:r w:rsidR="00B40A45" w:rsidRPr="003E220B">
        <w:rPr>
          <w:rFonts w:ascii="Calibri Light" w:hAnsi="Calibri Light" w:cs="Calibri Light"/>
          <w:lang w:val="en-AU"/>
        </w:rPr>
        <w:t xml:space="preserve"> and demand become clear</w:t>
      </w:r>
      <w:r w:rsidR="00B671AE" w:rsidRPr="003E220B">
        <w:rPr>
          <w:rFonts w:ascii="Calibri Light" w:hAnsi="Calibri Light" w:cs="Calibri Light"/>
          <w:lang w:val="en-AU"/>
        </w:rPr>
        <w:t>er during implementation</w:t>
      </w:r>
      <w:r w:rsidR="00E80D92" w:rsidRPr="003E220B">
        <w:rPr>
          <w:rFonts w:ascii="Calibri Light" w:hAnsi="Calibri Light" w:cs="Calibri Light"/>
          <w:lang w:val="en-AU"/>
        </w:rPr>
        <w:t>.</w:t>
      </w:r>
    </w:p>
    <w:p w14:paraId="6F6C5E46" w14:textId="4780770D" w:rsidR="00E80D92" w:rsidRPr="003E220B" w:rsidRDefault="0085494E" w:rsidP="00B40A45">
      <w:pPr>
        <w:pStyle w:val="ListParagraph"/>
        <w:numPr>
          <w:ilvl w:val="1"/>
          <w:numId w:val="4"/>
        </w:numPr>
        <w:rPr>
          <w:rFonts w:ascii="Calibri Light" w:hAnsi="Calibri Light" w:cs="Calibri Light"/>
          <w:lang w:val="en-AU"/>
        </w:rPr>
      </w:pPr>
      <w:r w:rsidRPr="003E220B">
        <w:rPr>
          <w:rFonts w:ascii="Calibri Light" w:hAnsi="Calibri Light" w:cs="Calibri Light"/>
          <w:lang w:val="en-AU"/>
        </w:rPr>
        <w:lastRenderedPageBreak/>
        <w:t>O</w:t>
      </w:r>
      <w:r w:rsidR="00E80D92" w:rsidRPr="003E220B">
        <w:rPr>
          <w:rFonts w:ascii="Calibri Light" w:hAnsi="Calibri Light" w:cs="Calibri Light"/>
          <w:lang w:val="en-AU"/>
        </w:rPr>
        <w:t xml:space="preserve">ptimal </w:t>
      </w:r>
      <w:r w:rsidRPr="003E220B">
        <w:rPr>
          <w:rFonts w:ascii="Calibri Light" w:hAnsi="Calibri Light" w:cs="Calibri Light"/>
          <w:lang w:val="en-AU"/>
        </w:rPr>
        <w:t>batching or application flow rate</w:t>
      </w:r>
      <w:r w:rsidR="00E80D92" w:rsidRPr="003E220B">
        <w:rPr>
          <w:rFonts w:ascii="Calibri Light" w:hAnsi="Calibri Light" w:cs="Calibri Light"/>
          <w:lang w:val="en-AU"/>
        </w:rPr>
        <w:t xml:space="preserve"> (</w:t>
      </w:r>
      <w:r w:rsidR="00B671AE" w:rsidRPr="003E220B">
        <w:rPr>
          <w:rFonts w:ascii="Calibri Light" w:hAnsi="Calibri Light" w:cs="Calibri Light"/>
          <w:lang w:val="en-AU"/>
        </w:rPr>
        <w:t>now quoted at</w:t>
      </w:r>
      <w:r w:rsidR="00E80D92" w:rsidRPr="003E220B">
        <w:rPr>
          <w:rFonts w:ascii="Calibri Light" w:hAnsi="Calibri Light" w:cs="Calibri Light"/>
          <w:lang w:val="en-AU"/>
        </w:rPr>
        <w:t xml:space="preserve"> 450 applications</w:t>
      </w:r>
      <w:r w:rsidRPr="003E220B">
        <w:rPr>
          <w:rFonts w:ascii="Calibri Light" w:hAnsi="Calibri Light" w:cs="Calibri Light"/>
          <w:lang w:val="en-AU"/>
        </w:rPr>
        <w:t xml:space="preserve"> annually</w:t>
      </w:r>
      <w:r w:rsidR="00E80D92" w:rsidRPr="003E220B">
        <w:rPr>
          <w:rFonts w:ascii="Calibri Light" w:hAnsi="Calibri Light" w:cs="Calibri Light"/>
          <w:lang w:val="en-AU"/>
        </w:rPr>
        <w:t xml:space="preserve">) </w:t>
      </w:r>
      <w:r w:rsidR="00B671AE" w:rsidRPr="003E220B">
        <w:rPr>
          <w:rFonts w:ascii="Calibri Light" w:hAnsi="Calibri Light" w:cs="Calibri Light"/>
          <w:lang w:val="en-AU"/>
        </w:rPr>
        <w:t>can</w:t>
      </w:r>
      <w:r w:rsidR="00E80D92" w:rsidRPr="003E220B">
        <w:rPr>
          <w:rFonts w:ascii="Calibri Light" w:hAnsi="Calibri Light" w:cs="Calibri Light"/>
          <w:lang w:val="en-AU"/>
        </w:rPr>
        <w:t xml:space="preserve"> be </w:t>
      </w:r>
      <w:r w:rsidR="00B671AE" w:rsidRPr="003E220B">
        <w:rPr>
          <w:rFonts w:ascii="Calibri Light" w:hAnsi="Calibri Light" w:cs="Calibri Light"/>
          <w:lang w:val="en-AU"/>
        </w:rPr>
        <w:t>developed</w:t>
      </w:r>
      <w:r w:rsidR="00E80D92" w:rsidRPr="003E220B">
        <w:rPr>
          <w:rFonts w:ascii="Calibri Light" w:hAnsi="Calibri Light" w:cs="Calibri Light"/>
          <w:lang w:val="en-AU"/>
        </w:rPr>
        <w:t xml:space="preserve"> as process details are worked out. </w:t>
      </w:r>
      <w:r w:rsidR="000F79E6" w:rsidRPr="003E220B">
        <w:rPr>
          <w:rFonts w:ascii="Calibri Light" w:hAnsi="Calibri Light" w:cs="Calibri Light"/>
          <w:lang w:val="en-AU"/>
        </w:rPr>
        <w:t>We see customer</w:t>
      </w:r>
      <w:r w:rsidR="00B671AE" w:rsidRPr="003E220B">
        <w:rPr>
          <w:rFonts w:ascii="Calibri Light" w:hAnsi="Calibri Light" w:cs="Calibri Light"/>
          <w:lang w:val="en-AU"/>
        </w:rPr>
        <w:t>, community and communications</w:t>
      </w:r>
      <w:r w:rsidR="000F79E6" w:rsidRPr="003E220B">
        <w:rPr>
          <w:rFonts w:ascii="Calibri Light" w:hAnsi="Calibri Light" w:cs="Calibri Light"/>
          <w:lang w:val="en-AU"/>
        </w:rPr>
        <w:t>-related difficulties in limiting the batche</w:t>
      </w:r>
      <w:r w:rsidR="006516A4" w:rsidRPr="003E220B">
        <w:rPr>
          <w:rFonts w:ascii="Calibri Light" w:hAnsi="Calibri Light" w:cs="Calibri Light"/>
          <w:lang w:val="en-AU"/>
        </w:rPr>
        <w:t>s</w:t>
      </w:r>
      <w:r w:rsidR="000F79E6" w:rsidRPr="003E220B">
        <w:rPr>
          <w:rFonts w:ascii="Calibri Light" w:hAnsi="Calibri Light" w:cs="Calibri Light"/>
          <w:lang w:val="en-AU"/>
        </w:rPr>
        <w:t xml:space="preserve"> in the way </w:t>
      </w:r>
      <w:r w:rsidR="006516A4" w:rsidRPr="003E220B">
        <w:rPr>
          <w:rFonts w:ascii="Calibri Light" w:hAnsi="Calibri Light" w:cs="Calibri Light"/>
          <w:lang w:val="en-AU"/>
        </w:rPr>
        <w:t>described in the ODA</w:t>
      </w:r>
      <w:r w:rsidR="000F79E6" w:rsidRPr="003E220B">
        <w:rPr>
          <w:rFonts w:ascii="Calibri Light" w:hAnsi="Calibri Light" w:cs="Calibri Light"/>
          <w:lang w:val="en-AU"/>
        </w:rPr>
        <w:t xml:space="preserve"> and believe these can be worked out during implementation. </w:t>
      </w:r>
    </w:p>
    <w:p w14:paraId="66DDE486" w14:textId="25A9731D" w:rsidR="005D6264" w:rsidRPr="003E220B" w:rsidRDefault="005D6264" w:rsidP="005D6264">
      <w:pPr>
        <w:pStyle w:val="ListParagraph"/>
        <w:numPr>
          <w:ilvl w:val="0"/>
          <w:numId w:val="4"/>
        </w:numPr>
        <w:rPr>
          <w:rFonts w:ascii="Calibri Light" w:hAnsi="Calibri Light" w:cs="Calibri Light"/>
          <w:lang w:val="en-AU"/>
        </w:rPr>
      </w:pPr>
      <w:r w:rsidRPr="003E220B">
        <w:rPr>
          <w:rFonts w:ascii="Calibri Light" w:hAnsi="Calibri Light" w:cs="Calibri Light"/>
          <w:lang w:val="en-AU"/>
        </w:rPr>
        <w:t>Identifying the risk that Option 2 might collide with unanimously adopted policy recommendations, the ODA calls for</w:t>
      </w:r>
      <w:r w:rsidRPr="003E220B">
        <w:rPr>
          <w:rFonts w:ascii="Calibri Light" w:hAnsi="Calibri Light" w:cs="Calibri Light"/>
          <w:lang w:val="en-AU"/>
        </w:rPr>
        <w:t xml:space="preserve"> </w:t>
      </w:r>
      <w:r w:rsidRPr="003E220B">
        <w:rPr>
          <w:rFonts w:ascii="Calibri Light" w:hAnsi="Calibri Light" w:cs="Calibri Light"/>
          <w:lang w:val="en-AU"/>
        </w:rPr>
        <w:t>“</w:t>
      </w:r>
      <w:r w:rsidRPr="003E220B">
        <w:rPr>
          <w:rFonts w:ascii="Calibri Light" w:hAnsi="Calibri Light" w:cs="Calibri Light"/>
          <w:lang w:val="en-AU"/>
        </w:rPr>
        <w:t xml:space="preserve">a detailed review of all SubPro Final Report outputs to identify any other areas </w:t>
      </w:r>
      <w:r w:rsidRPr="003E220B">
        <w:rPr>
          <w:rFonts w:ascii="Calibri Light" w:hAnsi="Calibri Light" w:cs="Calibri Light"/>
          <w:lang w:val="en-AU"/>
        </w:rPr>
        <w:t xml:space="preserve">[of Option 2] </w:t>
      </w:r>
      <w:r w:rsidRPr="003E220B">
        <w:rPr>
          <w:rFonts w:ascii="Calibri Light" w:hAnsi="Calibri Light" w:cs="Calibri Light"/>
          <w:lang w:val="en-AU"/>
        </w:rPr>
        <w:t>that may not be consistent with the outputs to inform further discussion</w:t>
      </w:r>
      <w:r w:rsidRPr="003E220B">
        <w:rPr>
          <w:rFonts w:ascii="Calibri Light" w:hAnsi="Calibri Light" w:cs="Calibri Light"/>
          <w:lang w:val="en-AU"/>
        </w:rPr>
        <w:t>.</w:t>
      </w:r>
      <w:r w:rsidRPr="003E220B">
        <w:rPr>
          <w:rFonts w:ascii="Calibri Light" w:hAnsi="Calibri Light" w:cs="Calibri Light"/>
          <w:lang w:val="en-AU"/>
        </w:rPr>
        <w:t>”</w:t>
      </w:r>
      <w:r w:rsidRPr="003E220B">
        <w:rPr>
          <w:rFonts w:ascii="Calibri Light" w:hAnsi="Calibri Light" w:cs="Calibri Light"/>
          <w:lang w:val="en-AU"/>
        </w:rPr>
        <w:t xml:space="preserve"> This analysis is best conducted transpar</w:t>
      </w:r>
      <w:r w:rsidR="00C00DC9" w:rsidRPr="003E220B">
        <w:rPr>
          <w:rFonts w:ascii="Calibri Light" w:hAnsi="Calibri Light" w:cs="Calibri Light"/>
          <w:lang w:val="en-AU"/>
        </w:rPr>
        <w:t>e</w:t>
      </w:r>
      <w:r w:rsidRPr="003E220B">
        <w:rPr>
          <w:rFonts w:ascii="Calibri Light" w:hAnsi="Calibri Light" w:cs="Calibri Light"/>
          <w:lang w:val="en-AU"/>
        </w:rPr>
        <w:t>ntly in an IRT wher</w:t>
      </w:r>
      <w:r w:rsidR="00C00DC9" w:rsidRPr="003E220B">
        <w:rPr>
          <w:rFonts w:ascii="Calibri Light" w:hAnsi="Calibri Light" w:cs="Calibri Light"/>
          <w:lang w:val="en-AU"/>
        </w:rPr>
        <w:t>e</w:t>
      </w:r>
      <w:r w:rsidRPr="003E220B">
        <w:rPr>
          <w:rFonts w:ascii="Calibri Light" w:hAnsi="Calibri Light" w:cs="Calibri Light"/>
          <w:lang w:val="en-AU"/>
        </w:rPr>
        <w:t xml:space="preserve"> the GNSO can be called upon to reconsider policy recommendation</w:t>
      </w:r>
      <w:r w:rsidR="00C00DC9" w:rsidRPr="003E220B">
        <w:rPr>
          <w:rFonts w:ascii="Calibri Light" w:hAnsi="Calibri Light" w:cs="Calibri Light"/>
          <w:lang w:val="en-AU"/>
        </w:rPr>
        <w:t xml:space="preserve"> in the name of efficiencies or other outcome improvements.</w:t>
      </w:r>
    </w:p>
    <w:p w14:paraId="3EEA5C7B" w14:textId="77777777" w:rsidR="00C22DB9" w:rsidRPr="003E220B" w:rsidRDefault="00C22DB9">
      <w:pPr>
        <w:rPr>
          <w:rFonts w:ascii="Calibri Light" w:hAnsi="Calibri Light" w:cs="Calibri Light"/>
          <w:lang w:val="en-AU"/>
        </w:rPr>
      </w:pPr>
    </w:p>
    <w:p w14:paraId="7F57CC78" w14:textId="51E8CFCD" w:rsidR="00F01288" w:rsidRPr="003E220B" w:rsidRDefault="00E80D92">
      <w:pPr>
        <w:rPr>
          <w:rFonts w:ascii="Calibri Light" w:hAnsi="Calibri Light" w:cs="Calibri Light"/>
          <w:b/>
          <w:bCs/>
          <w:lang w:val="en-AU"/>
        </w:rPr>
      </w:pPr>
      <w:r w:rsidRPr="003E220B">
        <w:rPr>
          <w:rFonts w:ascii="Calibri Light" w:hAnsi="Calibri Light" w:cs="Calibri Light"/>
          <w:b/>
          <w:bCs/>
          <w:lang w:val="en-AU"/>
        </w:rPr>
        <w:t>Observation: The ODA concern regarding recovery</w:t>
      </w:r>
      <w:r w:rsidR="00B671AE" w:rsidRPr="003E220B">
        <w:rPr>
          <w:rFonts w:ascii="Calibri Light" w:hAnsi="Calibri Light" w:cs="Calibri Light"/>
          <w:b/>
          <w:bCs/>
          <w:lang w:val="en-AU"/>
        </w:rPr>
        <w:t xml:space="preserve"> / non-recovery</w:t>
      </w:r>
      <w:r w:rsidRPr="003E220B">
        <w:rPr>
          <w:rFonts w:ascii="Calibri Light" w:hAnsi="Calibri Light" w:cs="Calibri Light"/>
          <w:b/>
          <w:bCs/>
          <w:lang w:val="en-AU"/>
        </w:rPr>
        <w:t xml:space="preserve"> of development costs can be </w:t>
      </w:r>
      <w:r w:rsidR="00C22DB9" w:rsidRPr="003E220B">
        <w:rPr>
          <w:rFonts w:ascii="Calibri Light" w:hAnsi="Calibri Light" w:cs="Calibri Light"/>
          <w:b/>
          <w:bCs/>
          <w:lang w:val="en-AU"/>
        </w:rPr>
        <w:t xml:space="preserve">ameliorated by spreading fee-recovery of those costs over future rounds and </w:t>
      </w:r>
      <w:r w:rsidR="002E5768" w:rsidRPr="003E220B">
        <w:rPr>
          <w:rFonts w:ascii="Calibri Light" w:hAnsi="Calibri Light" w:cs="Calibri Light"/>
          <w:b/>
          <w:bCs/>
          <w:lang w:val="en-AU"/>
        </w:rPr>
        <w:t>by selecting an economical approach from</w:t>
      </w:r>
      <w:r w:rsidR="00C22DB9" w:rsidRPr="003E220B">
        <w:rPr>
          <w:rFonts w:ascii="Calibri Light" w:hAnsi="Calibri Light" w:cs="Calibri Light"/>
          <w:b/>
          <w:bCs/>
          <w:lang w:val="en-AU"/>
        </w:rPr>
        <w:t xml:space="preserve"> the A and B options during implementation. </w:t>
      </w:r>
    </w:p>
    <w:p w14:paraId="6A46F2EB" w14:textId="6A8EB80E" w:rsidR="00C22DB9" w:rsidRPr="003E220B" w:rsidRDefault="00C22DB9" w:rsidP="00C22DB9">
      <w:pPr>
        <w:pStyle w:val="ListParagraph"/>
        <w:numPr>
          <w:ilvl w:val="0"/>
          <w:numId w:val="4"/>
        </w:numPr>
        <w:rPr>
          <w:rFonts w:ascii="Calibri Light" w:hAnsi="Calibri Light" w:cs="Calibri Light"/>
          <w:lang w:val="en-AU"/>
        </w:rPr>
      </w:pPr>
      <w:r w:rsidRPr="003E220B">
        <w:rPr>
          <w:rFonts w:ascii="Calibri Light" w:hAnsi="Calibri Light" w:cs="Calibri Light"/>
          <w:lang w:val="en-AU"/>
        </w:rPr>
        <w:t xml:space="preserve">Many were surprised by the fee increase. </w:t>
      </w:r>
      <w:r w:rsidRPr="003E220B">
        <w:rPr>
          <w:rFonts w:ascii="Calibri Light" w:hAnsi="Calibri Light" w:cs="Calibri Light"/>
          <w:lang w:val="en-AU"/>
        </w:rPr>
        <w:t xml:space="preserve">The SubPro Final Report </w:t>
      </w:r>
      <w:r w:rsidR="002E5768" w:rsidRPr="003E220B">
        <w:rPr>
          <w:rFonts w:ascii="Calibri Light" w:hAnsi="Calibri Light" w:cs="Calibri Light"/>
          <w:lang w:val="en-AU"/>
        </w:rPr>
        <w:t>recommende</w:t>
      </w:r>
      <w:r w:rsidRPr="003E220B">
        <w:rPr>
          <w:rFonts w:ascii="Calibri Light" w:hAnsi="Calibri Light" w:cs="Calibri Light"/>
          <w:lang w:val="en-AU"/>
        </w:rPr>
        <w:t>d that</w:t>
      </w:r>
      <w:r w:rsidR="002E5768" w:rsidRPr="003E220B">
        <w:rPr>
          <w:rFonts w:ascii="Calibri Light" w:hAnsi="Calibri Light" w:cs="Calibri Light"/>
          <w:lang w:val="en-AU"/>
        </w:rPr>
        <w:t xml:space="preserve"> </w:t>
      </w:r>
      <w:r w:rsidRPr="003E220B">
        <w:rPr>
          <w:rFonts w:ascii="Calibri Light" w:hAnsi="Calibri Light" w:cs="Calibri Light"/>
          <w:lang w:val="en-AU"/>
        </w:rPr>
        <w:t xml:space="preserve">development </w:t>
      </w:r>
      <w:r w:rsidR="002E5768" w:rsidRPr="003E220B">
        <w:rPr>
          <w:rFonts w:ascii="Calibri Light" w:hAnsi="Calibri Light" w:cs="Calibri Light"/>
          <w:lang w:val="en-AU"/>
        </w:rPr>
        <w:t xml:space="preserve">costs </w:t>
      </w:r>
      <w:r w:rsidRPr="003E220B">
        <w:rPr>
          <w:rFonts w:ascii="Calibri Light" w:hAnsi="Calibri Light" w:cs="Calibri Light"/>
          <w:lang w:val="en-AU"/>
        </w:rPr>
        <w:t>could and should be spread over rounds.</w:t>
      </w:r>
      <w:r w:rsidR="00CC74FA" w:rsidRPr="003E220B">
        <w:rPr>
          <w:rFonts w:ascii="Calibri Light" w:hAnsi="Calibri Light" w:cs="Calibri Light"/>
          <w:lang w:val="en-AU"/>
        </w:rPr>
        <w:t xml:space="preserve"> (See SubPro </w:t>
      </w:r>
      <w:r w:rsidR="00CC74FA" w:rsidRPr="003E220B">
        <w:rPr>
          <w:rFonts w:ascii="Calibri Light" w:hAnsi="Calibri Light" w:cs="Calibri Light"/>
          <w:lang w:val="en-AU"/>
        </w:rPr>
        <w:t>§§</w:t>
      </w:r>
      <w:r w:rsidR="00CC74FA" w:rsidRPr="003E220B">
        <w:rPr>
          <w:rFonts w:ascii="Calibri Light" w:hAnsi="Calibri Light" w:cs="Calibri Light"/>
          <w:lang w:val="en-AU"/>
        </w:rPr>
        <w:t>153-15.6.)</w:t>
      </w:r>
    </w:p>
    <w:p w14:paraId="28675E03" w14:textId="7FAEF6DB" w:rsidR="00C22DB9" w:rsidRPr="003E220B" w:rsidRDefault="00C22DB9" w:rsidP="00C22DB9">
      <w:pPr>
        <w:pStyle w:val="ListParagraph"/>
        <w:numPr>
          <w:ilvl w:val="0"/>
          <w:numId w:val="4"/>
        </w:numPr>
        <w:rPr>
          <w:rFonts w:ascii="Calibri Light" w:hAnsi="Calibri Light" w:cs="Calibri Light"/>
          <w:lang w:val="en-AU"/>
        </w:rPr>
      </w:pPr>
      <w:r w:rsidRPr="003E220B">
        <w:rPr>
          <w:rFonts w:ascii="Calibri Light" w:hAnsi="Calibri Light" w:cs="Calibri Light"/>
          <w:lang w:val="en-AU"/>
        </w:rPr>
        <w:t xml:space="preserve">Balancing the </w:t>
      </w:r>
      <w:r w:rsidR="002E5768" w:rsidRPr="003E220B">
        <w:rPr>
          <w:rFonts w:ascii="Calibri Light" w:hAnsi="Calibri Light" w:cs="Calibri Light"/>
          <w:lang w:val="en-AU"/>
        </w:rPr>
        <w:t xml:space="preserve">different </w:t>
      </w:r>
      <w:r w:rsidRPr="003E220B">
        <w:rPr>
          <w:rFonts w:ascii="Calibri Light" w:hAnsi="Calibri Light" w:cs="Calibri Light"/>
          <w:lang w:val="en-AU"/>
        </w:rPr>
        <w:t xml:space="preserve">systems approaches during implementation </w:t>
      </w:r>
      <w:r w:rsidR="002E5768" w:rsidRPr="003E220B">
        <w:rPr>
          <w:rFonts w:ascii="Calibri Light" w:hAnsi="Calibri Light" w:cs="Calibri Light"/>
          <w:lang w:val="en-AU"/>
        </w:rPr>
        <w:t>will provide</w:t>
      </w:r>
      <w:r w:rsidRPr="003E220B">
        <w:rPr>
          <w:rFonts w:ascii="Calibri Light" w:hAnsi="Calibri Light" w:cs="Calibri Light"/>
          <w:lang w:val="en-AU"/>
        </w:rPr>
        <w:t xml:space="preserve"> an opportunity to </w:t>
      </w:r>
      <w:r w:rsidRPr="003E220B">
        <w:rPr>
          <w:rFonts w:ascii="Calibri Light" w:hAnsi="Calibri Light" w:cs="Calibri Light"/>
          <w:lang w:val="en-AU"/>
        </w:rPr>
        <w:t xml:space="preserve">improve efficiencies and lower the overall cost without impacting processing volumes and quality. Successful enterprises </w:t>
      </w:r>
      <w:r w:rsidR="002E5768" w:rsidRPr="003E220B">
        <w:rPr>
          <w:rFonts w:ascii="Calibri Light" w:hAnsi="Calibri Light" w:cs="Calibri Light"/>
          <w:lang w:val="en-AU"/>
        </w:rPr>
        <w:t xml:space="preserve">typically </w:t>
      </w:r>
      <w:r w:rsidRPr="003E220B">
        <w:rPr>
          <w:rFonts w:ascii="Calibri Light" w:hAnsi="Calibri Light" w:cs="Calibri Light"/>
          <w:lang w:val="en-AU"/>
        </w:rPr>
        <w:t>approve product and project launches with the understanding that reasonabl</w:t>
      </w:r>
      <w:r w:rsidR="000F79E6" w:rsidRPr="003E220B">
        <w:rPr>
          <w:rFonts w:ascii="Calibri Light" w:hAnsi="Calibri Light" w:cs="Calibri Light"/>
          <w:lang w:val="en-AU"/>
        </w:rPr>
        <w:t xml:space="preserve">y </w:t>
      </w:r>
      <w:r w:rsidRPr="003E220B">
        <w:rPr>
          <w:rFonts w:ascii="Calibri Light" w:hAnsi="Calibri Light" w:cs="Calibri Light"/>
          <w:lang w:val="en-AU"/>
        </w:rPr>
        <w:t xml:space="preserve">efficiencies will be gained during development. </w:t>
      </w:r>
    </w:p>
    <w:p w14:paraId="0EBB7022" w14:textId="77777777" w:rsidR="00F01288" w:rsidRPr="003E220B" w:rsidRDefault="00F01288">
      <w:pPr>
        <w:rPr>
          <w:rFonts w:ascii="Calibri Light" w:hAnsi="Calibri Light" w:cs="Calibri Light"/>
          <w:lang w:val="en-AU"/>
        </w:rPr>
      </w:pPr>
    </w:p>
    <w:p w14:paraId="20991EAD" w14:textId="796D80E0" w:rsidR="001C7DCA" w:rsidRPr="003E220B" w:rsidRDefault="001C7DCA" w:rsidP="001C7DCA">
      <w:pPr>
        <w:widowControl w:val="0"/>
        <w:rPr>
          <w:rFonts w:ascii="Calibri Light" w:hAnsi="Calibri Light" w:cs="Calibri Light"/>
          <w:b/>
          <w:bCs/>
          <w:lang w:val="en-AU"/>
        </w:rPr>
      </w:pPr>
      <w:r w:rsidRPr="003E220B">
        <w:rPr>
          <w:rFonts w:ascii="Calibri Light" w:hAnsi="Calibri Light" w:cs="Calibri Light"/>
          <w:b/>
          <w:bCs/>
          <w:lang w:val="en-AU"/>
        </w:rPr>
        <w:t xml:space="preserve">Observation: </w:t>
      </w:r>
      <w:r w:rsidRPr="003E220B">
        <w:rPr>
          <w:rFonts w:ascii="Calibri Light" w:hAnsi="Calibri Light" w:cs="Calibri Light"/>
          <w:b/>
          <w:bCs/>
          <w:lang w:val="en-AU"/>
        </w:rPr>
        <w:t xml:space="preserve">The RSP Pre-evaluation Program should be included in the Program regardless of </w:t>
      </w:r>
      <w:r w:rsidRPr="003E220B">
        <w:rPr>
          <w:rFonts w:ascii="Calibri Light" w:hAnsi="Calibri Light" w:cs="Calibri Light"/>
          <w:b/>
          <w:bCs/>
          <w:lang w:val="en-AU"/>
        </w:rPr>
        <w:t>“</w:t>
      </w:r>
      <w:r w:rsidR="00CC74FA" w:rsidRPr="003E220B">
        <w:rPr>
          <w:rFonts w:ascii="Calibri Light" w:hAnsi="Calibri Light" w:cs="Calibri Light"/>
          <w:b/>
          <w:bCs/>
          <w:lang w:val="en-AU"/>
        </w:rPr>
        <w:t>O</w:t>
      </w:r>
      <w:r w:rsidRPr="003E220B">
        <w:rPr>
          <w:rFonts w:ascii="Calibri Light" w:hAnsi="Calibri Light" w:cs="Calibri Light"/>
          <w:b/>
          <w:bCs/>
          <w:lang w:val="en-AU"/>
        </w:rPr>
        <w:t xml:space="preserve">ption adopted,” and </w:t>
      </w:r>
      <w:r w:rsidR="00EE6705" w:rsidRPr="003E220B">
        <w:rPr>
          <w:rFonts w:ascii="Calibri Light" w:hAnsi="Calibri Light" w:cs="Calibri Light"/>
          <w:b/>
          <w:bCs/>
          <w:lang w:val="en-AU"/>
        </w:rPr>
        <w:t xml:space="preserve">its </w:t>
      </w:r>
      <w:r w:rsidRPr="003E220B">
        <w:rPr>
          <w:rFonts w:ascii="Calibri Light" w:hAnsi="Calibri Light" w:cs="Calibri Light"/>
          <w:b/>
          <w:bCs/>
          <w:lang w:val="en-AU"/>
        </w:rPr>
        <w:t xml:space="preserve">design &amp; implementation should be started now by the Board. </w:t>
      </w:r>
    </w:p>
    <w:p w14:paraId="23FFD83E" w14:textId="77777777" w:rsidR="00104A79" w:rsidRPr="003E220B" w:rsidRDefault="001C7DCA" w:rsidP="001C7DCA">
      <w:pPr>
        <w:pStyle w:val="ListParagraph"/>
        <w:widowControl w:val="0"/>
        <w:numPr>
          <w:ilvl w:val="0"/>
          <w:numId w:val="5"/>
        </w:numPr>
        <w:rPr>
          <w:rFonts w:ascii="Calibri Light" w:hAnsi="Calibri Light" w:cs="Calibri Light"/>
          <w:lang w:val="en-AU"/>
        </w:rPr>
      </w:pPr>
      <w:r w:rsidRPr="003E220B">
        <w:rPr>
          <w:rFonts w:ascii="Calibri Light" w:hAnsi="Calibri Light" w:cs="Calibri Light"/>
          <w:lang w:val="en-AU"/>
        </w:rPr>
        <w:t xml:space="preserve">RSP </w:t>
      </w:r>
      <w:r w:rsidR="0085494E" w:rsidRPr="003E220B">
        <w:rPr>
          <w:rFonts w:ascii="Calibri Light" w:hAnsi="Calibri Light" w:cs="Calibri Light"/>
          <w:lang w:val="en-AU"/>
        </w:rPr>
        <w:t>p</w:t>
      </w:r>
      <w:r w:rsidRPr="003E220B">
        <w:rPr>
          <w:rFonts w:ascii="Calibri Light" w:hAnsi="Calibri Light" w:cs="Calibri Light"/>
          <w:lang w:val="en-AU"/>
        </w:rPr>
        <w:t xml:space="preserve">re-evaluation </w:t>
      </w:r>
      <w:r w:rsidRPr="003E220B">
        <w:rPr>
          <w:rFonts w:ascii="Calibri Light" w:hAnsi="Calibri Light" w:cs="Calibri Light"/>
          <w:lang w:val="en-AU"/>
        </w:rPr>
        <w:t xml:space="preserve">enjoyed wide </w:t>
      </w:r>
      <w:r w:rsidR="00CC74FA" w:rsidRPr="003E220B">
        <w:rPr>
          <w:rFonts w:ascii="Calibri Light" w:hAnsi="Calibri Light" w:cs="Calibri Light"/>
          <w:lang w:val="en-AU"/>
        </w:rPr>
        <w:t xml:space="preserve">community </w:t>
      </w:r>
      <w:r w:rsidRPr="003E220B">
        <w:rPr>
          <w:rFonts w:ascii="Calibri Light" w:hAnsi="Calibri Light" w:cs="Calibri Light"/>
          <w:lang w:val="en-AU"/>
        </w:rPr>
        <w:t xml:space="preserve">support, would add consistency to the Program, and reduce </w:t>
      </w:r>
      <w:r w:rsidR="000C185A" w:rsidRPr="003E220B">
        <w:rPr>
          <w:rFonts w:ascii="Calibri Light" w:hAnsi="Calibri Light" w:cs="Calibri Light"/>
          <w:lang w:val="en-AU"/>
        </w:rPr>
        <w:t xml:space="preserve">application </w:t>
      </w:r>
      <w:r w:rsidRPr="003E220B">
        <w:rPr>
          <w:rFonts w:ascii="Calibri Light" w:hAnsi="Calibri Light" w:cs="Calibri Light"/>
          <w:lang w:val="en-AU"/>
        </w:rPr>
        <w:t xml:space="preserve">costs &amp; duplicative effort. Dropping it to gain some schedule time without exploring other options, flies in the face of considerable community development and consensus. </w:t>
      </w:r>
    </w:p>
    <w:p w14:paraId="2D3A8713" w14:textId="26AF092D" w:rsidR="001C7DCA" w:rsidRPr="003E220B" w:rsidRDefault="0054285F" w:rsidP="001C7DCA">
      <w:pPr>
        <w:pStyle w:val="ListParagraph"/>
        <w:widowControl w:val="0"/>
        <w:numPr>
          <w:ilvl w:val="0"/>
          <w:numId w:val="5"/>
        </w:numPr>
        <w:rPr>
          <w:rFonts w:ascii="Calibri Light" w:hAnsi="Calibri Light" w:cs="Calibri Light"/>
          <w:lang w:val="en-AU"/>
        </w:rPr>
      </w:pPr>
      <w:r w:rsidRPr="003E220B">
        <w:rPr>
          <w:rFonts w:ascii="Calibri Light" w:hAnsi="Calibri Light" w:cs="Calibri Light"/>
          <w:lang w:val="en-AU"/>
        </w:rPr>
        <w:t xml:space="preserve">The benefits are </w:t>
      </w:r>
      <w:r w:rsidR="00104A79" w:rsidRPr="003E220B">
        <w:rPr>
          <w:rFonts w:ascii="Calibri Light" w:hAnsi="Calibri Light" w:cs="Calibri Light"/>
          <w:lang w:val="en-AU"/>
        </w:rPr>
        <w:t xml:space="preserve">accepted and </w:t>
      </w:r>
      <w:r w:rsidRPr="003E220B">
        <w:rPr>
          <w:rFonts w:ascii="Calibri Light" w:hAnsi="Calibri Light" w:cs="Calibri Light"/>
          <w:lang w:val="en-AU"/>
        </w:rPr>
        <w:t xml:space="preserve">well-documented in the public </w:t>
      </w:r>
      <w:r w:rsidR="00104A79" w:rsidRPr="003E220B">
        <w:rPr>
          <w:rFonts w:ascii="Calibri Light" w:hAnsi="Calibri Light" w:cs="Calibri Light"/>
          <w:lang w:val="en-AU"/>
        </w:rPr>
        <w:t>record</w:t>
      </w:r>
      <w:r w:rsidRPr="003E220B">
        <w:rPr>
          <w:rFonts w:ascii="Calibri Light" w:hAnsi="Calibri Light" w:cs="Calibri Light"/>
          <w:lang w:val="en-AU"/>
        </w:rPr>
        <w:t>.</w:t>
      </w:r>
    </w:p>
    <w:p w14:paraId="4C32F6CD" w14:textId="63A1006C" w:rsidR="001C7DCA" w:rsidRPr="003E220B" w:rsidRDefault="001C7DCA" w:rsidP="001C7DCA">
      <w:pPr>
        <w:pStyle w:val="ListParagraph"/>
        <w:widowControl w:val="0"/>
        <w:numPr>
          <w:ilvl w:val="0"/>
          <w:numId w:val="5"/>
        </w:numPr>
        <w:rPr>
          <w:rFonts w:ascii="Calibri Light" w:hAnsi="Calibri Light" w:cs="Calibri Light"/>
          <w:lang w:val="en-AU"/>
        </w:rPr>
      </w:pPr>
      <w:r w:rsidRPr="003E220B">
        <w:rPr>
          <w:rFonts w:ascii="Calibri Light" w:hAnsi="Calibri Light" w:cs="Calibri Light"/>
          <w:lang w:val="en-AU"/>
        </w:rPr>
        <w:t xml:space="preserve">A “tall pole” in the ODA schedule, </w:t>
      </w:r>
      <w:r w:rsidR="0085494E" w:rsidRPr="003E220B">
        <w:rPr>
          <w:rFonts w:ascii="Calibri Light" w:hAnsi="Calibri Light" w:cs="Calibri Light"/>
          <w:lang w:val="en-AU"/>
        </w:rPr>
        <w:t xml:space="preserve">RSP pre-evaluation </w:t>
      </w:r>
      <w:r w:rsidRPr="003E220B">
        <w:rPr>
          <w:rFonts w:ascii="Calibri Light" w:hAnsi="Calibri Light" w:cs="Calibri Light"/>
          <w:lang w:val="en-AU"/>
        </w:rPr>
        <w:t>could be launched now to gain schedule contingency. Since it is separately f</w:t>
      </w:r>
      <w:r w:rsidRPr="003E220B">
        <w:rPr>
          <w:rFonts w:ascii="Calibri Light" w:hAnsi="Calibri Light" w:cs="Calibri Light"/>
          <w:lang w:val="en-AU"/>
        </w:rPr>
        <w:t xml:space="preserve">unded by RSP </w:t>
      </w:r>
      <w:proofErr w:type="spellStart"/>
      <w:r w:rsidRPr="003E220B">
        <w:rPr>
          <w:rFonts w:ascii="Calibri Light" w:hAnsi="Calibri Light" w:cs="Calibri Light"/>
          <w:lang w:val="en-AU"/>
        </w:rPr>
        <w:t>evaluatees</w:t>
      </w:r>
      <w:proofErr w:type="spellEnd"/>
      <w:r w:rsidR="00104A79" w:rsidRPr="003E220B">
        <w:rPr>
          <w:rFonts w:ascii="Calibri Light" w:hAnsi="Calibri Light" w:cs="Calibri Light"/>
          <w:lang w:val="en-AU"/>
        </w:rPr>
        <w:t>,</w:t>
      </w:r>
      <w:r w:rsidRPr="003E220B">
        <w:rPr>
          <w:rFonts w:ascii="Calibri Light" w:hAnsi="Calibri Light" w:cs="Calibri Light"/>
          <w:lang w:val="en-AU"/>
        </w:rPr>
        <w:t xml:space="preserve"> </w:t>
      </w:r>
      <w:r w:rsidRPr="003E220B">
        <w:rPr>
          <w:rFonts w:ascii="Calibri Light" w:hAnsi="Calibri Light" w:cs="Calibri Light"/>
          <w:lang w:val="en-AU"/>
        </w:rPr>
        <w:t xml:space="preserve">the effort is </w:t>
      </w:r>
      <w:r w:rsidR="00104A79" w:rsidRPr="003E220B">
        <w:rPr>
          <w:rFonts w:ascii="Calibri Light" w:hAnsi="Calibri Light" w:cs="Calibri Light"/>
          <w:lang w:val="en-AU"/>
        </w:rPr>
        <w:t>independent</w:t>
      </w:r>
      <w:r w:rsidRPr="003E220B">
        <w:rPr>
          <w:rFonts w:ascii="Calibri Light" w:hAnsi="Calibri Light" w:cs="Calibri Light"/>
          <w:lang w:val="en-AU"/>
        </w:rPr>
        <w:t xml:space="preserve"> from the rest of the </w:t>
      </w:r>
      <w:r w:rsidR="0085494E" w:rsidRPr="003E220B">
        <w:rPr>
          <w:rFonts w:ascii="Calibri Light" w:hAnsi="Calibri Light" w:cs="Calibri Light"/>
          <w:lang w:val="en-AU"/>
        </w:rPr>
        <w:t xml:space="preserve">SubPro </w:t>
      </w:r>
      <w:r w:rsidRPr="003E220B">
        <w:rPr>
          <w:rFonts w:ascii="Calibri Light" w:hAnsi="Calibri Light" w:cs="Calibri Light"/>
          <w:lang w:val="en-AU"/>
        </w:rPr>
        <w:t xml:space="preserve">Program. Since a “next round” is likely, launching this effort now would be </w:t>
      </w:r>
      <w:r w:rsidR="0054285F" w:rsidRPr="003E220B">
        <w:rPr>
          <w:rFonts w:ascii="Calibri Light" w:hAnsi="Calibri Light" w:cs="Calibri Light"/>
          <w:lang w:val="en-AU"/>
        </w:rPr>
        <w:t>“</w:t>
      </w:r>
      <w:r w:rsidRPr="003E220B">
        <w:rPr>
          <w:rFonts w:ascii="Calibri Light" w:hAnsi="Calibri Light" w:cs="Calibri Light"/>
          <w:lang w:val="en-AU"/>
        </w:rPr>
        <w:t>cheap insurance.</w:t>
      </w:r>
      <w:r w:rsidR="0054285F" w:rsidRPr="003E220B">
        <w:rPr>
          <w:rFonts w:ascii="Calibri Light" w:hAnsi="Calibri Light" w:cs="Calibri Light"/>
          <w:lang w:val="en-AU"/>
        </w:rPr>
        <w:t>”</w:t>
      </w:r>
      <w:r w:rsidRPr="003E220B">
        <w:rPr>
          <w:rFonts w:ascii="Calibri Light" w:hAnsi="Calibri Light" w:cs="Calibri Light"/>
          <w:lang w:val="en-AU"/>
        </w:rPr>
        <w:t xml:space="preserve"> </w:t>
      </w:r>
    </w:p>
    <w:p w14:paraId="749C30FF" w14:textId="31E3B89E" w:rsidR="001C7DCA" w:rsidRPr="003E220B" w:rsidRDefault="001C7DCA" w:rsidP="001C7DCA">
      <w:pPr>
        <w:pStyle w:val="ListParagraph"/>
        <w:widowControl w:val="0"/>
        <w:numPr>
          <w:ilvl w:val="0"/>
          <w:numId w:val="5"/>
        </w:numPr>
        <w:rPr>
          <w:rFonts w:ascii="Calibri Light" w:hAnsi="Calibri Light" w:cs="Calibri Light"/>
          <w:lang w:val="en-AU"/>
        </w:rPr>
      </w:pPr>
      <w:r w:rsidRPr="003E220B">
        <w:rPr>
          <w:rFonts w:ascii="Calibri Light" w:hAnsi="Calibri Light" w:cs="Calibri Light"/>
          <w:lang w:val="en-AU"/>
        </w:rPr>
        <w:t>RSP Pre-evaluation Program</w:t>
      </w:r>
      <w:r w:rsidR="00A200CF" w:rsidRPr="003E220B">
        <w:rPr>
          <w:rFonts w:ascii="Calibri Light" w:hAnsi="Calibri Light" w:cs="Calibri Light"/>
          <w:lang w:val="en-AU"/>
        </w:rPr>
        <w:t xml:space="preserve"> will be of benefit whenever launched as existing TLDs are seeking alternate RSPs. A Japanese adage states: “the best time to plant a tree is ten</w:t>
      </w:r>
      <w:r w:rsidR="0054285F" w:rsidRPr="003E220B">
        <w:rPr>
          <w:rFonts w:ascii="Calibri Light" w:hAnsi="Calibri Light" w:cs="Calibri Light"/>
          <w:lang w:val="en-AU"/>
        </w:rPr>
        <w:t xml:space="preserve"> </w:t>
      </w:r>
      <w:r w:rsidR="00A200CF" w:rsidRPr="003E220B">
        <w:rPr>
          <w:rFonts w:ascii="Calibri Light" w:hAnsi="Calibri Light" w:cs="Calibri Light"/>
          <w:lang w:val="en-AU"/>
        </w:rPr>
        <w:t>years ago; the second</w:t>
      </w:r>
      <w:r w:rsidR="0054285F" w:rsidRPr="003E220B">
        <w:rPr>
          <w:rFonts w:ascii="Calibri Light" w:hAnsi="Calibri Light" w:cs="Calibri Light"/>
          <w:lang w:val="en-AU"/>
        </w:rPr>
        <w:t>-</w:t>
      </w:r>
      <w:r w:rsidR="00A200CF" w:rsidRPr="003E220B">
        <w:rPr>
          <w:rFonts w:ascii="Calibri Light" w:hAnsi="Calibri Light" w:cs="Calibri Light"/>
          <w:lang w:val="en-AU"/>
        </w:rPr>
        <w:t>best time is today.”</w:t>
      </w:r>
    </w:p>
    <w:p w14:paraId="17952116" w14:textId="77777777" w:rsidR="008E141E" w:rsidRPr="003E220B" w:rsidRDefault="008E141E">
      <w:pPr>
        <w:widowControl w:val="0"/>
        <w:pBdr>
          <w:top w:val="nil"/>
          <w:left w:val="nil"/>
          <w:bottom w:val="nil"/>
          <w:right w:val="nil"/>
          <w:between w:val="nil"/>
        </w:pBdr>
        <w:rPr>
          <w:rFonts w:ascii="Calibri Light" w:hAnsi="Calibri Light" w:cs="Calibri Light"/>
          <w:lang w:val="en-AU"/>
        </w:rPr>
      </w:pPr>
    </w:p>
    <w:p w14:paraId="58B44CCD" w14:textId="4F2308D5" w:rsidR="008E141E" w:rsidRPr="003E220B" w:rsidRDefault="00B809B0">
      <w:pPr>
        <w:widowControl w:val="0"/>
        <w:pBdr>
          <w:top w:val="nil"/>
          <w:left w:val="nil"/>
          <w:bottom w:val="nil"/>
          <w:right w:val="nil"/>
          <w:between w:val="nil"/>
        </w:pBdr>
        <w:rPr>
          <w:rFonts w:ascii="Calibri Light" w:hAnsi="Calibri Light" w:cs="Calibri Light"/>
          <w:b/>
          <w:bCs/>
          <w:lang w:val="en-AU"/>
        </w:rPr>
      </w:pPr>
      <w:r w:rsidRPr="003E220B">
        <w:rPr>
          <w:rFonts w:ascii="Calibri Light" w:hAnsi="Calibri Light" w:cs="Calibri Light"/>
          <w:b/>
          <w:bCs/>
          <w:lang w:val="en-AU"/>
        </w:rPr>
        <w:t>Observation: Contrary to the ODA indication, the SubPro recommendation</w:t>
      </w:r>
      <w:r w:rsidR="008E141E" w:rsidRPr="003E220B">
        <w:rPr>
          <w:rFonts w:ascii="Calibri Light" w:hAnsi="Calibri Light" w:cs="Calibri Light"/>
          <w:b/>
          <w:bCs/>
          <w:lang w:val="en-AU"/>
        </w:rPr>
        <w:t xml:space="preserve">: </w:t>
      </w:r>
    </w:p>
    <w:p w14:paraId="06FB4157" w14:textId="57EE035C" w:rsidR="008E141E" w:rsidRPr="003E220B" w:rsidRDefault="008E141E" w:rsidP="008E141E">
      <w:pPr>
        <w:widowControl w:val="0"/>
        <w:pBdr>
          <w:top w:val="nil"/>
          <w:left w:val="nil"/>
          <w:bottom w:val="nil"/>
          <w:right w:val="nil"/>
          <w:between w:val="nil"/>
        </w:pBdr>
        <w:ind w:left="720"/>
        <w:rPr>
          <w:rFonts w:ascii="Calibri Light" w:hAnsi="Calibri Light" w:cs="Calibri Light"/>
          <w:b/>
          <w:bCs/>
          <w:i/>
          <w:iCs/>
          <w:lang w:val="en-AU"/>
        </w:rPr>
      </w:pPr>
      <w:r w:rsidRPr="003E220B">
        <w:rPr>
          <w:rFonts w:ascii="Calibri Light" w:hAnsi="Calibri Light" w:cs="Calibri Light"/>
          <w:b/>
          <w:bCs/>
          <w:i/>
          <w:iCs/>
          <w:lang w:val="en-AU"/>
        </w:rPr>
        <w:t>the Terms and Conditions must only contain a covenant not to sue if, and only if, the appeals/challenge mechanisms set forth under Topic 32 of this report are introduced into the program</w:t>
      </w:r>
      <w:r w:rsidRPr="003E220B">
        <w:rPr>
          <w:rFonts w:ascii="Calibri Light" w:hAnsi="Calibri Light" w:cs="Calibri Light"/>
          <w:b/>
          <w:bCs/>
          <w:i/>
          <w:iCs/>
          <w:lang w:val="en-AU"/>
        </w:rPr>
        <w:t>…</w:t>
      </w:r>
    </w:p>
    <w:p w14:paraId="1BB8BF16" w14:textId="63D55535" w:rsidR="00B809B0" w:rsidRPr="003E220B" w:rsidRDefault="00B809B0">
      <w:pPr>
        <w:widowControl w:val="0"/>
        <w:pBdr>
          <w:top w:val="nil"/>
          <w:left w:val="nil"/>
          <w:bottom w:val="nil"/>
          <w:right w:val="nil"/>
          <w:between w:val="nil"/>
        </w:pBdr>
        <w:rPr>
          <w:rFonts w:ascii="Calibri Light" w:hAnsi="Calibri Light" w:cs="Calibri Light"/>
          <w:b/>
          <w:bCs/>
          <w:lang w:val="en-AU"/>
        </w:rPr>
      </w:pPr>
      <w:r w:rsidRPr="003E220B">
        <w:rPr>
          <w:rFonts w:ascii="Calibri Light" w:hAnsi="Calibri Light" w:cs="Calibri Light"/>
          <w:b/>
          <w:bCs/>
          <w:lang w:val="en-AU"/>
        </w:rPr>
        <w:t>do</w:t>
      </w:r>
      <w:r w:rsidR="008E141E" w:rsidRPr="003E220B">
        <w:rPr>
          <w:rFonts w:ascii="Calibri Light" w:hAnsi="Calibri Light" w:cs="Calibri Light"/>
          <w:b/>
          <w:bCs/>
          <w:lang w:val="en-AU"/>
        </w:rPr>
        <w:t>es</w:t>
      </w:r>
      <w:r w:rsidRPr="003E220B">
        <w:rPr>
          <w:rFonts w:ascii="Calibri Light" w:hAnsi="Calibri Light" w:cs="Calibri Light"/>
          <w:b/>
          <w:bCs/>
          <w:lang w:val="en-AU"/>
        </w:rPr>
        <w:t xml:space="preserve"> not put at risk the enforceability of the Covenant Not to Sue in the TLD Application Terms and Conditions</w:t>
      </w:r>
      <w:r w:rsidR="008E141E" w:rsidRPr="003E220B">
        <w:rPr>
          <w:rFonts w:ascii="Calibri Light" w:hAnsi="Calibri Light" w:cs="Calibri Light"/>
          <w:b/>
          <w:bCs/>
          <w:lang w:val="en-AU"/>
        </w:rPr>
        <w:t>.</w:t>
      </w:r>
    </w:p>
    <w:p w14:paraId="00000013" w14:textId="763DC087" w:rsidR="00E35140" w:rsidRPr="003E220B" w:rsidRDefault="008E141E" w:rsidP="008E141E">
      <w:pPr>
        <w:pStyle w:val="ListParagraph"/>
        <w:widowControl w:val="0"/>
        <w:numPr>
          <w:ilvl w:val="0"/>
          <w:numId w:val="6"/>
        </w:numPr>
        <w:pBdr>
          <w:top w:val="nil"/>
          <w:left w:val="nil"/>
          <w:bottom w:val="nil"/>
          <w:right w:val="nil"/>
          <w:between w:val="nil"/>
        </w:pBdr>
        <w:rPr>
          <w:rFonts w:ascii="Calibri Light" w:hAnsi="Calibri Light" w:cs="Calibri Light"/>
          <w:lang w:val="en-AU"/>
        </w:rPr>
      </w:pPr>
      <w:r w:rsidRPr="003E220B">
        <w:rPr>
          <w:rFonts w:ascii="Calibri Light" w:hAnsi="Calibri Light" w:cs="Calibri Light"/>
          <w:lang w:val="en-AU"/>
        </w:rPr>
        <w:lastRenderedPageBreak/>
        <w:t xml:space="preserve">The ODA repeats an earlier Board concern that applicants, not satisfied with appeals/review mechanisms, could seek to obviate the covenant not to sue. That is not the intent of this </w:t>
      </w:r>
      <w:r w:rsidR="00104A79" w:rsidRPr="003E220B">
        <w:rPr>
          <w:rFonts w:ascii="Calibri Light" w:hAnsi="Calibri Light" w:cs="Calibri Light"/>
          <w:lang w:val="en-AU"/>
        </w:rPr>
        <w:t xml:space="preserve">SubPro </w:t>
      </w:r>
      <w:r w:rsidRPr="003E220B">
        <w:rPr>
          <w:rFonts w:ascii="Calibri Light" w:hAnsi="Calibri Light" w:cs="Calibri Light"/>
          <w:lang w:val="en-AU"/>
        </w:rPr>
        <w:t xml:space="preserve">recommendation, which only seeks to ensure that some review process exists for each step of the evaluation and contention resolution processes. The SubPro </w:t>
      </w:r>
      <w:r w:rsidR="00104A79" w:rsidRPr="003E220B">
        <w:rPr>
          <w:rFonts w:ascii="Calibri Light" w:hAnsi="Calibri Light" w:cs="Calibri Light"/>
          <w:lang w:val="en-AU"/>
        </w:rPr>
        <w:t>public record</w:t>
      </w:r>
      <w:r w:rsidRPr="003E220B">
        <w:rPr>
          <w:rFonts w:ascii="Calibri Light" w:hAnsi="Calibri Light" w:cs="Calibri Light"/>
          <w:lang w:val="en-AU"/>
        </w:rPr>
        <w:t xml:space="preserve"> verif</w:t>
      </w:r>
      <w:r w:rsidR="00104A79" w:rsidRPr="003E220B">
        <w:rPr>
          <w:rFonts w:ascii="Calibri Light" w:hAnsi="Calibri Light" w:cs="Calibri Light"/>
          <w:lang w:val="en-AU"/>
        </w:rPr>
        <w:t>ies</w:t>
      </w:r>
      <w:r w:rsidRPr="003E220B">
        <w:rPr>
          <w:rFonts w:ascii="Calibri Light" w:hAnsi="Calibri Light" w:cs="Calibri Light"/>
          <w:lang w:val="en-AU"/>
        </w:rPr>
        <w:t xml:space="preserve"> this. </w:t>
      </w:r>
    </w:p>
    <w:p w14:paraId="06D08B43" w14:textId="67EA42AA" w:rsidR="008E141E" w:rsidRPr="003E220B" w:rsidRDefault="008E141E" w:rsidP="008E141E">
      <w:pPr>
        <w:pStyle w:val="ListParagraph"/>
        <w:widowControl w:val="0"/>
        <w:numPr>
          <w:ilvl w:val="0"/>
          <w:numId w:val="6"/>
        </w:numPr>
        <w:pBdr>
          <w:top w:val="nil"/>
          <w:left w:val="nil"/>
          <w:bottom w:val="nil"/>
          <w:right w:val="nil"/>
          <w:between w:val="nil"/>
        </w:pBdr>
        <w:rPr>
          <w:rFonts w:ascii="Calibri Light" w:hAnsi="Calibri Light" w:cs="Calibri Light"/>
          <w:lang w:val="en-AU"/>
        </w:rPr>
      </w:pPr>
      <w:r w:rsidRPr="003E220B">
        <w:rPr>
          <w:rFonts w:ascii="Calibri Light" w:hAnsi="Calibri Light" w:cs="Calibri Light"/>
          <w:lang w:val="en-AU"/>
        </w:rPr>
        <w:t xml:space="preserve">The intent of the SubPro working group can be confirmed and codified during the implementation phase. </w:t>
      </w:r>
      <w:r w:rsidR="00217C50" w:rsidRPr="003E220B">
        <w:rPr>
          <w:rFonts w:ascii="Calibri Light" w:hAnsi="Calibri Light" w:cs="Calibri Light"/>
          <w:lang w:val="en-AU"/>
        </w:rPr>
        <w:t xml:space="preserve">If this does not turn out to be the case, the Board can ask the Council to reconsider this policy recommendation. </w:t>
      </w:r>
    </w:p>
    <w:p w14:paraId="00000014" w14:textId="77777777" w:rsidR="00E35140" w:rsidRPr="003E220B" w:rsidRDefault="00E35140">
      <w:pPr>
        <w:widowControl w:val="0"/>
        <w:pBdr>
          <w:top w:val="nil"/>
          <w:left w:val="nil"/>
          <w:bottom w:val="nil"/>
          <w:right w:val="nil"/>
          <w:between w:val="nil"/>
        </w:pBdr>
        <w:rPr>
          <w:rFonts w:ascii="Calibri Light" w:hAnsi="Calibri Light" w:cs="Calibri Light"/>
          <w:lang w:val="en-AU"/>
        </w:rPr>
      </w:pPr>
    </w:p>
    <w:p w14:paraId="6C344422" w14:textId="6750CA0B" w:rsidR="00A0473F" w:rsidRPr="003E220B" w:rsidRDefault="00A0473F">
      <w:pPr>
        <w:widowControl w:val="0"/>
        <w:pBdr>
          <w:top w:val="nil"/>
          <w:left w:val="nil"/>
          <w:bottom w:val="nil"/>
          <w:right w:val="nil"/>
          <w:between w:val="nil"/>
        </w:pBdr>
        <w:rPr>
          <w:rFonts w:ascii="Calibri Light" w:hAnsi="Calibri Light" w:cs="Calibri Light"/>
          <w:b/>
          <w:bCs/>
          <w:lang w:val="en-AU"/>
        </w:rPr>
      </w:pPr>
      <w:r w:rsidRPr="003E220B">
        <w:rPr>
          <w:rFonts w:ascii="Calibri Light" w:hAnsi="Calibri Light" w:cs="Calibri Light"/>
          <w:b/>
          <w:bCs/>
          <w:lang w:val="en-AU"/>
        </w:rPr>
        <w:t>Observation: The SubPro Final Report regarding appeals</w:t>
      </w:r>
      <w:r w:rsidR="00104A79" w:rsidRPr="003E220B">
        <w:rPr>
          <w:rFonts w:ascii="Calibri Light" w:hAnsi="Calibri Light" w:cs="Calibri Light"/>
          <w:b/>
          <w:bCs/>
          <w:lang w:val="en-AU"/>
        </w:rPr>
        <w:t xml:space="preserve"> and challenge</w:t>
      </w:r>
      <w:r w:rsidRPr="003E220B">
        <w:rPr>
          <w:rFonts w:ascii="Calibri Light" w:hAnsi="Calibri Light" w:cs="Calibri Light"/>
          <w:b/>
          <w:bCs/>
          <w:lang w:val="en-AU"/>
        </w:rPr>
        <w:t xml:space="preserve"> mechanisms does not open the door to unnecessary cost, delay, or gaming. </w:t>
      </w:r>
    </w:p>
    <w:p w14:paraId="26A71743" w14:textId="5FC146B2" w:rsidR="00A0473F" w:rsidRPr="003E220B" w:rsidRDefault="00A0473F" w:rsidP="00A0473F">
      <w:pPr>
        <w:pStyle w:val="ListParagraph"/>
        <w:widowControl w:val="0"/>
        <w:numPr>
          <w:ilvl w:val="0"/>
          <w:numId w:val="8"/>
        </w:numPr>
        <w:pBdr>
          <w:top w:val="nil"/>
          <w:left w:val="nil"/>
          <w:bottom w:val="nil"/>
          <w:right w:val="nil"/>
          <w:between w:val="nil"/>
        </w:pBdr>
        <w:rPr>
          <w:rFonts w:ascii="Calibri Light" w:hAnsi="Calibri Light" w:cs="Calibri Light"/>
          <w:lang w:val="en-AU"/>
        </w:rPr>
      </w:pPr>
      <w:r w:rsidRPr="003E220B">
        <w:rPr>
          <w:rFonts w:ascii="Calibri Light" w:hAnsi="Calibri Light" w:cs="Calibri Light"/>
          <w:lang w:val="en-AU"/>
        </w:rPr>
        <w:t xml:space="preserve">The ODA indicates that </w:t>
      </w:r>
      <w:r w:rsidRPr="003E220B">
        <w:rPr>
          <w:rFonts w:ascii="Calibri Light" w:hAnsi="Calibri Light" w:cs="Calibri Light"/>
          <w:lang w:val="en-AU"/>
        </w:rPr>
        <w:t xml:space="preserve">allowing </w:t>
      </w:r>
      <w:r w:rsidRPr="003E220B">
        <w:rPr>
          <w:rFonts w:ascii="Calibri Light" w:hAnsi="Calibri Light" w:cs="Calibri Light"/>
          <w:lang w:val="en-AU"/>
        </w:rPr>
        <w:t>c</w:t>
      </w:r>
      <w:r w:rsidRPr="003E220B">
        <w:rPr>
          <w:rFonts w:ascii="Calibri Light" w:hAnsi="Calibri Light" w:cs="Calibri Light"/>
          <w:lang w:val="en-AU"/>
        </w:rPr>
        <w:t xml:space="preserve">hallenges to evaluation decisions may cause unnecessary cost and delay, </w:t>
      </w:r>
      <w:r w:rsidRPr="003E220B">
        <w:rPr>
          <w:rFonts w:ascii="Calibri Light" w:hAnsi="Calibri Light" w:cs="Calibri Light"/>
          <w:lang w:val="en-AU"/>
        </w:rPr>
        <w:t xml:space="preserve">and </w:t>
      </w:r>
      <w:r w:rsidR="00104A79" w:rsidRPr="003E220B">
        <w:rPr>
          <w:rFonts w:ascii="Calibri Light" w:hAnsi="Calibri Light" w:cs="Calibri Light"/>
          <w:lang w:val="en-AU"/>
        </w:rPr>
        <w:t xml:space="preserve">that the issue </w:t>
      </w:r>
      <w:r w:rsidRPr="003E220B">
        <w:rPr>
          <w:rFonts w:ascii="Calibri Light" w:hAnsi="Calibri Light" w:cs="Calibri Light"/>
          <w:lang w:val="en-AU"/>
        </w:rPr>
        <w:t xml:space="preserve">is already addressed by </w:t>
      </w:r>
      <w:r w:rsidRPr="003E220B">
        <w:rPr>
          <w:rFonts w:ascii="Calibri Light" w:hAnsi="Calibri Light" w:cs="Calibri Light"/>
          <w:lang w:val="en-AU"/>
        </w:rPr>
        <w:t>Extended Evaluation.</w:t>
      </w:r>
      <w:r w:rsidRPr="003E220B">
        <w:rPr>
          <w:rFonts w:ascii="Calibri Light" w:hAnsi="Calibri Light" w:cs="Calibri Light"/>
          <w:lang w:val="en-AU"/>
        </w:rPr>
        <w:t xml:space="preserve"> However, the SubPro report sought </w:t>
      </w:r>
      <w:r w:rsidR="007F1A0D" w:rsidRPr="003E220B">
        <w:rPr>
          <w:rFonts w:ascii="Calibri Light" w:hAnsi="Calibri Light" w:cs="Calibri Light"/>
          <w:lang w:val="en-AU"/>
        </w:rPr>
        <w:t xml:space="preserve">only </w:t>
      </w:r>
      <w:r w:rsidRPr="003E220B">
        <w:rPr>
          <w:rFonts w:ascii="Calibri Light" w:hAnsi="Calibri Light" w:cs="Calibri Light"/>
          <w:lang w:val="en-AU"/>
        </w:rPr>
        <w:t xml:space="preserve">to </w:t>
      </w:r>
      <w:r w:rsidR="007F1A0D" w:rsidRPr="003E220B">
        <w:rPr>
          <w:rFonts w:ascii="Calibri Light" w:hAnsi="Calibri Light" w:cs="Calibri Light"/>
          <w:lang w:val="en-AU"/>
        </w:rPr>
        <w:t xml:space="preserve">cure the potential issues associated with the possibility that </w:t>
      </w:r>
      <w:r w:rsidRPr="003E220B">
        <w:rPr>
          <w:rFonts w:ascii="Calibri Light" w:hAnsi="Calibri Light" w:cs="Calibri Light"/>
          <w:lang w:val="en-AU"/>
        </w:rPr>
        <w:t xml:space="preserve">those performing the extended evaluations were the same as those persons that </w:t>
      </w:r>
      <w:r w:rsidR="003E220B" w:rsidRPr="003E220B">
        <w:rPr>
          <w:rFonts w:ascii="Calibri Light" w:hAnsi="Calibri Light" w:cs="Calibri Light"/>
          <w:lang w:val="en-AU"/>
        </w:rPr>
        <w:t>conducted</w:t>
      </w:r>
      <w:r w:rsidRPr="003E220B">
        <w:rPr>
          <w:rFonts w:ascii="Calibri Light" w:hAnsi="Calibri Light" w:cs="Calibri Light"/>
          <w:lang w:val="en-AU"/>
        </w:rPr>
        <w:t xml:space="preserve"> the initial </w:t>
      </w:r>
      <w:r w:rsidR="003E220B" w:rsidRPr="003E220B">
        <w:rPr>
          <w:rFonts w:ascii="Calibri Light" w:hAnsi="Calibri Light" w:cs="Calibri Light"/>
          <w:lang w:val="en-AU"/>
        </w:rPr>
        <w:t>evaluation</w:t>
      </w:r>
      <w:r w:rsidR="007F1A0D" w:rsidRPr="003E220B">
        <w:rPr>
          <w:rFonts w:ascii="Calibri Light" w:hAnsi="Calibri Light" w:cs="Calibri Light"/>
          <w:lang w:val="en-AU"/>
        </w:rPr>
        <w:t xml:space="preserve">. Efficient mechanisms for resolving this concern are </w:t>
      </w:r>
      <w:r w:rsidR="003E220B" w:rsidRPr="003E220B">
        <w:rPr>
          <w:rFonts w:ascii="Calibri Light" w:hAnsi="Calibri Light" w:cs="Calibri Light"/>
          <w:lang w:val="en-AU"/>
        </w:rPr>
        <w:t>described in the SubPro report</w:t>
      </w:r>
      <w:r w:rsidR="007F1A0D" w:rsidRPr="003E220B">
        <w:rPr>
          <w:rFonts w:ascii="Calibri Light" w:hAnsi="Calibri Light" w:cs="Calibri Light"/>
          <w:lang w:val="en-AU"/>
        </w:rPr>
        <w:t xml:space="preserve"> </w:t>
      </w:r>
      <w:r w:rsidR="003E220B">
        <w:rPr>
          <w:rFonts w:ascii="Calibri Light" w:hAnsi="Calibri Light" w:cs="Calibri Light"/>
          <w:lang w:val="en-AU"/>
        </w:rPr>
        <w:t xml:space="preserve">(e.g., finding a different “set of eyes” for extended evaluation) </w:t>
      </w:r>
      <w:r w:rsidR="007F1A0D" w:rsidRPr="003E220B">
        <w:rPr>
          <w:rFonts w:ascii="Calibri Light" w:hAnsi="Calibri Light" w:cs="Calibri Light"/>
          <w:lang w:val="en-AU"/>
        </w:rPr>
        <w:t xml:space="preserve">and can be formalised during the implementation phase. </w:t>
      </w:r>
    </w:p>
    <w:p w14:paraId="5FBD711D" w14:textId="0D622839" w:rsidR="007F1A0D" w:rsidRPr="003E220B" w:rsidRDefault="007F1A0D" w:rsidP="00A0473F">
      <w:pPr>
        <w:pStyle w:val="ListParagraph"/>
        <w:widowControl w:val="0"/>
        <w:numPr>
          <w:ilvl w:val="0"/>
          <w:numId w:val="8"/>
        </w:numPr>
        <w:pBdr>
          <w:top w:val="nil"/>
          <w:left w:val="nil"/>
          <w:bottom w:val="nil"/>
          <w:right w:val="nil"/>
          <w:between w:val="nil"/>
        </w:pBdr>
        <w:rPr>
          <w:rFonts w:ascii="Calibri Light" w:hAnsi="Calibri Light" w:cs="Calibri Light"/>
          <w:lang w:val="en-AU"/>
        </w:rPr>
      </w:pPr>
      <w:r w:rsidRPr="003E220B">
        <w:rPr>
          <w:rFonts w:ascii="Calibri Light" w:hAnsi="Calibri Light" w:cs="Calibri Light"/>
          <w:lang w:val="en-AU"/>
        </w:rPr>
        <w:t xml:space="preserve">The ODA also expresses </w:t>
      </w:r>
      <w:r w:rsidRPr="003E220B">
        <w:rPr>
          <w:rFonts w:ascii="Calibri Light" w:hAnsi="Calibri Light" w:cs="Calibri Light"/>
          <w:lang w:val="en-AU"/>
        </w:rPr>
        <w:t>concern</w:t>
      </w:r>
      <w:r w:rsidR="003E220B">
        <w:rPr>
          <w:rFonts w:ascii="Calibri Light" w:hAnsi="Calibri Light" w:cs="Calibri Light"/>
          <w:lang w:val="en-AU"/>
        </w:rPr>
        <w:t>s</w:t>
      </w:r>
      <w:r w:rsidRPr="003E220B">
        <w:rPr>
          <w:rFonts w:ascii="Calibri Light" w:hAnsi="Calibri Light" w:cs="Calibri Light"/>
          <w:lang w:val="en-AU"/>
        </w:rPr>
        <w:t xml:space="preserve"> that</w:t>
      </w:r>
      <w:r w:rsidRPr="003E220B">
        <w:rPr>
          <w:rFonts w:ascii="Calibri Light" w:hAnsi="Calibri Light" w:cs="Calibri Light"/>
          <w:lang w:val="en-AU"/>
        </w:rPr>
        <w:t xml:space="preserve"> the </w:t>
      </w:r>
      <w:r w:rsidRPr="003E220B">
        <w:rPr>
          <w:rFonts w:ascii="Calibri Light" w:hAnsi="Calibri Light" w:cs="Calibri Light"/>
          <w:lang w:val="en-AU"/>
        </w:rPr>
        <w:t xml:space="preserve">increased </w:t>
      </w:r>
      <w:r w:rsidRPr="003E220B">
        <w:rPr>
          <w:rFonts w:ascii="Calibri Light" w:hAnsi="Calibri Light" w:cs="Calibri Light"/>
          <w:lang w:val="en-AU"/>
        </w:rPr>
        <w:t>breadth of who would have standing to file a challenge/appeal</w:t>
      </w:r>
      <w:r w:rsidR="003E220B">
        <w:rPr>
          <w:rFonts w:ascii="Calibri Light" w:hAnsi="Calibri Light" w:cs="Calibri Light"/>
          <w:lang w:val="en-AU"/>
        </w:rPr>
        <w:t xml:space="preserve"> would lead to abuse or gaming</w:t>
      </w:r>
      <w:r w:rsidRPr="003E220B">
        <w:rPr>
          <w:rFonts w:ascii="Calibri Light" w:hAnsi="Calibri Light" w:cs="Calibri Light"/>
          <w:lang w:val="en-AU"/>
        </w:rPr>
        <w:t>.</w:t>
      </w:r>
      <w:r w:rsidRPr="003E220B">
        <w:rPr>
          <w:rFonts w:ascii="Calibri Light" w:hAnsi="Calibri Light" w:cs="Calibri Light"/>
          <w:lang w:val="en-AU"/>
        </w:rPr>
        <w:t xml:space="preserve"> The SubPro implementation guidance on this issue suggests consolidation and other mechanisms for minimising this concern. Again, the appropriate place for this balancing between expanded standing and associated negative impacts can be worked out in the implementation phase. </w:t>
      </w:r>
    </w:p>
    <w:p w14:paraId="67263978" w14:textId="77777777" w:rsidR="00A0473F" w:rsidRPr="003E220B" w:rsidRDefault="00A0473F">
      <w:pPr>
        <w:widowControl w:val="0"/>
        <w:pBdr>
          <w:top w:val="nil"/>
          <w:left w:val="nil"/>
          <w:bottom w:val="nil"/>
          <w:right w:val="nil"/>
          <w:between w:val="nil"/>
        </w:pBdr>
        <w:rPr>
          <w:rFonts w:ascii="Calibri Light" w:hAnsi="Calibri Light" w:cs="Calibri Light"/>
          <w:b/>
          <w:bCs/>
          <w:lang w:val="en-AU"/>
        </w:rPr>
      </w:pPr>
    </w:p>
    <w:p w14:paraId="0000001B" w14:textId="021B6CB4" w:rsidR="00E35140" w:rsidRPr="003E220B" w:rsidRDefault="00A00CCA">
      <w:pPr>
        <w:widowControl w:val="0"/>
        <w:pBdr>
          <w:top w:val="nil"/>
          <w:left w:val="nil"/>
          <w:bottom w:val="nil"/>
          <w:right w:val="nil"/>
          <w:between w:val="nil"/>
        </w:pBdr>
        <w:rPr>
          <w:rFonts w:ascii="Calibri Light" w:hAnsi="Calibri Light" w:cs="Calibri Light"/>
          <w:b/>
          <w:bCs/>
          <w:lang w:val="en-AU"/>
        </w:rPr>
      </w:pPr>
      <w:r w:rsidRPr="003E220B">
        <w:rPr>
          <w:rFonts w:ascii="Calibri Light" w:hAnsi="Calibri Light" w:cs="Calibri Light"/>
          <w:b/>
          <w:bCs/>
          <w:lang w:val="en-AU"/>
        </w:rPr>
        <w:t xml:space="preserve">Observation: The ODA recommendation that </w:t>
      </w:r>
      <w:r w:rsidR="003E220B" w:rsidRPr="003E220B">
        <w:rPr>
          <w:rFonts w:ascii="Calibri Light" w:hAnsi="Calibri Light" w:cs="Calibri Light"/>
          <w:b/>
          <w:bCs/>
          <w:lang w:val="en-AU"/>
        </w:rPr>
        <w:t>applica</w:t>
      </w:r>
      <w:r w:rsidR="003E220B">
        <w:rPr>
          <w:rFonts w:ascii="Calibri Light" w:hAnsi="Calibri Light" w:cs="Calibri Light"/>
          <w:b/>
          <w:bCs/>
          <w:lang w:val="en-AU"/>
        </w:rPr>
        <w:t>n</w:t>
      </w:r>
      <w:r w:rsidR="003E220B" w:rsidRPr="003E220B">
        <w:rPr>
          <w:rFonts w:ascii="Calibri Light" w:hAnsi="Calibri Light" w:cs="Calibri Light"/>
          <w:b/>
          <w:bCs/>
          <w:lang w:val="en-AU"/>
        </w:rPr>
        <w:t>ts</w:t>
      </w:r>
      <w:r w:rsidRPr="003E220B">
        <w:rPr>
          <w:rFonts w:ascii="Calibri Light" w:hAnsi="Calibri Light" w:cs="Calibri Light"/>
          <w:b/>
          <w:bCs/>
          <w:lang w:val="en-AU"/>
        </w:rPr>
        <w:t xml:space="preserve"> be permitted to change TLD labels</w:t>
      </w:r>
      <w:r w:rsidR="003E220B">
        <w:rPr>
          <w:rFonts w:ascii="Calibri Light" w:hAnsi="Calibri Light" w:cs="Calibri Light"/>
          <w:b/>
          <w:bCs/>
          <w:lang w:val="en-AU"/>
        </w:rPr>
        <w:t xml:space="preserve"> </w:t>
      </w:r>
      <w:r w:rsidR="003E220B" w:rsidRPr="003E220B">
        <w:rPr>
          <w:rFonts w:ascii="Calibri Light" w:hAnsi="Calibri Light" w:cs="Calibri Light"/>
          <w:b/>
          <w:bCs/>
          <w:lang w:val="en-AU"/>
        </w:rPr>
        <w:t>in order to reduce contention</w:t>
      </w:r>
      <w:r w:rsidRPr="003E220B">
        <w:rPr>
          <w:rFonts w:ascii="Calibri Light" w:hAnsi="Calibri Light" w:cs="Calibri Light"/>
          <w:b/>
          <w:bCs/>
          <w:lang w:val="en-AU"/>
        </w:rPr>
        <w:t xml:space="preserve">, inappropriately amends </w:t>
      </w:r>
      <w:r w:rsidR="003E220B">
        <w:rPr>
          <w:rFonts w:ascii="Calibri Light" w:hAnsi="Calibri Light" w:cs="Calibri Light"/>
          <w:b/>
          <w:bCs/>
          <w:lang w:val="en-AU"/>
        </w:rPr>
        <w:t xml:space="preserve">the </w:t>
      </w:r>
      <w:r w:rsidR="00743077" w:rsidRPr="003E220B">
        <w:rPr>
          <w:rFonts w:ascii="Calibri Light" w:hAnsi="Calibri Light" w:cs="Calibri Light"/>
          <w:b/>
          <w:bCs/>
          <w:lang w:val="en-AU"/>
        </w:rPr>
        <w:t xml:space="preserve">unanimously approved </w:t>
      </w:r>
      <w:r w:rsidRPr="003E220B">
        <w:rPr>
          <w:rFonts w:ascii="Calibri Light" w:hAnsi="Calibri Light" w:cs="Calibri Light"/>
          <w:b/>
          <w:bCs/>
          <w:lang w:val="en-AU"/>
        </w:rPr>
        <w:t xml:space="preserve">SubPro policy recommendation on this topic. </w:t>
      </w:r>
    </w:p>
    <w:p w14:paraId="020C4961" w14:textId="11B0469D" w:rsidR="00A00CCA" w:rsidRPr="003E220B" w:rsidRDefault="00A00CCA" w:rsidP="00A00CCA">
      <w:pPr>
        <w:pStyle w:val="ListParagraph"/>
        <w:widowControl w:val="0"/>
        <w:numPr>
          <w:ilvl w:val="0"/>
          <w:numId w:val="7"/>
        </w:numPr>
        <w:pBdr>
          <w:top w:val="nil"/>
          <w:left w:val="nil"/>
          <w:bottom w:val="nil"/>
          <w:right w:val="nil"/>
          <w:between w:val="nil"/>
        </w:pBdr>
        <w:rPr>
          <w:rFonts w:ascii="Calibri Light" w:hAnsi="Calibri Light" w:cs="Calibri Light"/>
          <w:lang w:val="en-AU"/>
        </w:rPr>
      </w:pPr>
      <w:r w:rsidRPr="003E220B">
        <w:rPr>
          <w:rFonts w:ascii="Calibri Light" w:hAnsi="Calibri Light" w:cs="Calibri Light"/>
          <w:lang w:val="en-AU"/>
        </w:rPr>
        <w:t xml:space="preserve">The SubPro PDP WG discussed this option specifically and </w:t>
      </w:r>
      <w:r w:rsidRPr="003E220B">
        <w:rPr>
          <w:rFonts w:ascii="Calibri Light" w:hAnsi="Calibri Light" w:cs="Calibri Light"/>
          <w:lang w:val="en-AU"/>
        </w:rPr>
        <w:t>decided to</w:t>
      </w:r>
      <w:r w:rsidRPr="003E220B">
        <w:rPr>
          <w:rFonts w:ascii="Calibri Light" w:hAnsi="Calibri Light" w:cs="Calibri Light"/>
          <w:lang w:val="en-AU"/>
        </w:rPr>
        <w:t xml:space="preserve"> not endorse a proposal </w:t>
      </w:r>
      <w:r w:rsidR="003E220B">
        <w:rPr>
          <w:rFonts w:ascii="Calibri Light" w:hAnsi="Calibri Light" w:cs="Calibri Light"/>
          <w:lang w:val="en-AU"/>
        </w:rPr>
        <w:t>affording</w:t>
      </w:r>
      <w:r w:rsidRPr="003E220B">
        <w:rPr>
          <w:rFonts w:ascii="Calibri Light" w:hAnsi="Calibri Light" w:cs="Calibri Light"/>
          <w:lang w:val="en-AU"/>
        </w:rPr>
        <w:t xml:space="preserve"> all applicants </w:t>
      </w:r>
      <w:r w:rsidR="003E220B">
        <w:rPr>
          <w:rFonts w:ascii="Calibri Light" w:hAnsi="Calibri Light" w:cs="Calibri Light"/>
          <w:lang w:val="en-AU"/>
        </w:rPr>
        <w:t xml:space="preserve">the opportunity </w:t>
      </w:r>
      <w:r w:rsidRPr="003E220B">
        <w:rPr>
          <w:rFonts w:ascii="Calibri Light" w:hAnsi="Calibri Light" w:cs="Calibri Light"/>
          <w:lang w:val="en-AU"/>
        </w:rPr>
        <w:t>to amend their strings</w:t>
      </w:r>
      <w:r w:rsidR="003E220B">
        <w:rPr>
          <w:rFonts w:ascii="Calibri Light" w:hAnsi="Calibri Light" w:cs="Calibri Light"/>
          <w:lang w:val="en-AU"/>
        </w:rPr>
        <w:t xml:space="preserve"> in the event of contention</w:t>
      </w:r>
      <w:r w:rsidRPr="003E220B">
        <w:rPr>
          <w:rFonts w:ascii="Calibri Light" w:hAnsi="Calibri Light" w:cs="Calibri Light"/>
          <w:lang w:val="en-AU"/>
        </w:rPr>
        <w:t>.</w:t>
      </w:r>
      <w:r w:rsidRPr="003E220B">
        <w:rPr>
          <w:rFonts w:ascii="Calibri Light" w:hAnsi="Calibri Light" w:cs="Calibri Light"/>
          <w:lang w:val="en-AU"/>
        </w:rPr>
        <w:t xml:space="preserve"> </w:t>
      </w:r>
      <w:r w:rsidRPr="003E220B">
        <w:rPr>
          <w:rFonts w:ascii="Calibri Light" w:hAnsi="Calibri Light" w:cs="Calibri Light"/>
          <w:lang w:val="en-AU"/>
        </w:rPr>
        <w:t xml:space="preserve">The </w:t>
      </w:r>
      <w:r w:rsidR="00743077" w:rsidRPr="003E220B">
        <w:rPr>
          <w:rFonts w:ascii="Calibri Light" w:hAnsi="Calibri Light" w:cs="Calibri Light"/>
          <w:lang w:val="en-AU"/>
        </w:rPr>
        <w:t xml:space="preserve">policy recommendations provided for such a remedy </w:t>
      </w:r>
      <w:r w:rsidR="003E220B">
        <w:rPr>
          <w:rFonts w:ascii="Calibri Light" w:hAnsi="Calibri Light" w:cs="Calibri Light"/>
          <w:lang w:val="en-AU"/>
        </w:rPr>
        <w:t>in the case of</w:t>
      </w:r>
      <w:r w:rsidR="00743077" w:rsidRPr="003E220B">
        <w:rPr>
          <w:rFonts w:ascii="Calibri Light" w:hAnsi="Calibri Light" w:cs="Calibri Light"/>
          <w:lang w:val="en-AU"/>
        </w:rPr>
        <w:t xml:space="preserve"> </w:t>
      </w:r>
      <w:r w:rsidRPr="003E220B">
        <w:rPr>
          <w:rFonts w:ascii="Calibri Light" w:hAnsi="Calibri Light" w:cs="Calibri Light"/>
          <w:lang w:val="en-AU"/>
        </w:rPr>
        <w:t xml:space="preserve">Brand TLDs </w:t>
      </w:r>
      <w:r w:rsidR="00743077" w:rsidRPr="003E220B">
        <w:rPr>
          <w:rFonts w:ascii="Calibri Light" w:hAnsi="Calibri Light" w:cs="Calibri Light"/>
          <w:lang w:val="en-AU"/>
        </w:rPr>
        <w:t>only; the SubPro report provides the rationale for that conclusion.</w:t>
      </w:r>
    </w:p>
    <w:p w14:paraId="6402D0D0" w14:textId="5C2C4216" w:rsidR="00743077" w:rsidRPr="003E220B" w:rsidRDefault="00743077" w:rsidP="00743077">
      <w:pPr>
        <w:pStyle w:val="ListParagraph"/>
        <w:numPr>
          <w:ilvl w:val="0"/>
          <w:numId w:val="7"/>
        </w:numPr>
        <w:rPr>
          <w:rFonts w:ascii="Calibri Light" w:hAnsi="Calibri Light" w:cs="Calibri Light"/>
          <w:lang w:val="en-AU"/>
        </w:rPr>
      </w:pPr>
      <w:r w:rsidRPr="003E220B">
        <w:rPr>
          <w:rFonts w:ascii="Calibri Light" w:hAnsi="Calibri Light" w:cs="Calibri Light"/>
          <w:lang w:val="en-AU"/>
        </w:rPr>
        <w:t>Even though reduced in number, contention sets will still exist</w:t>
      </w:r>
      <w:r w:rsidR="001D60BF" w:rsidRPr="003E220B">
        <w:rPr>
          <w:rFonts w:ascii="Calibri Light" w:hAnsi="Calibri Light" w:cs="Calibri Light"/>
          <w:lang w:val="en-AU"/>
        </w:rPr>
        <w:t xml:space="preserve"> and must be competently and consistently processed</w:t>
      </w:r>
      <w:r w:rsidRPr="003E220B">
        <w:rPr>
          <w:rFonts w:ascii="Calibri Light" w:hAnsi="Calibri Light" w:cs="Calibri Light"/>
          <w:lang w:val="en-AU"/>
        </w:rPr>
        <w:t xml:space="preserve">. </w:t>
      </w:r>
      <w:r w:rsidRPr="003E220B">
        <w:rPr>
          <w:rFonts w:ascii="Calibri Light" w:hAnsi="Calibri Light" w:cs="Calibri Light"/>
          <w:lang w:val="en-AU"/>
        </w:rPr>
        <w:t>R</w:t>
      </w:r>
      <w:r w:rsidRPr="003E220B">
        <w:rPr>
          <w:rFonts w:ascii="Calibri Light" w:hAnsi="Calibri Light" w:cs="Calibri Light"/>
          <w:lang w:val="en-AU"/>
        </w:rPr>
        <w:t>ather than seeking to amend the GNSO approved policy recommendations</w:t>
      </w:r>
      <w:r w:rsidR="001D60BF" w:rsidRPr="003E220B">
        <w:rPr>
          <w:rFonts w:ascii="Calibri Light" w:hAnsi="Calibri Light" w:cs="Calibri Light"/>
          <w:lang w:val="en-AU"/>
        </w:rPr>
        <w:t>, improvements to contention set resolution implementation, procedures and operation must be made</w:t>
      </w:r>
      <w:r w:rsidRPr="003E220B">
        <w:rPr>
          <w:rFonts w:ascii="Calibri Light" w:hAnsi="Calibri Light" w:cs="Calibri Light"/>
          <w:lang w:val="en-AU"/>
        </w:rPr>
        <w:t xml:space="preserve">. </w:t>
      </w:r>
    </w:p>
    <w:p w14:paraId="0960D147" w14:textId="624940AC" w:rsidR="00A00CCA" w:rsidRPr="003E220B" w:rsidRDefault="00A00CCA">
      <w:pPr>
        <w:widowControl w:val="0"/>
        <w:pBdr>
          <w:top w:val="nil"/>
          <w:left w:val="nil"/>
          <w:bottom w:val="nil"/>
          <w:right w:val="nil"/>
          <w:between w:val="nil"/>
        </w:pBdr>
        <w:rPr>
          <w:rFonts w:ascii="Calibri Light" w:hAnsi="Calibri Light" w:cs="Calibri Light"/>
          <w:lang w:val="en-AU"/>
        </w:rPr>
      </w:pPr>
    </w:p>
    <w:p w14:paraId="00000026" w14:textId="0BC7950B" w:rsidR="00E35140" w:rsidRPr="003E220B" w:rsidRDefault="007F1A0D">
      <w:pPr>
        <w:widowControl w:val="0"/>
        <w:pBdr>
          <w:top w:val="nil"/>
          <w:left w:val="nil"/>
          <w:bottom w:val="nil"/>
          <w:right w:val="nil"/>
          <w:between w:val="nil"/>
        </w:pBdr>
        <w:rPr>
          <w:rFonts w:ascii="Calibri Light" w:hAnsi="Calibri Light" w:cs="Calibri Light"/>
          <w:lang w:val="en-AU"/>
        </w:rPr>
      </w:pPr>
      <w:r w:rsidRPr="003E220B">
        <w:rPr>
          <w:rFonts w:ascii="Calibri Light" w:hAnsi="Calibri Light" w:cs="Calibri Light"/>
          <w:lang w:val="en-AU"/>
        </w:rPr>
        <w:t xml:space="preserve">Thank you again for this opportunity and for taking the time to read and consider these points. </w:t>
      </w:r>
      <w:r w:rsidR="008F1AD8" w:rsidRPr="003E220B">
        <w:rPr>
          <w:rFonts w:ascii="Calibri Light" w:hAnsi="Calibri Light" w:cs="Calibri Light"/>
          <w:lang w:val="en-AU"/>
        </w:rPr>
        <w:t>The Council stands ready to take part in any ensuing dialogue.</w:t>
      </w:r>
    </w:p>
    <w:p w14:paraId="00000027" w14:textId="77777777" w:rsidR="00E35140" w:rsidRPr="003E220B" w:rsidRDefault="00E35140">
      <w:pPr>
        <w:widowControl w:val="0"/>
        <w:pBdr>
          <w:top w:val="nil"/>
          <w:left w:val="nil"/>
          <w:bottom w:val="nil"/>
          <w:right w:val="nil"/>
          <w:between w:val="nil"/>
        </w:pBdr>
        <w:rPr>
          <w:rFonts w:ascii="Calibri Light" w:hAnsi="Calibri Light" w:cs="Calibri Light"/>
          <w:lang w:val="en-AU"/>
        </w:rPr>
      </w:pPr>
    </w:p>
    <w:p w14:paraId="00000067" w14:textId="55A79576" w:rsidR="00E35140" w:rsidRPr="003E220B" w:rsidRDefault="00E35140">
      <w:pPr>
        <w:widowControl w:val="0"/>
        <w:pBdr>
          <w:top w:val="nil"/>
          <w:left w:val="nil"/>
          <w:bottom w:val="nil"/>
          <w:right w:val="nil"/>
          <w:between w:val="nil"/>
        </w:pBdr>
        <w:rPr>
          <w:rFonts w:ascii="Calibri Light" w:hAnsi="Calibri Light" w:cs="Calibri Light"/>
          <w:lang w:val="en-AU"/>
        </w:rPr>
      </w:pPr>
    </w:p>
    <w:sectPr w:rsidR="00E35140" w:rsidRPr="003E220B" w:rsidSect="00711424">
      <w:headerReference w:type="default" r:id="rId9"/>
      <w:footerReference w:type="even"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50441" w14:textId="77777777" w:rsidR="008F1AD8" w:rsidRDefault="008F1AD8">
      <w:pPr>
        <w:spacing w:line="240" w:lineRule="auto"/>
      </w:pPr>
      <w:r>
        <w:separator/>
      </w:r>
    </w:p>
  </w:endnote>
  <w:endnote w:type="continuationSeparator" w:id="0">
    <w:p w14:paraId="0BF77343" w14:textId="77777777" w:rsidR="008F1AD8" w:rsidRDefault="008F1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023106"/>
      <w:docPartObj>
        <w:docPartGallery w:val="Page Numbers (Bottom of Page)"/>
        <w:docPartUnique/>
      </w:docPartObj>
    </w:sdtPr>
    <w:sdtContent>
      <w:p w14:paraId="719A53A1" w14:textId="098E1AC6" w:rsidR="004439AA" w:rsidRDefault="004439AA" w:rsidP="00DD43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2AED7" w14:textId="77777777" w:rsidR="004439AA" w:rsidRDefault="004439AA" w:rsidP="00443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438825"/>
      <w:docPartObj>
        <w:docPartGallery w:val="Page Numbers (Bottom of Page)"/>
        <w:docPartUnique/>
      </w:docPartObj>
    </w:sdtPr>
    <w:sdtContent>
      <w:p w14:paraId="45578389" w14:textId="2E601924" w:rsidR="004439AA" w:rsidRDefault="004439AA" w:rsidP="00DD43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05C08" w14:textId="77777777" w:rsidR="004439AA" w:rsidRDefault="004439AA" w:rsidP="004439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910A" w14:textId="77777777" w:rsidR="008F1AD8" w:rsidRDefault="008F1AD8">
      <w:pPr>
        <w:spacing w:line="240" w:lineRule="auto"/>
      </w:pPr>
      <w:r>
        <w:separator/>
      </w:r>
    </w:p>
  </w:footnote>
  <w:footnote w:type="continuationSeparator" w:id="0">
    <w:p w14:paraId="363A5EAC" w14:textId="77777777" w:rsidR="008F1AD8" w:rsidRDefault="008F1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FF92" w14:textId="7B791FA0" w:rsidR="004439AA" w:rsidRPr="00711424" w:rsidRDefault="00711424" w:rsidP="00711424">
    <w:pPr>
      <w:rPr>
        <w:rFonts w:ascii="Calibri Light" w:hAnsi="Calibri Light" w:cs="Calibri Light"/>
        <w:b/>
        <w:bCs/>
        <w:sz w:val="20"/>
        <w:szCs w:val="20"/>
        <w:lang w:val="en-AU"/>
      </w:rPr>
    </w:pPr>
    <w:r w:rsidRPr="00711424">
      <w:rPr>
        <w:rFonts w:ascii="Calibri Light" w:hAnsi="Calibri Light" w:cs="Calibri Light"/>
        <w:b/>
        <w:bCs/>
        <w:sz w:val="20"/>
        <w:szCs w:val="20"/>
        <w:lang w:val="en-AU"/>
      </w:rPr>
      <w:t>GNSO Council Small Team Review of the SubPro Operational Design Assessment (ODA)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1016"/>
    <w:multiLevelType w:val="hybridMultilevel"/>
    <w:tmpl w:val="7C1484F2"/>
    <w:lvl w:ilvl="0" w:tplc="5ED2F9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959DB"/>
    <w:multiLevelType w:val="hybridMultilevel"/>
    <w:tmpl w:val="DC1EF47E"/>
    <w:lvl w:ilvl="0" w:tplc="5ED2F9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72293"/>
    <w:multiLevelType w:val="hybridMultilevel"/>
    <w:tmpl w:val="2A94ECBE"/>
    <w:lvl w:ilvl="0" w:tplc="5ED2F9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808D8"/>
    <w:multiLevelType w:val="multilevel"/>
    <w:tmpl w:val="D2F8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3706E7"/>
    <w:multiLevelType w:val="hybridMultilevel"/>
    <w:tmpl w:val="F0441D2E"/>
    <w:lvl w:ilvl="0" w:tplc="5ED2F9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2581E"/>
    <w:multiLevelType w:val="hybridMultilevel"/>
    <w:tmpl w:val="98BC0F4C"/>
    <w:lvl w:ilvl="0" w:tplc="5ED2F9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E2550"/>
    <w:multiLevelType w:val="hybridMultilevel"/>
    <w:tmpl w:val="3A8C6E86"/>
    <w:lvl w:ilvl="0" w:tplc="5ED2F9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A568A"/>
    <w:multiLevelType w:val="multilevel"/>
    <w:tmpl w:val="47FC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4"/>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40"/>
    <w:rsid w:val="000232C9"/>
    <w:rsid w:val="000C185A"/>
    <w:rsid w:val="000F79E6"/>
    <w:rsid w:val="00104A79"/>
    <w:rsid w:val="001C7DCA"/>
    <w:rsid w:val="001D60BF"/>
    <w:rsid w:val="00217C50"/>
    <w:rsid w:val="002273AE"/>
    <w:rsid w:val="002B6A5A"/>
    <w:rsid w:val="002E5768"/>
    <w:rsid w:val="003E1DD2"/>
    <w:rsid w:val="003E220B"/>
    <w:rsid w:val="004439AA"/>
    <w:rsid w:val="0054285F"/>
    <w:rsid w:val="005A1249"/>
    <w:rsid w:val="005A2830"/>
    <w:rsid w:val="005B3221"/>
    <w:rsid w:val="005D41BD"/>
    <w:rsid w:val="005D6264"/>
    <w:rsid w:val="006516A4"/>
    <w:rsid w:val="006D6917"/>
    <w:rsid w:val="00711424"/>
    <w:rsid w:val="00743077"/>
    <w:rsid w:val="007D47F0"/>
    <w:rsid w:val="007F1A0D"/>
    <w:rsid w:val="00815724"/>
    <w:rsid w:val="0085494E"/>
    <w:rsid w:val="008E141E"/>
    <w:rsid w:val="008F1AD8"/>
    <w:rsid w:val="008F44ED"/>
    <w:rsid w:val="00963A69"/>
    <w:rsid w:val="00963DC8"/>
    <w:rsid w:val="0096464D"/>
    <w:rsid w:val="00A00CCA"/>
    <w:rsid w:val="00A0473F"/>
    <w:rsid w:val="00A200CF"/>
    <w:rsid w:val="00A62FEF"/>
    <w:rsid w:val="00AB0A5B"/>
    <w:rsid w:val="00B00639"/>
    <w:rsid w:val="00B23133"/>
    <w:rsid w:val="00B40A45"/>
    <w:rsid w:val="00B671AE"/>
    <w:rsid w:val="00B721DD"/>
    <w:rsid w:val="00B809B0"/>
    <w:rsid w:val="00BB30E4"/>
    <w:rsid w:val="00C00DC9"/>
    <w:rsid w:val="00C22DB9"/>
    <w:rsid w:val="00CA5735"/>
    <w:rsid w:val="00CC74FA"/>
    <w:rsid w:val="00E35140"/>
    <w:rsid w:val="00E36540"/>
    <w:rsid w:val="00E80D92"/>
    <w:rsid w:val="00EE6705"/>
    <w:rsid w:val="00F01288"/>
    <w:rsid w:val="00F65371"/>
    <w:rsid w:val="00FA125F"/>
    <w:rsid w:val="00FD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315AFB"/>
  <w15:docId w15:val="{8F3F9D77-A0B8-3E4B-8AD0-CEFB2A38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21DD"/>
    <w:rPr>
      <w:b/>
      <w:bCs/>
    </w:rPr>
  </w:style>
  <w:style w:type="character" w:customStyle="1" w:styleId="CommentSubjectChar">
    <w:name w:val="Comment Subject Char"/>
    <w:basedOn w:val="CommentTextChar"/>
    <w:link w:val="CommentSubject"/>
    <w:uiPriority w:val="99"/>
    <w:semiHidden/>
    <w:rsid w:val="00B721DD"/>
    <w:rPr>
      <w:b/>
      <w:bCs/>
      <w:sz w:val="20"/>
      <w:szCs w:val="20"/>
    </w:rPr>
  </w:style>
  <w:style w:type="paragraph" w:styleId="ListParagraph">
    <w:name w:val="List Paragraph"/>
    <w:basedOn w:val="Normal"/>
    <w:uiPriority w:val="34"/>
    <w:qFormat/>
    <w:rsid w:val="007D47F0"/>
    <w:pPr>
      <w:ind w:left="720"/>
      <w:contextualSpacing/>
    </w:pPr>
  </w:style>
  <w:style w:type="paragraph" w:styleId="FootnoteText">
    <w:name w:val="footnote text"/>
    <w:basedOn w:val="Normal"/>
    <w:link w:val="FootnoteTextChar"/>
    <w:uiPriority w:val="99"/>
    <w:semiHidden/>
    <w:unhideWhenUsed/>
    <w:rsid w:val="000F79E6"/>
    <w:pPr>
      <w:spacing w:line="240" w:lineRule="auto"/>
    </w:pPr>
    <w:rPr>
      <w:sz w:val="20"/>
      <w:szCs w:val="20"/>
    </w:rPr>
  </w:style>
  <w:style w:type="character" w:customStyle="1" w:styleId="FootnoteTextChar">
    <w:name w:val="Footnote Text Char"/>
    <w:basedOn w:val="DefaultParagraphFont"/>
    <w:link w:val="FootnoteText"/>
    <w:uiPriority w:val="99"/>
    <w:semiHidden/>
    <w:rsid w:val="000F79E6"/>
    <w:rPr>
      <w:sz w:val="20"/>
      <w:szCs w:val="20"/>
    </w:rPr>
  </w:style>
  <w:style w:type="character" w:styleId="FootnoteReference">
    <w:name w:val="footnote reference"/>
    <w:basedOn w:val="DefaultParagraphFont"/>
    <w:uiPriority w:val="99"/>
    <w:semiHidden/>
    <w:unhideWhenUsed/>
    <w:rsid w:val="000F79E6"/>
    <w:rPr>
      <w:vertAlign w:val="superscript"/>
    </w:rPr>
  </w:style>
  <w:style w:type="paragraph" w:styleId="Footer">
    <w:name w:val="footer"/>
    <w:basedOn w:val="Normal"/>
    <w:link w:val="FooterChar"/>
    <w:uiPriority w:val="99"/>
    <w:unhideWhenUsed/>
    <w:rsid w:val="004439AA"/>
    <w:pPr>
      <w:tabs>
        <w:tab w:val="center" w:pos="4513"/>
        <w:tab w:val="right" w:pos="9026"/>
      </w:tabs>
      <w:spacing w:line="240" w:lineRule="auto"/>
    </w:pPr>
  </w:style>
  <w:style w:type="character" w:customStyle="1" w:styleId="FooterChar">
    <w:name w:val="Footer Char"/>
    <w:basedOn w:val="DefaultParagraphFont"/>
    <w:link w:val="Footer"/>
    <w:uiPriority w:val="99"/>
    <w:rsid w:val="004439AA"/>
  </w:style>
  <w:style w:type="character" w:styleId="PageNumber">
    <w:name w:val="page number"/>
    <w:basedOn w:val="DefaultParagraphFont"/>
    <w:uiPriority w:val="99"/>
    <w:semiHidden/>
    <w:unhideWhenUsed/>
    <w:rsid w:val="004439AA"/>
  </w:style>
  <w:style w:type="paragraph" w:styleId="Header">
    <w:name w:val="header"/>
    <w:basedOn w:val="Normal"/>
    <w:link w:val="HeaderChar"/>
    <w:uiPriority w:val="99"/>
    <w:unhideWhenUsed/>
    <w:rsid w:val="004439AA"/>
    <w:pPr>
      <w:tabs>
        <w:tab w:val="center" w:pos="4513"/>
        <w:tab w:val="right" w:pos="9026"/>
      </w:tabs>
      <w:spacing w:line="240" w:lineRule="auto"/>
    </w:pPr>
  </w:style>
  <w:style w:type="character" w:customStyle="1" w:styleId="HeaderChar">
    <w:name w:val="Header Char"/>
    <w:basedOn w:val="DefaultParagraphFont"/>
    <w:link w:val="Header"/>
    <w:uiPriority w:val="99"/>
    <w:rsid w:val="0044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6" ma:contentTypeDescription="Create a new document." ma:contentTypeScope="" ma:versionID="cdac5a74683f13f0e7ec3a69850d0162">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a8b5d8fd00de87607f2929e62dc82cae"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B8F49-F488-46CC-B0FB-4CBA0677EE4B}">
  <ds:schemaRefs>
    <ds:schemaRef ds:uri="http://schemas.microsoft.com/sharepoint/v3/contenttype/forms"/>
  </ds:schemaRefs>
</ds:datastoreItem>
</file>

<file path=customXml/itemProps2.xml><?xml version="1.0" encoding="utf-8"?>
<ds:datastoreItem xmlns:ds="http://schemas.openxmlformats.org/officeDocument/2006/customXml" ds:itemID="{197CDD43-7A94-4304-A124-728EB052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Kurt Pritz</cp:lastModifiedBy>
  <cp:revision>3</cp:revision>
  <cp:lastPrinted>2023-01-15T22:53:00Z</cp:lastPrinted>
  <dcterms:created xsi:type="dcterms:W3CDTF">2023-01-17T23:16:00Z</dcterms:created>
  <dcterms:modified xsi:type="dcterms:W3CDTF">2023-01-17T23:19:00Z</dcterms:modified>
</cp:coreProperties>
</file>