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inorEastAsia" w:hAnsiTheme="majorHAnsi" w:cstheme="minorBidi"/>
          <w:color w:val="000000" w:themeColor="text1"/>
          <w:sz w:val="12"/>
          <w:lang w:eastAsia="en-US"/>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PlTiQIAAIcFAAAOAAAAZHJzL2Uyb0RvYy54bWysVEtPGzEQvlfqf7B8L5sNCaERGxSBaCsh&#13;&#10;iICWs+O1E0u2x7WdbNJf37F3s6QUCanqxZrxfPN+XFzujCZb4YMCW9HyZECJsBxqZVcV/f508+mc&#13;&#10;khCZrZkGKyq6F4Fezj5+uGjcVAxhDboWnqARG6aNq+g6RjctisDXwrBwAk5YFErwhkVk/aqoPWvQ&#13;&#10;utHFcDA4KxrwtfPARQj4e90K6Szbl1LweC9lEJHoimJsMb8+v8v0FrMLNl155taKd2Gwf4jCMGXR&#13;&#10;aW/qmkVGNl79Zcoo7iGAjCccTAFSKi5yDphNOXiVzeOaOZFzweIE15cp/D+z/G678ETVFT0bUWKZ&#13;&#10;wR49YNWYXWlB8A8L1LgwRdyjW/iOC0imbHfSGyK1cl+x9zRTPxKVZJgb2eVC7/tCi10kHD/L8nw0&#13;&#10;nIwp4SgrJ4PJuBwnT0VrMqk7H+IXAYYkoqIeY8pm2fY2xBZ6gCR4AK3qG6V1ZvxqeaU92bLU9fnp&#13;&#10;cFx21v+AaZvAFpJaa7H9EXluOjcp+TbdTMW9FklL2wchsW4pmRxXnljRe2WcCxsPbjM6qUl01Sue&#13;&#10;vq/Y4ZNqG1WvPHxfudfInsHGXtkoC/4tA7oPWbZ47MlR3olcQr3HkfHQ7lJw/EZhi25ZiAvmcXlw&#13;&#10;zfAgxHt8pIamotBRlKzB/3rrP+FxplFKSYPLWNHwc8O8oER/szjtn8vRKG1vZkbjyRAZfyxZHkvs&#13;&#10;xlwBdh4nEqPLZMJHfSClB/OMd2OevKKIWY6+K8qjPzBXsT0SeHm4mM8zDDfWsXhrHx0/dD2N4NPu&#13;&#10;mXnXzWnEEb+Dw+Ky6atxbbGpHxbmmwhS5Vl+qWtXb9z2vA3dZUrn5JjPqJf7OfsNAAD//wMAUEsD&#13;&#10;BBQABgAIAAAAIQDgr01j6QAAABIBAAAPAAAAZHJzL2Rvd25yZXYueG1sTI9PT8MwDMXvSHyHyEhc&#13;&#10;0JYuK+3WNZ34I7QDB8RAaNy8JrRlTVI1WVe+Pd4JLpYtPz+/X74eTcsG3fvGWQmzaQRM29KpxlYS&#13;&#10;3t+eJgtgPqBV2DqrJfxoD+vi8iLHTLmTfdXDNlSMTKzPUEIdQpdx7staG/RT12lLuy/XGww09hVX&#13;&#10;PZ7I3LRcRFHCDTaWPtTY6Ydal4ft0Uj4PuyWn8PzzQ7xnr/MN7H4SFIh5fXV+LiicrcCFvQY/i7g&#13;&#10;zED5oaBge3e0yrNWwuI2FSSVMJnFgtDOkiiep8D21IlkCbzI+X+U4hcAAP//AwBQSwECLQAUAAYA&#13;&#10;CAAAACEAtoM4kv4AAADhAQAAEwAAAAAAAAAAAAAAAAAAAAAAW0NvbnRlbnRfVHlwZXNdLnhtbFBL&#13;&#10;AQItABQABgAIAAAAIQA4/SH/1gAAAJQBAAALAAAAAAAAAAAAAAAAAC8BAABfcmVscy8ucmVsc1BL&#13;&#10;AQItABQABgAIAAAAIQAXGPlTiQIAAIcFAAAOAAAAAAAAAAAAAAAAAC4CAABkcnMvZTJvRG9jLnht&#13;&#10;bFBLAQItABQABgAIAAAAIQDgr01j6QAAABIBAAAPAAAAAAAAAAAAAAAAAOMEAABkcnMvZG93bnJl&#13;&#10;di54bWxQSwUGAAAAAAQABADzAAAA+QUAA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Gb0fwIAAHMFAAAOAAAAZHJzL2Uyb0RvYy54bWysVN1r2zAQfx/sfxB6Xx0nTdKFOCW0dAxK&#13;&#10;W9qOPiuylBhknXZS4mR//U6y42ZdoTD2Yt/pfvf9Mb/c14btFPoKbMHzswFnykooK7su+I/nmy8X&#13;&#10;nPkgbCkMWFXwg/L8cvH507xxMzWEDZhSISMj1s8aV/BNCG6WZV5uVC38GThlSagBaxGIxXVWomjI&#13;&#10;em2y4WAwyRrA0iFI5T29XrdCvkj2tVYy3GvtVWCm4BRbSF9M31X8Zou5mK1RuE0luzDEP0RRi8qS&#13;&#10;097UtQiCbbH6y1RdSQQPOpxJqDPQupIq5UDZ5IM32TxthFMpFyqOd32Z/P8zK+92D8iqsuCTEWdW&#13;&#10;1NSjR6qasGujGL1RgRrnZ4R7cg/YcZ7ImO1eYx3/lAfbp6Ie+qKqfWCSHieT4cXFdMqZJFk+HUzH&#13;&#10;+ThazV7VHfrwTUHNIlFwJP+pmGJ360MLPUKiNw+mKm8qYxKD69WVQbYTscPL0XCcd9b/gBkbwRai&#13;&#10;WmuxfVFpRjo3MdE2tUSFg1FRy9hHpalGlEye4krTqXqvQkplw9FtQkc1Ta56xdHHih0+qrZR9crD&#13;&#10;j5V7jeQZbOiV68oCvmfA9CHrFk89Ock7kisoDzQeCO3eeCdvKmrRrfDhQSAtCq0ULX+4p4820BQc&#13;&#10;OoqzDeCv994jnuaXpJw1tHgF9z+3AhVn5rulyf6an5/HTU3M+Xg6JAZPJatTid3WV0Cdz+nMOJnI&#13;&#10;iA/mSGqE+oVuxDJ6JZGwknwXXAY8MlehPQh0ZaRaLhOMttOJcGufnDx2PY7g8/5FoOvmNNCI38Fx&#13;&#10;ScXszbi22NgPC8ttAF2lWX6ta1dv2uy0Dd0ViqfjlE+o11u5+A0AAP//AwBQSwMEFAAGAAgAAAAh&#13;&#10;ADZDC2zkAAAAEgEAAA8AAABkcnMvZG93bnJldi54bWxMTz1PwzAQ3ZH4D9YhsbWOq5JUaZwKgViA&#13;&#10;JYYBNje+JoHYjmK3Cf++16ksp3e6d++j2M22ZyccQ+edBLFMgKGrvelcI+Hz42WxARaidkb33qGE&#13;&#10;PwywK29vCp0bP7kKTyo2jERcyLWENsYh5zzULVodln5AR7eDH62OtI4NN6OeSNz2fJUkKbe6c+TQ&#13;&#10;6gGfWqx/1dFK+B5UotQbTtN79XN47R7mtf6qpLy/m5+3NB63wCLO8foBlw6UH0oKtvdHZwLrJSxE&#13;&#10;llGBeEFrQYg4mzQVwPZEXmUCeFnw/1XKMwAAAP//AwBQSwECLQAUAAYACAAAACEAtoM4kv4AAADh&#13;&#10;AQAAEwAAAAAAAAAAAAAAAAAAAAAAW0NvbnRlbnRfVHlwZXNdLnhtbFBLAQItABQABgAIAAAAIQA4&#13;&#10;/SH/1gAAAJQBAAALAAAAAAAAAAAAAAAAAC8BAABfcmVscy8ucmVsc1BLAQItABQABgAIAAAAIQCX&#13;&#10;TGb0fwIAAHMFAAAOAAAAAAAAAAAAAAAAAC4CAABkcnMvZTJvRG9jLnhtbFBLAQItABQABgAIAAAA&#13;&#10;IQA2Qwts5AAAABIBAAAPAAAAAAAAAAAAAAAAANkEAABkcnMvZG93bnJldi54bWxQSwUGAAAAAAQA&#13;&#10;BADzAAAA6gUAAAAA&#13;&#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07DC67D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45F5D" w14:textId="49D3667B" w:rsidR="00C340A7" w:rsidRDefault="00DC054B" w:rsidP="00614D63">
                                <w:pPr>
                                  <w:pStyle w:val="Title"/>
                                </w:pPr>
                                <w:r>
                                  <w:t>Initial</w:t>
                                </w:r>
                                <w:r w:rsidR="00C340A7">
                                  <w:t xml:space="preserve"> Report</w:t>
                                </w:r>
                                <w:r w:rsidR="00614D63">
                                  <w:t xml:space="preserve"> </w:t>
                                </w:r>
                                <w:r w:rsidR="00814FFF">
                                  <w:t>&amp;</w:t>
                                </w:r>
                                <w:r w:rsidR="00614D63">
                                  <w:t xml:space="preserve"> Preliminary Recommendations</w:t>
                                </w:r>
                                <w:r w:rsidR="00C340A7">
                                  <w:t xml:space="preserve"> </w:t>
                                </w:r>
                                <w:r w:rsidR="00614D63">
                                  <w:t>from the International Governmental Organizations (IGO) Work Track</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EEIZ6XhAAAA&#13;&#10;DwEAAA8AAABkcnMvZG93bnJldi54bWxMT01PwzAMvSPxHyIjcduSllKVru6EmLiCGB8St6zJ2orG&#13;&#10;qZpsLf8ec4KLJfs9v49qu7hBnO0Uek8IyVqBsNR401OL8Pb6uCpAhKjJ6MGTRfi2Abb15UWlS+Nn&#13;&#10;erHnfWwFi1AoNUIX41hKGZrOOh3WfrTE2NFPTkdep1aaSc8s7gaZKpVLp3tih06P9qGzzdf+5BDe&#13;&#10;n46fH5l6bnfudpz9oiS5O4l4fbXsNjzuNyCiXeLfB/x24PxQc7CDP5EJYkBYpUnCVITiJgXBhCLP&#13;&#10;+XBAyLIkB1lX8n+P+gcAAP//AwBQSwECLQAUAAYACAAAACEAtoM4kv4AAADhAQAAEwAAAAAAAAAA&#13;&#10;AAAAAAAAAAAAW0NvbnRlbnRfVHlwZXNdLnhtbFBLAQItABQABgAIAAAAIQA4/SH/1gAAAJQBAAAL&#13;&#10;AAAAAAAAAAAAAAAAAC8BAABfcmVscy8ucmVsc1BLAQItABQABgAIAAAAIQCKqmNQdgIAAFwFAAAO&#13;&#10;AAAAAAAAAAAAAAAAAC4CAABkcnMvZTJvRG9jLnhtbFBLAQItABQABgAIAAAAIQBBCGel4QAAAA8B&#13;&#10;AAAPAAAAAAAAAAAAAAAAANAEAABkcnMvZG93bnJldi54bWxQSwUGAAAAAAQABADzAAAA3gUAAAAA&#13;&#10;" filled="f" stroked="f">
                    <v:textbox>
                      <w:txbxContent>
                        <w:p w14:paraId="68E45F5D" w14:textId="49D3667B" w:rsidR="00C340A7" w:rsidRDefault="00DC054B" w:rsidP="00614D63">
                          <w:pPr>
                            <w:pStyle w:val="Title"/>
                          </w:pPr>
                          <w:r>
                            <w:t>Initial</w:t>
                          </w:r>
                          <w:r w:rsidR="00C340A7">
                            <w:t xml:space="preserve"> Report</w:t>
                          </w:r>
                          <w:r w:rsidR="00614D63">
                            <w:t xml:space="preserve"> </w:t>
                          </w:r>
                          <w:r w:rsidR="00814FFF">
                            <w:t>&amp;</w:t>
                          </w:r>
                          <w:r w:rsidR="00614D63">
                            <w:t xml:space="preserve"> Preliminary Recommendations</w:t>
                          </w:r>
                          <w:r w:rsidR="00C340A7">
                            <w:t xml:space="preserve"> </w:t>
                          </w:r>
                          <w:r w:rsidR="00614D63">
                            <w:t>from the International Governmental Organizations (IGO) Work Track</w:t>
                          </w:r>
                        </w:p>
                        <w:p w14:paraId="1C2B5EC2"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0EF0E328">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E3769"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o3xfQIAAHEFAAAOAAAAZHJzL2Uyb0RvYy54bWysVEtPGzEQvlfqf7B8L5uER0LEBqUgqkoI&#13;&#10;EFBxdrx2spLtccdONumv79i7WVKKhFT1sjvj+eb9uLjcWsM2CkMNruTDowFnykmoarcs+Y/nmy8T&#13;&#10;zkIUrhIGnCr5TgV+Ofv86aLxUzWCFZhKISMjLkwbX/JVjH5aFEGulBXhCLxyJNSAVkRicVlUKBqy&#13;&#10;bk0xGgzOigaw8ghShUCv162Qz7J9rZWM91oHFZkpOcUW8xfzd5G+xexCTJco/KqWXRjiH6Kwonbk&#13;&#10;tDd1LaJga6z/MmVriRBAxyMJtgCta6lyDpTNcPAmm6eV8CrnQsUJvi9T+H9m5d3mAVldlfyYMycs&#13;&#10;teiRiibc0ih2nMrT+DAl1JN/wI4LRKZctxpt+lMWbJtLuutLqraRSXocj8fD8dkpZ5Jko8HJyWA0&#13;&#10;SVaLV3WPIX5TYFkiSo7kPpdSbG5DbKF7SPIWwNTVTW1MZnC5uDLINoL6S44mX4ed9T9gxiWwg6TW&#13;&#10;WmxfVJ6Qzk1KtE0tU3FnVNIy7lFpqhAlM8xx5dlUvVchpXJx7zajk5omV73i8ceKHT6ptlH1yqOP&#13;&#10;lXuN7Blc7JVt7QDfM2D6kHWLp54c5J3IBVQ7Gg6EdmuClzc1tehWhPggkNaEFopWP97TRxtoSg4d&#13;&#10;xdkK8Nd77wlP00tSzhpau5KHn2uBijPz3dFcnw9pRGhPM3NyOh4Rg4eSxaHEre0VpM7TkfEykwkf&#13;&#10;zZ7UCPaFLsQ8eSWRcJJ8l1xG3DNXsT0HdGOkms8zjHbTi3jrnrzcdz2N4PP2RaDv5jTSiN/BfkXF&#13;&#10;9M24ttjUDwfzdQRd51l+rWtXb9rrvA3dDUqH45DPqNdLOfsNAAD//wMAUEsDBBQABgAIAAAAIQDI&#13;&#10;M6q76AAAABEBAAAPAAAAZHJzL2Rvd25yZXYueG1sTI9LT8MwEITvSPwHa5G4oNY2LU2UZlMhHgdO&#13;&#10;FaWqODqxSQx+RLGbBn497gkuK412d2a+cjNZQ0Y1BO0dAp8zIMo1XmrXIuzfnmc5kBCFk8J4pxC+&#13;&#10;VYBNdXlRikL6k3tV4y62JJm4UAiELsa+oDQ0nbIizH2vXNp9+MGKmOTQUjmIUzK3ht4ytqJWaJcS&#13;&#10;OtGrh041X7ujRRjr7WedvUySH0bz9H7j9Q/vNeL11fS4TuN+DSSqKf59wJkh9YcqFav90clADMKM&#13;&#10;Z1kCiAh3+RLI+YItVxxIjbDI2QJoVdL/JNUvAAAA//8DAFBLAQItABQABgAIAAAAIQC2gziS/gAA&#13;&#10;AOEBAAATAAAAAAAAAAAAAAAAAAAAAABbQ29udGVudF9UeXBlc10ueG1sUEsBAi0AFAAGAAgAAAAh&#13;&#10;ADj9If/WAAAAlAEAAAsAAAAAAAAAAAAAAAAALwEAAF9yZWxzLy5yZWxzUEsBAi0AFAAGAAgAAAAh&#13;&#10;AGEOjfF9AgAAcQUAAA4AAAAAAAAAAAAAAAAALgIAAGRycy9lMm9Eb2MueG1sUEsBAi0AFAAGAAgA&#13;&#10;AAAhAMgzqrvoAAAAEQEAAA8AAAAAAAAAAAAAAAAA1wQAAGRycy9kb3ducmV2LnhtbFBLBQYAAAAA&#13;&#10;BAAEAPMAAADsBQAAAAA=&#13;&#10;" fillcolor="#1768b1" stroked="f"/>
                </w:pict>
              </mc:Fallback>
            </mc:AlternateContent>
          </w:r>
        </w:p>
        <w:p w14:paraId="437CB40E" w14:textId="77777777"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1BB157D2"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Initial Report </w:t>
          </w:r>
          <w:r w:rsidR="00614D63" w:rsidRPr="00F23192">
            <w:rPr>
              <w:rFonts w:asciiTheme="majorHAnsi" w:hAnsiTheme="majorHAnsi"/>
              <w:sz w:val="24"/>
            </w:rPr>
            <w:t xml:space="preserve">containing preliminary recommendations from </w:t>
          </w:r>
          <w:r w:rsidRPr="00F23192">
            <w:rPr>
              <w:rFonts w:asciiTheme="majorHAnsi" w:hAnsiTheme="majorHAnsi"/>
              <w:sz w:val="24"/>
            </w:rPr>
            <w:t xml:space="preserve">the </w:t>
          </w:r>
          <w:commentRangeStart w:id="0"/>
          <w:r w:rsidRPr="00F23192">
            <w:rPr>
              <w:rFonts w:asciiTheme="majorHAnsi" w:hAnsiTheme="majorHAnsi"/>
              <w:sz w:val="24"/>
            </w:rPr>
            <w:t>GNSO</w:t>
          </w:r>
          <w:r w:rsidR="00614D63" w:rsidRPr="00F23192">
            <w:rPr>
              <w:rFonts w:asciiTheme="majorHAnsi" w:hAnsiTheme="majorHAnsi"/>
              <w:sz w:val="24"/>
            </w:rPr>
            <w:t>’s</w:t>
          </w:r>
          <w:r w:rsidRPr="00F23192">
            <w:rPr>
              <w:rFonts w:asciiTheme="majorHAnsi" w:hAnsiTheme="majorHAnsi"/>
              <w:sz w:val="24"/>
            </w:rPr>
            <w:t xml:space="preserve"> </w:t>
          </w:r>
          <w:r w:rsidR="00D07CE4">
            <w:rPr>
              <w:rFonts w:asciiTheme="majorHAnsi" w:hAnsiTheme="majorHAnsi"/>
              <w:sz w:val="24"/>
            </w:rPr>
            <w:t>International Governmental Organizations (</w:t>
          </w:r>
          <w:r w:rsidR="00614D63" w:rsidRPr="00F23192">
            <w:rPr>
              <w:rFonts w:asciiTheme="majorHAnsi" w:hAnsiTheme="majorHAnsi"/>
              <w:sz w:val="24"/>
            </w:rPr>
            <w:t>IGO</w:t>
          </w:r>
          <w:r w:rsidR="00D07CE4">
            <w:rPr>
              <w:rFonts w:asciiTheme="majorHAnsi" w:hAnsiTheme="majorHAnsi"/>
              <w:sz w:val="24"/>
            </w:rPr>
            <w:t>)</w:t>
          </w:r>
          <w:r w:rsidR="00614D63" w:rsidRPr="00F23192">
            <w:rPr>
              <w:rFonts w:asciiTheme="majorHAnsi" w:hAnsiTheme="majorHAnsi"/>
              <w:sz w:val="24"/>
            </w:rPr>
            <w:t xml:space="preserve"> Work Track.</w:t>
          </w:r>
          <w:commentRangeEnd w:id="0"/>
          <w:r w:rsidR="003E04F9">
            <w:rPr>
              <w:rStyle w:val="CommentReference"/>
              <w:rFonts w:ascii="Calibri" w:hAnsi="Calibri"/>
              <w:color w:val="auto"/>
            </w:rPr>
            <w:commentReference w:id="0"/>
          </w:r>
          <w:r w:rsidR="00614D63" w:rsidRPr="00F23192">
            <w:rPr>
              <w:rFonts w:asciiTheme="majorHAnsi" w:hAnsiTheme="majorHAnsi"/>
              <w:sz w:val="24"/>
            </w:rPr>
            <w:t xml:space="preserve"> This report is</w:t>
          </w:r>
          <w:r w:rsidRPr="00F23192">
            <w:rPr>
              <w:rFonts w:asciiTheme="majorHAnsi" w:hAnsiTheme="majorHAnsi"/>
              <w:sz w:val="24"/>
            </w:rPr>
            <w:t xml:space="preserve"> </w:t>
          </w:r>
          <w:r w:rsidR="00614D63" w:rsidRPr="00F23192">
            <w:rPr>
              <w:rFonts w:asciiTheme="majorHAnsi" w:hAnsiTheme="majorHAnsi"/>
              <w:sz w:val="24"/>
            </w:rPr>
            <w:t>being</w:t>
          </w:r>
          <w:r w:rsidRPr="00F23192">
            <w:rPr>
              <w:rFonts w:asciiTheme="majorHAnsi" w:hAnsiTheme="majorHAnsi"/>
              <w:sz w:val="24"/>
            </w:rPr>
            <w:t xml:space="preserve"> posted for </w:t>
          </w:r>
          <w:r w:rsidR="00614D63" w:rsidRPr="00F23192">
            <w:rPr>
              <w:rFonts w:asciiTheme="majorHAnsi" w:hAnsiTheme="majorHAnsi"/>
              <w:sz w:val="24"/>
            </w:rPr>
            <w:t>P</w:t>
          </w:r>
          <w:r w:rsidRPr="00F23192">
            <w:rPr>
              <w:rFonts w:asciiTheme="majorHAnsi" w:hAnsiTheme="majorHAnsi"/>
              <w:sz w:val="24"/>
            </w:rPr>
            <w:t xml:space="preserve">ublic </w:t>
          </w:r>
          <w:r w:rsidR="00614D63" w:rsidRPr="00F23192">
            <w:rPr>
              <w:rFonts w:asciiTheme="majorHAnsi" w:hAnsiTheme="majorHAnsi"/>
              <w:sz w:val="24"/>
            </w:rPr>
            <w:t>C</w:t>
          </w:r>
          <w:r w:rsidRPr="00F23192">
            <w:rPr>
              <w:rFonts w:asciiTheme="majorHAnsi" w:hAnsiTheme="majorHAnsi"/>
              <w:sz w:val="24"/>
            </w:rPr>
            <w:t>omment</w:t>
          </w:r>
          <w:r w:rsidR="00614D63" w:rsidRPr="00F23192">
            <w:rPr>
              <w:rFonts w:asciiTheme="majorHAnsi" w:hAnsiTheme="majorHAnsi"/>
              <w:sz w:val="24"/>
            </w:rPr>
            <w:t xml:space="preserve"> in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t>Preamble</w:t>
          </w:r>
        </w:p>
        <w:p w14:paraId="1E611A30" w14:textId="636DD856" w:rsidR="005F38E6" w:rsidRPr="003819D1" w:rsidRDefault="007F746B" w:rsidP="001907AB">
          <w:pPr>
            <w:pStyle w:val="Titletexts"/>
            <w:rPr>
              <w:rFonts w:asciiTheme="majorHAnsi" w:hAnsiTheme="majorHAnsi"/>
            </w:rPr>
          </w:pPr>
          <w:r w:rsidRPr="00F23192">
            <w:rPr>
              <w:rFonts w:asciiTheme="majorHAnsi" w:hAnsiTheme="majorHAnsi"/>
              <w:sz w:val="24"/>
            </w:rPr>
            <w:t>T</w:t>
          </w:r>
          <w:r w:rsidR="00094F55" w:rsidRPr="00F23192">
            <w:rPr>
              <w:rFonts w:asciiTheme="majorHAnsi" w:hAnsiTheme="majorHAnsi"/>
              <w:sz w:val="24"/>
            </w:rPr>
            <w:t xml:space="preserve">his Initial Report </w:t>
          </w:r>
          <w:r w:rsidRPr="00F23192">
            <w:rPr>
              <w:rFonts w:asciiTheme="majorHAnsi" w:hAnsiTheme="majorHAnsi"/>
              <w:sz w:val="24"/>
            </w:rPr>
            <w:t>describes</w:t>
          </w:r>
          <w:r w:rsidR="00193C42" w:rsidRPr="00F23192">
            <w:rPr>
              <w:rFonts w:asciiTheme="majorHAnsi" w:hAnsiTheme="majorHAnsi"/>
              <w:sz w:val="24"/>
            </w:rPr>
            <w:t xml:space="preserve"> the </w:t>
          </w:r>
          <w:r w:rsidR="00614D63" w:rsidRPr="00F23192">
            <w:rPr>
              <w:rFonts w:asciiTheme="majorHAnsi" w:hAnsiTheme="majorHAnsi"/>
              <w:sz w:val="24"/>
            </w:rPr>
            <w:t>IGO Work Track</w:t>
          </w:r>
          <w:r w:rsidR="00193C42" w:rsidRPr="00F23192">
            <w:rPr>
              <w:rFonts w:asciiTheme="majorHAnsi" w:hAnsiTheme="majorHAnsi"/>
              <w:sz w:val="24"/>
            </w:rPr>
            <w:t xml:space="preserve">’s deliberations </w:t>
          </w:r>
          <w:r w:rsidR="00614D63" w:rsidRPr="00F23192">
            <w:rPr>
              <w:rFonts w:asciiTheme="majorHAnsi" w:hAnsiTheme="majorHAnsi"/>
              <w:sz w:val="24"/>
            </w:rPr>
            <w:t xml:space="preserve">and preliminary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Pr="00F23192">
            <w:rPr>
              <w:rFonts w:asciiTheme="majorHAnsi" w:hAnsiTheme="majorHAnsi"/>
              <w:sz w:val="24"/>
            </w:rPr>
            <w:t>policy</w:t>
          </w:r>
          <w:r w:rsidR="00193C42" w:rsidRPr="00F23192">
            <w:rPr>
              <w:rFonts w:asciiTheme="majorHAnsi" w:hAnsiTheme="majorHAnsi"/>
              <w:sz w:val="24"/>
            </w:rPr>
            <w:t xml:space="preserve"> issues</w:t>
          </w:r>
          <w:r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AA0A49" w:rsidRPr="00F23192">
            <w:rPr>
              <w:rFonts w:asciiTheme="majorHAnsi" w:hAnsiTheme="majorHAnsi"/>
              <w:sz w:val="24"/>
            </w:rPr>
            <w:t xml:space="preserve"> </w:t>
          </w:r>
          <w:r w:rsidR="0063736C">
            <w:rPr>
              <w:rFonts w:asciiTheme="majorHAnsi" w:hAnsiTheme="majorHAnsi"/>
              <w:sz w:val="24"/>
            </w:rPr>
            <w:t>a</w:t>
          </w:r>
          <w:r w:rsidR="00AA0A49" w:rsidRPr="00F23192">
            <w:rPr>
              <w:rFonts w:asciiTheme="majorHAnsi" w:hAnsiTheme="majorHAnsi"/>
              <w:sz w:val="24"/>
            </w:rPr>
            <w:t xml:space="preserve"> domain name dispute resolution administrative process</w:t>
          </w:r>
          <w:r w:rsidR="0063736C">
            <w:rPr>
              <w:rFonts w:asciiTheme="majorHAnsi" w:hAnsiTheme="majorHAnsi"/>
              <w:sz w:val="24"/>
            </w:rPr>
            <w:t>, the losing registrant files a claim in court against the IGO</w:t>
          </w:r>
          <w:r w:rsidR="003E04F9">
            <w:rPr>
              <w:rFonts w:asciiTheme="majorHAnsi" w:hAnsiTheme="majorHAnsi"/>
              <w:sz w:val="24"/>
            </w:rPr>
            <w:t xml:space="preserve"> and</w:t>
          </w:r>
          <w:r w:rsidR="00AA0A49" w:rsidRPr="00F23192">
            <w:rPr>
              <w:rFonts w:asciiTheme="majorHAnsi" w:hAnsiTheme="majorHAnsi"/>
              <w:sz w:val="24"/>
            </w:rPr>
            <w:t xml:space="preserve"> the court </w:t>
          </w:r>
          <w:r w:rsidR="0063736C">
            <w:rPr>
              <w:rFonts w:asciiTheme="majorHAnsi" w:hAnsiTheme="majorHAnsi"/>
              <w:sz w:val="24"/>
            </w:rPr>
            <w:t>declines to</w:t>
          </w:r>
          <w:r w:rsidR="00AA0A49" w:rsidRPr="00F23192">
            <w:rPr>
              <w:rFonts w:asciiTheme="majorHAnsi" w:hAnsiTheme="majorHAnsi"/>
              <w:sz w:val="24"/>
            </w:rPr>
            <w:t xml:space="preserve"> assume jurisdiction </w:t>
          </w:r>
          <w:r w:rsidR="0063736C">
            <w:rPr>
              <w:rFonts w:asciiTheme="majorHAnsi" w:hAnsiTheme="majorHAnsi"/>
              <w:sz w:val="24"/>
            </w:rPr>
            <w:t xml:space="preserve">because of </w:t>
          </w:r>
          <w:r w:rsidR="00AA0A49" w:rsidRPr="00F23192">
            <w:rPr>
              <w:rFonts w:asciiTheme="majorHAnsi" w:hAnsiTheme="majorHAnsi"/>
              <w:sz w:val="24"/>
            </w:rPr>
            <w:t xml:space="preserve">IGO immunities and privileges. </w:t>
          </w:r>
          <w:r w:rsidR="0063736C">
            <w:rPr>
              <w:rFonts w:asciiTheme="majorHAnsi" w:hAnsiTheme="majorHAnsi"/>
              <w:sz w:val="24"/>
            </w:rPr>
            <w:t>Based on</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omments received on this report</w:t>
          </w:r>
          <w:r w:rsidR="00AA0A49" w:rsidRPr="00F23192">
            <w:rPr>
              <w:rFonts w:asciiTheme="majorHAnsi" w:hAnsiTheme="majorHAnsi"/>
              <w:sz w:val="24"/>
            </w:rPr>
            <w:t xml:space="preserve">, the IGO Work Track will finalize its policy recommendations and submit its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9D7D56" w:rsidRPr="00F23192">
            <w:rPr>
              <w:rFonts w:asciiTheme="majorHAnsi" w:hAnsiTheme="majorHAnsi"/>
              <w:sz w:val="24"/>
            </w:rPr>
            <w:t xml:space="preserve">, </w:t>
          </w:r>
          <w:r w:rsidR="00AA0A49" w:rsidRPr="00F23192">
            <w:rPr>
              <w:rFonts w:asciiTheme="majorHAnsi" w:hAnsiTheme="majorHAnsi"/>
              <w:sz w:val="24"/>
            </w:rPr>
            <w:t xml:space="preserve">in accordance with a </w:t>
          </w:r>
          <w:r w:rsidR="00094F55" w:rsidRPr="00F23192">
            <w:rPr>
              <w:rFonts w:asciiTheme="majorHAnsi" w:hAnsiTheme="majorHAnsi"/>
              <w:sz w:val="24"/>
            </w:rPr>
            <w:t xml:space="preserve">Motion proposed and carried during the Council teleconference meeting on </w:t>
          </w:r>
          <w:r w:rsidR="009D7D56" w:rsidRPr="00F23192">
            <w:rPr>
              <w:rFonts w:asciiTheme="majorHAnsi" w:hAnsiTheme="majorHAnsi"/>
              <w:sz w:val="24"/>
            </w:rPr>
            <w:t>23 January 2020</w:t>
          </w:r>
          <w:r w:rsidR="00094F55" w:rsidRPr="00F23192">
            <w:rPr>
              <w:rFonts w:asciiTheme="majorHAnsi" w:hAnsiTheme="majorHAnsi"/>
              <w:sz w:val="24"/>
            </w:rPr>
            <w:t>.</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165CBA53" w14:textId="5BD9CC11" w:rsidR="00EF0F82" w:rsidRDefault="001519C5">
          <w:pPr>
            <w:pStyle w:val="TOC1"/>
            <w:tabs>
              <w:tab w:val="right" w:pos="9350"/>
            </w:tabs>
            <w:rPr>
              <w:rFonts w:asciiTheme="minorHAnsi" w:hAnsiTheme="minorHAnsi"/>
              <w:b w:val="0"/>
              <w:bCs w:val="0"/>
              <w:caps w:val="0"/>
              <w:noProof/>
              <w:sz w:val="24"/>
              <w:szCs w:val="24"/>
              <w:u w:val="none"/>
              <w:lang w:eastAsia="zh-CN"/>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EF0F82" w:rsidRPr="00C56804">
            <w:rPr>
              <w:rFonts w:asciiTheme="majorHAnsi" w:hAnsiTheme="majorHAnsi"/>
              <w:noProof/>
            </w:rPr>
            <w:t>1 Executive Summary</w:t>
          </w:r>
          <w:r w:rsidR="00EF0F82">
            <w:rPr>
              <w:noProof/>
            </w:rPr>
            <w:tab/>
          </w:r>
          <w:r w:rsidR="00EF0F82">
            <w:rPr>
              <w:noProof/>
            </w:rPr>
            <w:fldChar w:fldCharType="begin"/>
          </w:r>
          <w:r w:rsidR="00EF0F82">
            <w:rPr>
              <w:noProof/>
            </w:rPr>
            <w:instrText xml:space="preserve"> PAGEREF _Toc80093199 \h </w:instrText>
          </w:r>
          <w:r w:rsidR="00EF0F82">
            <w:rPr>
              <w:noProof/>
            </w:rPr>
          </w:r>
          <w:r w:rsidR="00EF0F82">
            <w:rPr>
              <w:noProof/>
            </w:rPr>
            <w:fldChar w:fldCharType="separate"/>
          </w:r>
          <w:r w:rsidR="00EF0F82">
            <w:rPr>
              <w:noProof/>
            </w:rPr>
            <w:t>3</w:t>
          </w:r>
          <w:r w:rsidR="00EF0F82">
            <w:rPr>
              <w:noProof/>
            </w:rPr>
            <w:fldChar w:fldCharType="end"/>
          </w:r>
        </w:p>
        <w:p w14:paraId="7E64C31D" w14:textId="5E4CC23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2 Preliminary Recommendations</w:t>
          </w:r>
          <w:r>
            <w:rPr>
              <w:noProof/>
            </w:rPr>
            <w:tab/>
          </w:r>
          <w:r>
            <w:rPr>
              <w:noProof/>
            </w:rPr>
            <w:fldChar w:fldCharType="begin"/>
          </w:r>
          <w:r>
            <w:rPr>
              <w:noProof/>
            </w:rPr>
            <w:instrText xml:space="preserve"> PAGEREF _Toc80093200 \h </w:instrText>
          </w:r>
          <w:r>
            <w:rPr>
              <w:noProof/>
            </w:rPr>
          </w:r>
          <w:r>
            <w:rPr>
              <w:noProof/>
            </w:rPr>
            <w:fldChar w:fldCharType="separate"/>
          </w:r>
          <w:r>
            <w:rPr>
              <w:noProof/>
            </w:rPr>
            <w:t>7</w:t>
          </w:r>
          <w:r>
            <w:rPr>
              <w:noProof/>
            </w:rPr>
            <w:fldChar w:fldCharType="end"/>
          </w:r>
        </w:p>
        <w:p w14:paraId="7A9E1BE1" w14:textId="6D78BCE4"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3 Summary of Deliberations</w:t>
          </w:r>
          <w:r>
            <w:rPr>
              <w:noProof/>
            </w:rPr>
            <w:tab/>
          </w:r>
          <w:r>
            <w:rPr>
              <w:noProof/>
            </w:rPr>
            <w:fldChar w:fldCharType="begin"/>
          </w:r>
          <w:r>
            <w:rPr>
              <w:noProof/>
            </w:rPr>
            <w:instrText xml:space="preserve"> PAGEREF _Toc80093201 \h </w:instrText>
          </w:r>
          <w:r>
            <w:rPr>
              <w:noProof/>
            </w:rPr>
          </w:r>
          <w:r>
            <w:rPr>
              <w:noProof/>
            </w:rPr>
            <w:fldChar w:fldCharType="separate"/>
          </w:r>
          <w:r>
            <w:rPr>
              <w:noProof/>
            </w:rPr>
            <w:t>13</w:t>
          </w:r>
          <w:r>
            <w:rPr>
              <w:noProof/>
            </w:rPr>
            <w:fldChar w:fldCharType="end"/>
          </w:r>
        </w:p>
        <w:p w14:paraId="1EA079C1" w14:textId="21F2FD38"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4 Conclusions and Next Steps</w:t>
          </w:r>
          <w:r>
            <w:rPr>
              <w:noProof/>
            </w:rPr>
            <w:tab/>
          </w:r>
          <w:r>
            <w:rPr>
              <w:noProof/>
            </w:rPr>
            <w:fldChar w:fldCharType="begin"/>
          </w:r>
          <w:r>
            <w:rPr>
              <w:noProof/>
            </w:rPr>
            <w:instrText xml:space="preserve"> PAGEREF _Toc80093202 \h </w:instrText>
          </w:r>
          <w:r>
            <w:rPr>
              <w:noProof/>
            </w:rPr>
          </w:r>
          <w:r>
            <w:rPr>
              <w:noProof/>
            </w:rPr>
            <w:fldChar w:fldCharType="separate"/>
          </w:r>
          <w:r>
            <w:rPr>
              <w:noProof/>
            </w:rPr>
            <w:t>16</w:t>
          </w:r>
          <w:r>
            <w:rPr>
              <w:noProof/>
            </w:rPr>
            <w:fldChar w:fldCharType="end"/>
          </w:r>
        </w:p>
        <w:p w14:paraId="0D6BB410" w14:textId="60CF5EAA"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5 Relevant Process &amp; Issue Background</w:t>
          </w:r>
          <w:r>
            <w:rPr>
              <w:noProof/>
            </w:rPr>
            <w:tab/>
          </w:r>
          <w:r>
            <w:rPr>
              <w:noProof/>
            </w:rPr>
            <w:fldChar w:fldCharType="begin"/>
          </w:r>
          <w:r>
            <w:rPr>
              <w:noProof/>
            </w:rPr>
            <w:instrText xml:space="preserve"> PAGEREF _Toc80093203 \h </w:instrText>
          </w:r>
          <w:r>
            <w:rPr>
              <w:noProof/>
            </w:rPr>
          </w:r>
          <w:r>
            <w:rPr>
              <w:noProof/>
            </w:rPr>
            <w:fldChar w:fldCharType="separate"/>
          </w:r>
          <w:r>
            <w:rPr>
              <w:noProof/>
            </w:rPr>
            <w:t>17</w:t>
          </w:r>
          <w:r>
            <w:rPr>
              <w:noProof/>
            </w:rPr>
            <w:fldChar w:fldCharType="end"/>
          </w:r>
        </w:p>
        <w:p w14:paraId="77E78035" w14:textId="31D788E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6 Approach Taken by the Work Track</w:t>
          </w:r>
          <w:r>
            <w:rPr>
              <w:noProof/>
            </w:rPr>
            <w:tab/>
          </w:r>
          <w:r>
            <w:rPr>
              <w:noProof/>
            </w:rPr>
            <w:fldChar w:fldCharType="begin"/>
          </w:r>
          <w:r>
            <w:rPr>
              <w:noProof/>
            </w:rPr>
            <w:instrText xml:space="preserve"> PAGEREF _Toc80093204 \h </w:instrText>
          </w:r>
          <w:r>
            <w:rPr>
              <w:noProof/>
            </w:rPr>
          </w:r>
          <w:r>
            <w:rPr>
              <w:noProof/>
            </w:rPr>
            <w:fldChar w:fldCharType="separate"/>
          </w:r>
          <w:r>
            <w:rPr>
              <w:noProof/>
            </w:rPr>
            <w:t>21</w:t>
          </w:r>
          <w:r>
            <w:rPr>
              <w:noProof/>
            </w:rPr>
            <w:fldChar w:fldCharType="end"/>
          </w:r>
        </w:p>
        <w:p w14:paraId="072E6C84" w14:textId="378AAEC0"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Calibri" w:hAnsi="Calibri" w:cs="Calibri"/>
              <w:noProof/>
            </w:rPr>
            <w:t>7 Annex A – Scope of Work (as approved by the GNSO Council)</w:t>
          </w:r>
          <w:r>
            <w:rPr>
              <w:noProof/>
            </w:rPr>
            <w:tab/>
          </w:r>
          <w:r>
            <w:rPr>
              <w:noProof/>
            </w:rPr>
            <w:fldChar w:fldCharType="begin"/>
          </w:r>
          <w:r>
            <w:rPr>
              <w:noProof/>
            </w:rPr>
            <w:instrText xml:space="preserve"> PAGEREF _Toc80093205 \h </w:instrText>
          </w:r>
          <w:r>
            <w:rPr>
              <w:noProof/>
            </w:rPr>
          </w:r>
          <w:r>
            <w:rPr>
              <w:noProof/>
            </w:rPr>
            <w:fldChar w:fldCharType="separate"/>
          </w:r>
          <w:r>
            <w:rPr>
              <w:noProof/>
            </w:rPr>
            <w:t>22</w:t>
          </w:r>
          <w:r>
            <w:rPr>
              <w:noProof/>
            </w:rPr>
            <w:fldChar w:fldCharType="end"/>
          </w:r>
        </w:p>
        <w:p w14:paraId="00B99315" w14:textId="1B05AFCA"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1519C5">
      <w:pPr>
        <w:pStyle w:val="TOC1"/>
        <w:rPr>
          <w:rFonts w:asciiTheme="majorHAnsi" w:hAnsiTheme="majorHAnsi"/>
        </w:rPr>
      </w:pPr>
    </w:p>
    <w:p w14:paraId="071F58B1" w14:textId="77777777" w:rsidR="004762E2" w:rsidRPr="003819D1" w:rsidRDefault="004762E2" w:rsidP="007E0B62">
      <w:pPr>
        <w:rPr>
          <w:rFonts w:asciiTheme="majorHAnsi" w:hAnsiTheme="majorHAnsi"/>
        </w:rPr>
        <w:sectPr w:rsidR="004762E2" w:rsidRPr="003819D1" w:rsidSect="00614D63">
          <w:headerReference w:type="default" r:id="rId12"/>
          <w:footerReference w:type="even" r:id="rId13"/>
          <w:footerReference w:type="default" r:id="rId14"/>
          <w:footerReference w:type="first" r:id="rId15"/>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1" w:name="_Toc80093199"/>
      <w:r w:rsidRPr="003819D1">
        <w:rPr>
          <w:rFonts w:asciiTheme="majorHAnsi" w:hAnsiTheme="majorHAnsi"/>
        </w:rPr>
        <w:lastRenderedPageBreak/>
        <w:t>Executive Summary</w:t>
      </w:r>
      <w:bookmarkEnd w:id="1"/>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5C6F9CE9"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6"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the 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accounts for the possibility that an IGO may enjoy jurisdictional immunity in certain </w:t>
      </w:r>
      <w:proofErr w:type="gramStart"/>
      <w:r w:rsidRPr="009D7D56">
        <w:rPr>
          <w:rFonts w:asciiTheme="majorHAnsi" w:hAnsiTheme="majorHAnsi"/>
          <w:i/>
          <w:iCs/>
        </w:rPr>
        <w:t>circumstances;</w:t>
      </w:r>
      <w:proofErr w:type="gramEnd"/>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does not affect the right and ability of registrants to file judicial proceedings in a court of competent </w:t>
      </w:r>
      <w:proofErr w:type="gramStart"/>
      <w:r w:rsidRPr="009D7D56">
        <w:rPr>
          <w:rFonts w:asciiTheme="majorHAnsi" w:hAnsiTheme="majorHAnsi"/>
          <w:i/>
          <w:iCs/>
        </w:rPr>
        <w:t>jurisdiction;</w:t>
      </w:r>
      <w:proofErr w:type="gramEnd"/>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37A72721" w:rsidR="003E04F9" w:rsidRDefault="003E04F9" w:rsidP="000F55A4">
      <w:pPr>
        <w:rPr>
          <w:rFonts w:asciiTheme="majorHAnsi" w:hAnsiTheme="majorHAnsi"/>
        </w:rPr>
      </w:pPr>
      <w:r>
        <w:rPr>
          <w:rFonts w:asciiTheme="majorHAnsi" w:hAnsiTheme="majorHAnsi"/>
        </w:rPr>
        <w:t xml:space="preserve">Following the Council’s </w:t>
      </w:r>
      <w:hyperlink r:id="rId17" w:anchor="20201217-1" w:history="1">
        <w:r w:rsidRPr="00C2083A">
          <w:rPr>
            <w:rStyle w:val="Hyperlink"/>
            <w:rFonts w:asciiTheme="majorHAnsi" w:hAnsiTheme="majorHAnsi"/>
          </w:rPr>
          <w:t>appointment</w:t>
        </w:r>
      </w:hyperlink>
      <w:r>
        <w:rPr>
          <w:rFonts w:asciiTheme="majorHAnsi" w:hAnsiTheme="majorHAnsi"/>
        </w:rPr>
        <w:t xml:space="preserve"> of Chris </w:t>
      </w:r>
      <w:proofErr w:type="spellStart"/>
      <w:r>
        <w:rPr>
          <w:rFonts w:asciiTheme="majorHAnsi" w:hAnsiTheme="majorHAnsi"/>
        </w:rPr>
        <w:t>Disspain</w:t>
      </w:r>
      <w:proofErr w:type="spellEnd"/>
      <w:r>
        <w:rPr>
          <w:rFonts w:asciiTheme="majorHAnsi" w:hAnsiTheme="majorHAnsi"/>
        </w:rPr>
        <w:t xml:space="preserve"> as the IGO Work Track Chair and confirmation of their </w:t>
      </w:r>
      <w:r>
        <w:rPr>
          <w:rFonts w:asciiTheme="majorHAnsi" w:hAnsiTheme="majorHAnsi"/>
        </w:rPr>
        <w:t>representatives</w:t>
      </w:r>
      <w:r>
        <w:rPr>
          <w:rFonts w:asciiTheme="majorHAnsi" w:hAnsiTheme="majorHAnsi"/>
        </w:rPr>
        <w:t xml:space="preserve"> by interested GNSO Stakeholder Groups, Constituencies, Advisory Committees, other Supporting Organizations and IGOs </w:t>
      </w:r>
      <w:r>
        <w:rPr>
          <w:rFonts w:asciiTheme="majorHAnsi" w:hAnsiTheme="majorHAnsi"/>
        </w:rPr>
        <w:t xml:space="preserve">in </w:t>
      </w:r>
      <w:r>
        <w:rPr>
          <w:rFonts w:asciiTheme="majorHAnsi" w:hAnsiTheme="majorHAnsi"/>
        </w:rPr>
        <w:t>accord</w:t>
      </w:r>
      <w:r>
        <w:rPr>
          <w:rFonts w:asciiTheme="majorHAnsi" w:hAnsiTheme="majorHAnsi"/>
        </w:rPr>
        <w:t>ance with</w:t>
      </w:r>
      <w:r>
        <w:rPr>
          <w:rFonts w:asciiTheme="majorHAnsi" w:hAnsiTheme="majorHAnsi"/>
        </w:rPr>
        <w:t xml:space="preserve">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5CE78503" w14:textId="059FCD2B" w:rsidR="0063736C"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8" w:anchor="202001"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19"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Council had elected not to approve </w:t>
      </w:r>
      <w:r w:rsidR="0063736C">
        <w:rPr>
          <w:rFonts w:asciiTheme="majorHAnsi" w:hAnsiTheme="majorHAnsi"/>
        </w:rPr>
        <w:t xml:space="preserve">Recommendation #5 from </w:t>
      </w:r>
      <w:r w:rsidR="001B103A">
        <w:rPr>
          <w:rFonts w:asciiTheme="majorHAnsi" w:hAnsiTheme="majorHAnsi"/>
        </w:rPr>
        <w:t xml:space="preserve">the PDP, preferring to refer the matter to the RPM PDP </w:t>
      </w:r>
      <w:r w:rsidR="0063736C">
        <w:rPr>
          <w:rFonts w:asciiTheme="majorHAnsi" w:hAnsiTheme="majorHAnsi"/>
        </w:rPr>
        <w:t>for</w:t>
      </w:r>
      <w:r w:rsidR="001B103A">
        <w:rPr>
          <w:rFonts w:asciiTheme="majorHAnsi" w:hAnsiTheme="majorHAnsi"/>
        </w:rPr>
        <w:t xml:space="preserve"> its Phase 2 work. </w:t>
      </w:r>
    </w:p>
    <w:p w14:paraId="01AA4C1F" w14:textId="77777777" w:rsidR="0063736C" w:rsidRDefault="0063736C" w:rsidP="000F55A4">
      <w:pPr>
        <w:rPr>
          <w:rFonts w:asciiTheme="majorHAnsi" w:hAnsiTheme="majorHAnsi"/>
        </w:rPr>
      </w:pPr>
    </w:p>
    <w:p w14:paraId="1606DA9B" w14:textId="11645574" w:rsidR="00AA0A49" w:rsidRDefault="00326937" w:rsidP="000F55A4">
      <w:pPr>
        <w:rPr>
          <w:rFonts w:asciiTheme="majorHAnsi" w:hAnsiTheme="majorHAnsi"/>
          <w:lang w:eastAsia="en-US"/>
        </w:rPr>
      </w:pPr>
      <w:r>
        <w:rPr>
          <w:rFonts w:asciiTheme="majorHAnsi" w:hAnsiTheme="majorHAnsi"/>
          <w:lang w:eastAsia="en-US"/>
        </w:rPr>
        <w:t>Recommendation #5</w:t>
      </w:r>
      <w:r w:rsidR="00AA0A49" w:rsidRPr="00AA0A49">
        <w:rPr>
          <w:rFonts w:asciiTheme="majorHAnsi" w:hAnsiTheme="majorHAnsi"/>
          <w:lang w:eastAsia="en-US"/>
        </w:rPr>
        <w:t xml:space="preserve"> from </w:t>
      </w:r>
      <w:r>
        <w:rPr>
          <w:rFonts w:asciiTheme="majorHAnsi" w:hAnsiTheme="majorHAnsi"/>
          <w:lang w:eastAsia="en-US"/>
        </w:rPr>
        <w:t>t</w:t>
      </w:r>
      <w:r w:rsidR="00814FFF">
        <w:rPr>
          <w:rFonts w:asciiTheme="majorHAnsi" w:hAnsiTheme="majorHAnsi"/>
          <w:lang w:eastAsia="en-US"/>
        </w:rPr>
        <w:t>he IGO-INGO Access to Curative Rights</w:t>
      </w:r>
      <w:r w:rsidR="00AA0A49" w:rsidRPr="00AA0A49">
        <w:rPr>
          <w:rFonts w:asciiTheme="majorHAnsi" w:hAnsiTheme="majorHAnsi"/>
          <w:lang w:eastAsia="en-US"/>
        </w:rPr>
        <w:t xml:space="preserve"> PDP </w:t>
      </w:r>
      <w:r w:rsidR="0063736C">
        <w:rPr>
          <w:rFonts w:asciiTheme="majorHAnsi" w:hAnsiTheme="majorHAnsi"/>
          <w:lang w:eastAsia="en-US"/>
        </w:rPr>
        <w:t xml:space="preserve">attempts to address a situation </w:t>
      </w:r>
      <w:r w:rsidR="00AA0A49" w:rsidRPr="00AA0A49">
        <w:rPr>
          <w:rFonts w:asciiTheme="majorHAnsi" w:hAnsiTheme="majorHAnsi"/>
          <w:lang w:eastAsia="en-US"/>
        </w:rPr>
        <w:t>where an IGO has prevailed in a Uniform Domain Name Dispute Resolution Policy (UDRP) or Uniform Rapid Suspension (URS) proceeding</w:t>
      </w:r>
      <w:r w:rsidR="0063736C">
        <w:rPr>
          <w:rFonts w:asciiTheme="majorHAnsi" w:hAnsiTheme="majorHAnsi"/>
          <w:lang w:eastAsia="en-US"/>
        </w:rPr>
        <w:t>, following which</w:t>
      </w:r>
      <w:r w:rsidR="00AA0A49" w:rsidRPr="00AA0A49">
        <w:rPr>
          <w:rFonts w:asciiTheme="majorHAnsi" w:hAnsiTheme="majorHAnsi"/>
          <w:lang w:eastAsia="en-US"/>
        </w:rPr>
        <w:t xml:space="preserve"> the losing registrant files suit in a court</w:t>
      </w:r>
      <w:r w:rsidR="0063736C">
        <w:rPr>
          <w:rFonts w:asciiTheme="majorHAnsi" w:hAnsiTheme="majorHAnsi"/>
          <w:lang w:eastAsia="en-US"/>
        </w:rPr>
        <w:t xml:space="preserve"> and </w:t>
      </w:r>
      <w:r w:rsidR="00AA0A49" w:rsidRPr="00AA0A49">
        <w:rPr>
          <w:rFonts w:asciiTheme="majorHAnsi" w:hAnsiTheme="majorHAnsi"/>
          <w:lang w:eastAsia="en-US"/>
        </w:rPr>
        <w:t>the IGO successfully claims immunity from the jurisdiction of that court</w:t>
      </w:r>
      <w:r w:rsidR="0063736C">
        <w:rPr>
          <w:rFonts w:asciiTheme="majorHAnsi" w:hAnsiTheme="majorHAnsi"/>
          <w:lang w:eastAsia="en-US"/>
        </w:rPr>
        <w:t>. Recommendation #5 provides that</w:t>
      </w:r>
      <w:r w:rsidR="0038592B">
        <w:rPr>
          <w:rFonts w:asciiTheme="majorHAnsi" w:hAnsiTheme="majorHAnsi"/>
          <w:lang w:eastAsia="en-US"/>
        </w:rPr>
        <w:t>, in such an event,</w:t>
      </w:r>
      <w:r w:rsidR="0063736C">
        <w:rPr>
          <w:rFonts w:asciiTheme="majorHAnsi" w:hAnsiTheme="majorHAnsi"/>
          <w:lang w:eastAsia="en-US"/>
        </w:rPr>
        <w:t xml:space="preserve"> </w:t>
      </w:r>
      <w:r w:rsidR="00AA0A49" w:rsidRPr="00AA0A49">
        <w:rPr>
          <w:rFonts w:asciiTheme="majorHAnsi" w:hAnsiTheme="majorHAnsi"/>
          <w:lang w:eastAsia="en-US"/>
        </w:rPr>
        <w:t>the original UDRP or URS panel decision is to be set aside</w:t>
      </w:r>
      <w:r w:rsidR="0038592B">
        <w:rPr>
          <w:rFonts w:asciiTheme="majorHAnsi" w:hAnsiTheme="majorHAnsi"/>
          <w:lang w:eastAsia="en-US"/>
        </w:rPr>
        <w:t xml:space="preserve"> such that the effect</w:t>
      </w:r>
      <w:r>
        <w:rPr>
          <w:rFonts w:asciiTheme="majorHAnsi" w:hAnsiTheme="majorHAnsi"/>
          <w:lang w:eastAsia="en-US"/>
        </w:rPr>
        <w:t xml:space="preserve"> will be</w:t>
      </w:r>
      <w:r w:rsidR="00AA0A49" w:rsidRPr="00AA0A49">
        <w:rPr>
          <w:rFonts w:asciiTheme="majorHAnsi" w:hAnsiTheme="majorHAnsi"/>
          <w:lang w:eastAsia="en-US"/>
        </w:rPr>
        <w:t xml:space="preserve"> </w:t>
      </w:r>
      <w:r>
        <w:rPr>
          <w:rFonts w:asciiTheme="majorHAnsi" w:hAnsiTheme="majorHAnsi"/>
          <w:lang w:eastAsia="en-US"/>
        </w:rPr>
        <w:t>to put</w:t>
      </w:r>
      <w:r w:rsidR="00AA0A49" w:rsidRPr="00AA0A49">
        <w:rPr>
          <w:rFonts w:asciiTheme="majorHAnsi" w:hAnsiTheme="majorHAnsi"/>
          <w:lang w:eastAsia="en-US"/>
        </w:rPr>
        <w:t xml:space="preserve"> the parties to the dispute in the</w:t>
      </w:r>
      <w:r>
        <w:rPr>
          <w:rFonts w:asciiTheme="majorHAnsi" w:hAnsiTheme="majorHAnsi"/>
          <w:lang w:eastAsia="en-US"/>
        </w:rPr>
        <w:t>ir</w:t>
      </w:r>
      <w:r w:rsidR="00AA0A49" w:rsidRPr="00AA0A49">
        <w:rPr>
          <w:rFonts w:asciiTheme="majorHAnsi" w:hAnsiTheme="majorHAnsi"/>
          <w:lang w:eastAsia="en-US"/>
        </w:rPr>
        <w:t xml:space="preserve"> original situation</w:t>
      </w:r>
      <w:r>
        <w:rPr>
          <w:rFonts w:asciiTheme="majorHAnsi" w:hAnsiTheme="majorHAnsi"/>
          <w:lang w:eastAsia="en-US"/>
        </w:rPr>
        <w:t>s,</w:t>
      </w:r>
      <w:r w:rsidR="00AA0A49" w:rsidRPr="00AA0A49">
        <w:rPr>
          <w:rFonts w:asciiTheme="majorHAnsi" w:hAnsiTheme="majorHAnsi"/>
          <w:lang w:eastAsia="en-US"/>
        </w:rPr>
        <w:t xml:space="preserve"> as if the UDRP or URS proceeding had never been commenced. </w:t>
      </w:r>
    </w:p>
    <w:p w14:paraId="496FDC98" w14:textId="636E8ABC" w:rsidR="00326937" w:rsidRDefault="00326937" w:rsidP="000F55A4">
      <w:pPr>
        <w:rPr>
          <w:rFonts w:asciiTheme="majorHAnsi" w:hAnsiTheme="majorHAnsi"/>
          <w:lang w:eastAsia="en-US"/>
        </w:rPr>
      </w:pPr>
    </w:p>
    <w:p w14:paraId="4C549838" w14:textId="5303176A" w:rsidR="00AA0A49" w:rsidRDefault="00326937" w:rsidP="000F55A4">
      <w:pPr>
        <w:rPr>
          <w:rFonts w:asciiTheme="majorHAnsi" w:hAnsiTheme="majorHAnsi"/>
          <w:lang w:eastAsia="en-US"/>
        </w:rPr>
      </w:pPr>
      <w:r w:rsidRPr="00326937">
        <w:rPr>
          <w:rFonts w:asciiTheme="majorHAnsi" w:hAnsiTheme="majorHAnsi"/>
          <w:lang w:eastAsia="en-US"/>
        </w:rPr>
        <w:lastRenderedPageBreak/>
        <w:t xml:space="preserve">During the GNSO Council’s deliberations over the </w:t>
      </w:r>
      <w:r w:rsidR="0038592B">
        <w:rPr>
          <w:rFonts w:asciiTheme="majorHAnsi" w:hAnsiTheme="majorHAnsi"/>
          <w:lang w:eastAsia="en-US"/>
        </w:rPr>
        <w:t>Final Report</w:t>
      </w:r>
      <w:r>
        <w:rPr>
          <w:rFonts w:asciiTheme="majorHAnsi" w:hAnsiTheme="majorHAnsi"/>
          <w:lang w:eastAsia="en-US"/>
        </w:rPr>
        <w:t xml:space="preserve"> from the IGO-INGO Access to Curative Rights PDP</w:t>
      </w:r>
      <w:r w:rsidRPr="00326937">
        <w:rPr>
          <w:rFonts w:asciiTheme="majorHAnsi" w:hAnsiTheme="majorHAnsi"/>
          <w:lang w:eastAsia="en-US"/>
        </w:rPr>
        <w:t xml:space="preserve">, concerns were expressed as to whether </w:t>
      </w:r>
      <w:r>
        <w:rPr>
          <w:rFonts w:asciiTheme="majorHAnsi" w:hAnsiTheme="majorHAnsi"/>
          <w:lang w:eastAsia="en-US"/>
        </w:rPr>
        <w:t>R</w:t>
      </w:r>
      <w:r w:rsidRPr="00326937">
        <w:rPr>
          <w:rFonts w:asciiTheme="majorHAnsi" w:hAnsiTheme="majorHAnsi"/>
          <w:lang w:eastAsia="en-US"/>
        </w:rPr>
        <w:t xml:space="preserve">ecommendation </w:t>
      </w:r>
      <w:r>
        <w:rPr>
          <w:rFonts w:asciiTheme="majorHAnsi" w:hAnsiTheme="majorHAnsi"/>
          <w:lang w:eastAsia="en-US"/>
        </w:rPr>
        <w:t xml:space="preserve">#5 </w:t>
      </w:r>
      <w:r w:rsidRPr="00326937">
        <w:rPr>
          <w:rFonts w:asciiTheme="majorHAnsi" w:hAnsiTheme="majorHAnsi"/>
          <w:lang w:eastAsia="en-US"/>
        </w:rPr>
        <w:t>will</w:t>
      </w:r>
      <w:r>
        <w:rPr>
          <w:rFonts w:asciiTheme="majorHAnsi" w:hAnsiTheme="majorHAnsi"/>
          <w:lang w:eastAsia="en-US"/>
        </w:rPr>
        <w:t xml:space="preserve"> </w:t>
      </w:r>
      <w:r w:rsidRPr="00326937">
        <w:rPr>
          <w:rFonts w:asciiTheme="majorHAnsi" w:hAnsiTheme="majorHAnsi"/>
          <w:lang w:eastAsia="en-US"/>
        </w:rPr>
        <w:t>require a substantive modification to the UDRP and URS a</w:t>
      </w:r>
      <w:r w:rsidR="0038592B">
        <w:rPr>
          <w:rFonts w:asciiTheme="majorHAnsi" w:hAnsiTheme="majorHAnsi"/>
          <w:lang w:eastAsia="en-US"/>
        </w:rPr>
        <w:t>s well as</w:t>
      </w:r>
      <w:r w:rsidRPr="00326937">
        <w:rPr>
          <w:rFonts w:asciiTheme="majorHAnsi" w:hAnsiTheme="majorHAnsi"/>
          <w:lang w:eastAsia="en-US"/>
        </w:rPr>
        <w:t xml:space="preserve"> result in a potential reduction of the existing level of curative protections currently available to IGOs (notwithstanding the fact that the PDP had been chartered to determine </w:t>
      </w:r>
      <w:r w:rsidRPr="00326937">
        <w:rPr>
          <w:rFonts w:asciiTheme="majorHAnsi" w:hAnsiTheme="majorHAnsi"/>
          <w:i/>
          <w:iCs/>
          <w:lang w:eastAsia="en-U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Pr="00326937">
        <w:rPr>
          <w:rFonts w:asciiTheme="majorHAnsi" w:hAnsiTheme="majorHAnsi"/>
          <w:lang w:eastAsia="en-US"/>
        </w:rPr>
        <w:t>).</w:t>
      </w:r>
      <w:r w:rsidR="0038592B">
        <w:rPr>
          <w:rFonts w:asciiTheme="majorHAnsi" w:hAnsiTheme="majorHAnsi"/>
          <w:lang w:eastAsia="en-US"/>
        </w:rPr>
        <w:t xml:space="preserve"> As a result, the Council decided that additional policy work needed to be done on the specific issue that Recommendation #5 had been </w:t>
      </w:r>
      <w:r w:rsidR="003E04F9">
        <w:rPr>
          <w:rFonts w:asciiTheme="majorHAnsi" w:hAnsiTheme="majorHAnsi"/>
          <w:lang w:eastAsia="en-US"/>
        </w:rPr>
        <w:t>intended</w:t>
      </w:r>
      <w:r w:rsidR="0038592B">
        <w:rPr>
          <w:rFonts w:asciiTheme="majorHAnsi" w:hAnsiTheme="majorHAnsi"/>
          <w:lang w:eastAsia="en-US"/>
        </w:rPr>
        <w:t xml:space="preserve"> to resolve.</w:t>
      </w:r>
    </w:p>
    <w:p w14:paraId="55742110"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0CADE72F" w14:textId="77777777" w:rsidR="00500314" w:rsidRDefault="00500314" w:rsidP="000F55A4">
      <w:pPr>
        <w:rPr>
          <w:rFonts w:asciiTheme="majorHAnsi" w:hAnsiTheme="majorHAnsi"/>
        </w:rPr>
      </w:pPr>
    </w:p>
    <w:p w14:paraId="2786197A" w14:textId="69214306"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C2083A">
        <w:rPr>
          <w:rFonts w:asciiTheme="majorHAnsi" w:hAnsiTheme="majorHAnsi"/>
        </w:rPr>
        <w:t xml:space="preserve">IGO Work Track </w:t>
      </w:r>
      <w:r w:rsidR="001D61DA" w:rsidRPr="001D61DA">
        <w:rPr>
          <w:rFonts w:asciiTheme="majorHAnsi" w:hAnsiTheme="majorHAnsi"/>
        </w:rPr>
        <w:t xml:space="preserve">has arrived at </w:t>
      </w:r>
      <w:r w:rsidR="003E04F9">
        <w:rPr>
          <w:rFonts w:asciiTheme="majorHAnsi" w:hAnsiTheme="majorHAnsi"/>
        </w:rPr>
        <w:t xml:space="preserve">several conclusions and </w:t>
      </w:r>
      <w:r w:rsidR="001D61DA" w:rsidRPr="001D61DA">
        <w:rPr>
          <w:rFonts w:asciiTheme="majorHAnsi" w:hAnsiTheme="majorHAnsi"/>
        </w:rPr>
        <w:t xml:space="preserve">preliminary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in accordance with the GNSO Council’s instructions as documented in the Addendum</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2B39D3B1"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3E04F9">
        <w:rPr>
          <w:rFonts w:asciiTheme="majorHAnsi" w:hAnsiTheme="majorHAnsi"/>
        </w:rPr>
        <w:t>IGO Work Track reached initial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the requisite rights to proceed against a registrant in the absence of a trademark</w:t>
      </w:r>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 xml:space="preserve">following the initial UDRP [or URS] panel decision,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10D52151" w14:textId="5D77FDFB" w:rsidR="003F4681" w:rsidRDefault="003F4681" w:rsidP="003F4681">
      <w:pPr>
        <w:rPr>
          <w:rFonts w:asciiTheme="majorHAnsi" w:hAnsiTheme="majorHAnsi"/>
        </w:rPr>
      </w:pPr>
      <w:r>
        <w:rPr>
          <w:rFonts w:asciiTheme="majorHAnsi" w:hAnsiTheme="majorHAnsi"/>
        </w:rPr>
        <w:t xml:space="preserve">However, the Work Track has not </w:t>
      </w:r>
      <w:r w:rsidR="003E04F9">
        <w:rPr>
          <w:rFonts w:asciiTheme="majorHAnsi" w:hAnsiTheme="majorHAnsi"/>
        </w:rPr>
        <w:t>come to an agreed conclusion</w:t>
      </w:r>
      <w:r>
        <w:rPr>
          <w:rFonts w:asciiTheme="majorHAnsi" w:hAnsiTheme="majorHAnsi"/>
        </w:rPr>
        <w:t xml:space="preserve"> on the following specific questions: (1) the precise scope of the definition of “IGO Complainant”; (2) whether a registrant should continue to be able to agree to voluntary arbitration after a court has declined jurisdiction over the registrant’s case </w:t>
      </w:r>
      <w:r w:rsidR="0038592B">
        <w:rPr>
          <w:rFonts w:asciiTheme="majorHAnsi" w:hAnsiTheme="majorHAnsi"/>
        </w:rPr>
        <w:t>based on</w:t>
      </w:r>
      <w:r>
        <w:rPr>
          <w:rFonts w:asciiTheme="majorHAnsi" w:hAnsiTheme="majorHAnsi"/>
        </w:rPr>
        <w:t xml:space="preserve"> an IGO’s immunity from the jurisdiction of that court; and (3) what the applicable substantive law should be where the parties have agreed to proceed to arbitration</w:t>
      </w:r>
    </w:p>
    <w:p w14:paraId="29FA8230" w14:textId="0A613997" w:rsidR="00140481" w:rsidRDefault="00140481" w:rsidP="000F55A4">
      <w:pPr>
        <w:rPr>
          <w:rFonts w:asciiTheme="majorHAnsi" w:hAnsiTheme="majorHAnsi"/>
        </w:rPr>
      </w:pPr>
    </w:p>
    <w:p w14:paraId="440CFF2A" w14:textId="49AA0A9A" w:rsidR="0038592B" w:rsidRDefault="003F4681" w:rsidP="0038592B">
      <w:pPr>
        <w:rPr>
          <w:rFonts w:asciiTheme="majorHAnsi" w:hAnsiTheme="majorHAnsi"/>
        </w:rPr>
      </w:pPr>
      <w:r>
        <w:rPr>
          <w:rFonts w:asciiTheme="majorHAnsi" w:hAnsiTheme="majorHAnsi"/>
        </w:rPr>
        <w:t xml:space="preserve">Please refer to Section 2 for the full text, rationale, and additional details for the two sets of recommendations that the Work Track is proposing </w:t>
      </w:r>
      <w:r w:rsidR="003E04F9">
        <w:rPr>
          <w:rFonts w:asciiTheme="majorHAnsi" w:hAnsiTheme="majorHAnsi"/>
        </w:rPr>
        <w:t>to address</w:t>
      </w:r>
      <w:r>
        <w:rPr>
          <w:rFonts w:asciiTheme="majorHAnsi" w:hAnsiTheme="majorHAnsi"/>
        </w:rPr>
        <w:t xml:space="preserve"> these </w:t>
      </w:r>
      <w:r w:rsidR="003E04F9">
        <w:rPr>
          <w:rFonts w:asciiTheme="majorHAnsi" w:hAnsiTheme="majorHAnsi"/>
        </w:rPr>
        <w:t>topics</w:t>
      </w:r>
      <w:r w:rsidR="0038592B">
        <w:rPr>
          <w:rFonts w:asciiTheme="majorHAnsi" w:hAnsiTheme="majorHAnsi"/>
        </w:rPr>
        <w:t xml:space="preserve"> as well as the options currently being considered for those items where the Work Track has not yet reached agreement</w:t>
      </w:r>
      <w:r>
        <w:rPr>
          <w:rFonts w:asciiTheme="majorHAnsi" w:hAnsiTheme="majorHAnsi"/>
        </w:rPr>
        <w:t xml:space="preserve">. </w:t>
      </w:r>
      <w:r w:rsidR="0038592B" w:rsidRPr="00DC7232">
        <w:rPr>
          <w:rFonts w:asciiTheme="majorHAnsi" w:hAnsiTheme="majorHAnsi"/>
        </w:rPr>
        <w:t xml:space="preserve">Where </w:t>
      </w:r>
      <w:r w:rsidR="0038592B">
        <w:rPr>
          <w:rFonts w:asciiTheme="majorHAnsi" w:hAnsiTheme="majorHAnsi"/>
        </w:rPr>
        <w:t>the text for a</w:t>
      </w:r>
      <w:r w:rsidR="0038592B" w:rsidRPr="00DC7232">
        <w:rPr>
          <w:rFonts w:asciiTheme="majorHAnsi" w:hAnsiTheme="majorHAnsi"/>
        </w:rPr>
        <w:t xml:space="preserve"> potential recommendation</w:t>
      </w:r>
      <w:r w:rsidR="0038592B">
        <w:rPr>
          <w:rFonts w:asciiTheme="majorHAnsi" w:hAnsiTheme="majorHAnsi"/>
        </w:rPr>
        <w:t xml:space="preserve"> has</w:t>
      </w:r>
      <w:r w:rsidR="0038592B" w:rsidRPr="00DC7232">
        <w:rPr>
          <w:rFonts w:asciiTheme="majorHAnsi" w:hAnsiTheme="majorHAnsi"/>
        </w:rPr>
        <w:t xml:space="preserve"> yet to be finalized or do</w:t>
      </w:r>
      <w:r w:rsidR="0038592B">
        <w:rPr>
          <w:rFonts w:asciiTheme="majorHAnsi" w:hAnsiTheme="majorHAnsi"/>
        </w:rPr>
        <w:t>es</w:t>
      </w:r>
      <w:r w:rsidR="0038592B" w:rsidRPr="00DC7232">
        <w:rPr>
          <w:rFonts w:asciiTheme="majorHAnsi" w:hAnsiTheme="majorHAnsi"/>
        </w:rPr>
        <w:t xml:space="preserve"> not represent </w:t>
      </w:r>
      <w:r w:rsidR="0038592B">
        <w:rPr>
          <w:rFonts w:asciiTheme="majorHAnsi" w:hAnsiTheme="majorHAnsi"/>
        </w:rPr>
        <w:t>an agreed</w:t>
      </w:r>
      <w:r w:rsidR="0038592B" w:rsidRPr="00DC7232">
        <w:rPr>
          <w:rFonts w:asciiTheme="majorHAnsi" w:hAnsiTheme="majorHAnsi"/>
        </w:rPr>
        <w:t xml:space="preserve"> position within the W</w:t>
      </w:r>
      <w:r w:rsidR="0038592B">
        <w:rPr>
          <w:rFonts w:asciiTheme="majorHAnsi" w:hAnsiTheme="majorHAnsi"/>
        </w:rPr>
        <w:t>ork Track</w:t>
      </w:r>
      <w:r w:rsidR="0038592B" w:rsidRPr="00DC7232">
        <w:rPr>
          <w:rFonts w:asciiTheme="majorHAnsi" w:hAnsiTheme="majorHAnsi"/>
        </w:rPr>
        <w:t>, square brackets have been used</w:t>
      </w:r>
      <w:r w:rsidR="0038592B">
        <w:rPr>
          <w:rFonts w:asciiTheme="majorHAnsi" w:hAnsiTheme="majorHAnsi"/>
        </w:rPr>
        <w:t xml:space="preserve"> to indicate this to be the case. </w:t>
      </w:r>
    </w:p>
    <w:p w14:paraId="3E92D897" w14:textId="77777777" w:rsidR="0038592B" w:rsidRDefault="0038592B" w:rsidP="003F4681">
      <w:pPr>
        <w:rPr>
          <w:rFonts w:asciiTheme="majorHAnsi" w:hAnsiTheme="majorHAnsi"/>
        </w:rPr>
      </w:pPr>
    </w:p>
    <w:p w14:paraId="4EEB1AA4" w14:textId="55FF06B3" w:rsidR="00140481" w:rsidRPr="003819D1" w:rsidRDefault="00140481" w:rsidP="000F55A4">
      <w:pPr>
        <w:rPr>
          <w:rFonts w:asciiTheme="majorHAnsi" w:hAnsiTheme="majorHAnsi"/>
        </w:rPr>
      </w:pPr>
      <w:r>
        <w:rPr>
          <w:rFonts w:asciiTheme="majorHAnsi" w:hAnsiTheme="majorHAnsi"/>
        </w:rPr>
        <w:t xml:space="preserve">The IGO Work Track welcomes Public Comments on both </w:t>
      </w:r>
      <w:r w:rsidR="003F4681">
        <w:rPr>
          <w:rFonts w:asciiTheme="majorHAnsi" w:hAnsiTheme="majorHAnsi"/>
        </w:rPr>
        <w:t xml:space="preserve">sets of </w:t>
      </w:r>
      <w:r>
        <w:rPr>
          <w:rFonts w:asciiTheme="majorHAnsi" w:hAnsiTheme="majorHAnsi"/>
        </w:rPr>
        <w:t xml:space="preserve">preliminary recommendations; in particular, on those </w:t>
      </w:r>
      <w:r w:rsidR="003F4681">
        <w:rPr>
          <w:rFonts w:asciiTheme="majorHAnsi" w:hAnsiTheme="majorHAnsi"/>
        </w:rPr>
        <w:t>elements</w:t>
      </w:r>
      <w:r>
        <w:rPr>
          <w:rFonts w:asciiTheme="majorHAnsi" w:hAnsiTheme="majorHAnsi"/>
        </w:rPr>
        <w:t xml:space="preserve"> where the group has not yet reached agreement and where the various options under consideration have been </w:t>
      </w:r>
      <w:r w:rsidR="003E04F9">
        <w:rPr>
          <w:rFonts w:asciiTheme="majorHAnsi" w:hAnsiTheme="majorHAnsi"/>
        </w:rPr>
        <w:t>include</w:t>
      </w:r>
      <w:r>
        <w:rPr>
          <w:rFonts w:asciiTheme="majorHAnsi" w:hAnsiTheme="majorHAnsi"/>
        </w:rPr>
        <w:t>d for community feedback.</w:t>
      </w:r>
      <w:r w:rsidR="003F4681">
        <w:rPr>
          <w:rFonts w:asciiTheme="majorHAnsi" w:hAnsiTheme="majorHAnsi"/>
        </w:rPr>
        <w:t xml:space="preserve"> </w:t>
      </w:r>
    </w:p>
    <w:p w14:paraId="5E8C35CF" w14:textId="2E66E57C" w:rsidR="000F55A4" w:rsidRPr="003819D1" w:rsidRDefault="00B11C5C" w:rsidP="009C3078">
      <w:pPr>
        <w:pStyle w:val="Heading3"/>
        <w:rPr>
          <w:rFonts w:asciiTheme="majorHAnsi" w:hAnsiTheme="majorHAnsi"/>
        </w:rPr>
      </w:pPr>
      <w:r>
        <w:rPr>
          <w:rFonts w:asciiTheme="majorHAnsi" w:hAnsiTheme="majorHAnsi"/>
        </w:rPr>
        <w:lastRenderedPageBreak/>
        <w:t xml:space="preserve">Proposed Recommendation </w:t>
      </w:r>
      <w:r w:rsidR="0033418D">
        <w:rPr>
          <w:rFonts w:asciiTheme="majorHAnsi" w:hAnsiTheme="majorHAnsi"/>
        </w:rPr>
        <w:t>regarding Eligibility Requirements for</w:t>
      </w:r>
      <w:r w:rsidR="00CE46D9">
        <w:rPr>
          <w:rFonts w:asciiTheme="majorHAnsi" w:hAnsiTheme="majorHAnsi"/>
        </w:rPr>
        <w:t xml:space="preserve"> IGOs </w:t>
      </w:r>
      <w:r w:rsidR="0033418D">
        <w:rPr>
          <w:rFonts w:asciiTheme="majorHAnsi" w:hAnsiTheme="majorHAnsi"/>
        </w:rPr>
        <w:t xml:space="preserve">in </w:t>
      </w:r>
      <w:r w:rsidR="00CE46D9">
        <w:rPr>
          <w:rFonts w:asciiTheme="majorHAnsi" w:hAnsiTheme="majorHAnsi"/>
        </w:rPr>
        <w:t>Second-Level Dispute Resolution Processes</w:t>
      </w:r>
    </w:p>
    <w:p w14:paraId="10553ADF" w14:textId="77777777" w:rsidR="00500314" w:rsidRDefault="00500314" w:rsidP="00CE46D9">
      <w:pPr>
        <w:rPr>
          <w:rFonts w:asciiTheme="majorHAnsi" w:hAnsiTheme="majorHAnsi"/>
        </w:rPr>
      </w:pPr>
    </w:p>
    <w:p w14:paraId="73958762" w14:textId="05100361" w:rsidR="00E10241"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IGO Work Track</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that some 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C60739">
        <w:rPr>
          <w:rFonts w:asciiTheme="majorHAnsi" w:hAnsiTheme="majorHAnsi"/>
        </w:rPr>
        <w:t xml:space="preserve">that a complainant must have trademark rights </w:t>
      </w:r>
      <w:r w:rsidR="00A45605">
        <w:rPr>
          <w:rFonts w:asciiTheme="majorHAnsi" w:hAnsiTheme="majorHAnsi"/>
        </w:rPr>
        <w:t>to</w:t>
      </w:r>
      <w:r w:rsidR="00C60739">
        <w:rPr>
          <w:rFonts w:asciiTheme="majorHAnsi" w:hAnsiTheme="majorHAnsi"/>
        </w:rPr>
        <w:t xml:space="preserve"> proceed against a domain name registrant.</w:t>
      </w:r>
      <w:r>
        <w:rPr>
          <w:rFonts w:asciiTheme="majorHAnsi" w:hAnsiTheme="majorHAnsi"/>
        </w:rPr>
        <w:t xml:space="preserve"> In this regard, the IGO Work Track is proposing 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Work Track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Pr>
          <w:rFonts w:asciiTheme="majorHAnsi" w:hAnsiTheme="majorHAnsi"/>
        </w:rPr>
        <w:t xml:space="preserve">demonstrate that </w:t>
      </w:r>
      <w:r w:rsidR="00A45605">
        <w:rPr>
          <w:rFonts w:asciiTheme="majorHAnsi" w:hAnsiTheme="majorHAnsi"/>
        </w:rPr>
        <w:t>they have</w:t>
      </w:r>
      <w:r>
        <w:rPr>
          <w:rFonts w:asciiTheme="majorHAnsi" w:hAnsiTheme="majorHAnsi"/>
        </w:rPr>
        <w:t xml:space="preserve"> the requisite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4F46507F" w14:textId="578AF0DA" w:rsidR="000558C4" w:rsidRDefault="000558C4" w:rsidP="00CE46D9">
      <w:pPr>
        <w:rPr>
          <w:rFonts w:asciiTheme="majorHAnsi" w:hAnsiTheme="majorHAnsi"/>
        </w:rPr>
      </w:pPr>
    </w:p>
    <w:p w14:paraId="0846B770" w14:textId="549F9508" w:rsidR="000558C4" w:rsidRDefault="000558C4" w:rsidP="00CE46D9">
      <w:pPr>
        <w:rPr>
          <w:rFonts w:asciiTheme="majorHAnsi" w:hAnsiTheme="majorHAnsi"/>
        </w:rPr>
      </w:pPr>
      <w:r>
        <w:rPr>
          <w:rFonts w:asciiTheme="majorHAnsi" w:hAnsiTheme="majorHAnsi"/>
        </w:rPr>
        <w:t>The current recommendation</w:t>
      </w:r>
      <w:r w:rsidR="00140481">
        <w:rPr>
          <w:rFonts w:asciiTheme="majorHAnsi" w:hAnsiTheme="majorHAnsi"/>
        </w:rPr>
        <w:t xml:space="preserve"> (see Section 2.1.1)</w:t>
      </w:r>
      <w:r>
        <w:rPr>
          <w:rFonts w:asciiTheme="majorHAnsi" w:hAnsiTheme="majorHAnsi"/>
        </w:rPr>
        <w:t xml:space="preserve"> includes square bracketed text indicating that the Work Track has not yet reached agreement on the </w:t>
      </w:r>
      <w:r w:rsidR="00A45605">
        <w:rPr>
          <w:rFonts w:asciiTheme="majorHAnsi" w:hAnsiTheme="majorHAnsi"/>
        </w:rPr>
        <w:t xml:space="preserve">precise </w:t>
      </w:r>
      <w:r>
        <w:rPr>
          <w:rFonts w:asciiTheme="majorHAnsi" w:hAnsiTheme="majorHAnsi"/>
        </w:rPr>
        <w:t xml:space="preserve">scope of the proposed definition; specifically, whether </w:t>
      </w:r>
      <w:r w:rsidR="003E04F9">
        <w:rPr>
          <w:rFonts w:asciiTheme="majorHAnsi" w:hAnsiTheme="majorHAnsi"/>
        </w:rPr>
        <w:t xml:space="preserve">the definition </w:t>
      </w:r>
      <w:r>
        <w:rPr>
          <w:rFonts w:asciiTheme="majorHAnsi" w:hAnsiTheme="majorHAnsi"/>
        </w:rPr>
        <w:t xml:space="preserve">should </w:t>
      </w:r>
      <w:r w:rsidR="000B6C20">
        <w:rPr>
          <w:rFonts w:asciiTheme="majorHAnsi" w:hAnsiTheme="majorHAnsi"/>
        </w:rPr>
        <w:t>expressly include</w:t>
      </w:r>
      <w:r w:rsidR="003E04F9">
        <w:rPr>
          <w:rFonts w:asciiTheme="majorHAnsi" w:hAnsiTheme="majorHAnsi"/>
        </w:rPr>
        <w:t xml:space="preserve"> references to</w:t>
      </w:r>
      <w:r>
        <w:rPr>
          <w:rFonts w:asciiTheme="majorHAnsi" w:hAnsiTheme="majorHAnsi"/>
        </w:rPr>
        <w:t xml:space="preserve"> the work of the United Nations General Assembly’s standing committees and the Specialized Agencies within the United Nations system. To facilitate </w:t>
      </w:r>
      <w:r w:rsidR="00A45605">
        <w:rPr>
          <w:rFonts w:asciiTheme="majorHAnsi" w:hAnsiTheme="majorHAnsi"/>
        </w:rPr>
        <w:t>Public C</w:t>
      </w:r>
      <w:r>
        <w:rPr>
          <w:rFonts w:asciiTheme="majorHAnsi" w:hAnsiTheme="majorHAnsi"/>
        </w:rPr>
        <w:t xml:space="preserve">omments on this specific point, </w:t>
      </w:r>
      <w:r w:rsidR="00A45605">
        <w:rPr>
          <w:rFonts w:asciiTheme="majorHAnsi" w:hAnsiTheme="majorHAnsi"/>
        </w:rPr>
        <w:t>relevant link</w:t>
      </w:r>
      <w:r>
        <w:rPr>
          <w:rFonts w:asciiTheme="majorHAnsi" w:hAnsiTheme="majorHAnsi"/>
        </w:rPr>
        <w:t xml:space="preserve">s to additional resources about the United Nations have been included in Section 3.  </w:t>
      </w:r>
    </w:p>
    <w:p w14:paraId="207CE4DA" w14:textId="5E073EFA" w:rsidR="000F55A4" w:rsidRPr="003819D1" w:rsidRDefault="00CF22A6" w:rsidP="009C3078">
      <w:pPr>
        <w:pStyle w:val="Heading3"/>
        <w:rPr>
          <w:rFonts w:asciiTheme="majorHAnsi" w:hAnsiTheme="majorHAnsi"/>
        </w:rPr>
      </w:pPr>
      <w:r>
        <w:rPr>
          <w:rFonts w:asciiTheme="majorHAnsi" w:hAnsiTheme="majorHAnsi"/>
        </w:rPr>
        <w:t xml:space="preserve">Proposed 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Jurisdictional Immunities While Preserving a Registrant’s Right to File Court Proceedings</w:t>
      </w:r>
    </w:p>
    <w:p w14:paraId="5AB47EB0" w14:textId="77777777" w:rsidR="00500314" w:rsidRDefault="00500314" w:rsidP="00CF22A6">
      <w:pPr>
        <w:rPr>
          <w:rFonts w:asciiTheme="majorHAnsi" w:hAnsiTheme="majorHAnsi"/>
        </w:rPr>
      </w:pPr>
    </w:p>
    <w:p w14:paraId="72644699" w14:textId="47192BE9" w:rsidR="00CF22A6" w:rsidRDefault="001F06C8" w:rsidP="00CF22A6">
      <w:pPr>
        <w:rPr>
          <w:rFonts w:asciiTheme="majorHAnsi" w:hAnsiTheme="majorHAnsi"/>
        </w:rPr>
      </w:pPr>
      <w:r>
        <w:rPr>
          <w:rFonts w:asciiTheme="majorHAnsi" w:hAnsiTheme="majorHAnsi"/>
        </w:rPr>
        <w:t xml:space="preserve">Recommendation #2 </w:t>
      </w:r>
      <w:r w:rsidR="000B6C20">
        <w:rPr>
          <w:rFonts w:asciiTheme="majorHAnsi" w:hAnsiTheme="majorHAnsi"/>
        </w:rPr>
        <w:t xml:space="preserve">from the IGO Work Track </w:t>
      </w:r>
      <w:r>
        <w:rPr>
          <w:rFonts w:asciiTheme="majorHAnsi" w:hAnsiTheme="majorHAnsi"/>
        </w:rPr>
        <w:t xml:space="preserve">comprises a set of </w:t>
      </w:r>
      <w:r w:rsidR="00EF0F82">
        <w:rPr>
          <w:rFonts w:asciiTheme="majorHAnsi" w:hAnsiTheme="majorHAnsi"/>
        </w:rPr>
        <w:t xml:space="preserve">three </w:t>
      </w:r>
      <w:r>
        <w:rPr>
          <w:rFonts w:asciiTheme="majorHAnsi" w:hAnsiTheme="majorHAnsi"/>
        </w:rPr>
        <w:t xml:space="preserve">related, interdependent recommendations (#2A, #2B &amp; #2C). This set of recommendations </w:t>
      </w:r>
      <w:r w:rsidR="00C357A4">
        <w:rPr>
          <w:rFonts w:asciiTheme="majorHAnsi" w:hAnsiTheme="majorHAnsi"/>
        </w:rPr>
        <w:t>is</w:t>
      </w:r>
      <w:r>
        <w:rPr>
          <w:rFonts w:asciiTheme="majorHAnsi" w:hAnsiTheme="majorHAnsi"/>
        </w:rPr>
        <w:t xml:space="preserve"> intended to achieve an appropriate </w:t>
      </w:r>
      <w:r w:rsidR="00C357A4">
        <w:rPr>
          <w:rFonts w:asciiTheme="majorHAnsi" w:hAnsiTheme="majorHAnsi"/>
        </w:rPr>
        <w:t xml:space="preserve">policy </w:t>
      </w:r>
      <w:r>
        <w:rPr>
          <w:rFonts w:asciiTheme="majorHAnsi" w:hAnsiTheme="majorHAnsi"/>
        </w:rPr>
        <w:t xml:space="preserve">balance between respect for an IGO’s immunities and privileges (specifically, immunity from the jurisdiction of a court) and </w:t>
      </w:r>
      <w:r w:rsidR="00A45605">
        <w:rPr>
          <w:rFonts w:asciiTheme="majorHAnsi" w:hAnsiTheme="majorHAnsi"/>
        </w:rPr>
        <w:t xml:space="preserve">maintaining </w:t>
      </w:r>
      <w:r>
        <w:rPr>
          <w:rFonts w:asciiTheme="majorHAnsi" w:hAnsiTheme="majorHAnsi"/>
        </w:rPr>
        <w:t xml:space="preserve">a registrant’s right to file </w:t>
      </w:r>
      <w:r w:rsidR="000B6C20">
        <w:rPr>
          <w:rFonts w:asciiTheme="majorHAnsi" w:hAnsiTheme="majorHAnsi"/>
        </w:rPr>
        <w:t>judicial</w:t>
      </w:r>
      <w:r>
        <w:rPr>
          <w:rFonts w:asciiTheme="majorHAnsi" w:hAnsiTheme="majorHAnsi"/>
        </w:rPr>
        <w:t xml:space="preserve"> proceedings against an IGO.</w:t>
      </w:r>
    </w:p>
    <w:p w14:paraId="2BE250D7" w14:textId="244400FA" w:rsidR="000558C4" w:rsidRDefault="000558C4" w:rsidP="00CF22A6">
      <w:pPr>
        <w:rPr>
          <w:rFonts w:asciiTheme="majorHAnsi" w:hAnsiTheme="majorHAnsi"/>
        </w:rPr>
      </w:pPr>
    </w:p>
    <w:p w14:paraId="5FE64B7D" w14:textId="6D60F842" w:rsidR="000558C4" w:rsidRDefault="000558C4" w:rsidP="00CF22A6">
      <w:pPr>
        <w:rPr>
          <w:rFonts w:asciiTheme="majorHAnsi" w:hAnsiTheme="majorHAnsi"/>
        </w:rPr>
      </w:pPr>
      <w:r>
        <w:rPr>
          <w:rFonts w:asciiTheme="majorHAnsi" w:hAnsiTheme="majorHAnsi"/>
        </w:rPr>
        <w:t>The current Recommendation #2C includes square bracketed text indicating that the Work Track has not yet reached agreement on two specific issues: (</w:t>
      </w:r>
      <w:proofErr w:type="spellStart"/>
      <w:r>
        <w:rPr>
          <w:rFonts w:asciiTheme="majorHAnsi" w:hAnsiTheme="majorHAnsi"/>
        </w:rPr>
        <w:t>i</w:t>
      </w:r>
      <w:proofErr w:type="spellEnd"/>
      <w:r>
        <w:rPr>
          <w:rFonts w:asciiTheme="majorHAnsi" w:hAnsiTheme="majorHAnsi"/>
        </w:rPr>
        <w:t xml:space="preserve">) whether a losing registrant should be able to maintain the option to </w:t>
      </w:r>
      <w:r w:rsidR="003F4681">
        <w:rPr>
          <w:rFonts w:asciiTheme="majorHAnsi" w:hAnsiTheme="majorHAnsi"/>
        </w:rPr>
        <w:t>proceed to</w:t>
      </w:r>
      <w:r>
        <w:rPr>
          <w:rFonts w:asciiTheme="majorHAnsi" w:hAnsiTheme="majorHAnsi"/>
        </w:rPr>
        <w:t xml:space="preserve"> arbitration </w:t>
      </w:r>
      <w:r w:rsidR="003F4681">
        <w:rPr>
          <w:rFonts w:asciiTheme="majorHAnsi" w:hAnsiTheme="majorHAnsi"/>
        </w:rPr>
        <w:t>after the court in which they filed a proceeding declines to assume jurisdiction in the case</w:t>
      </w:r>
      <w:r w:rsidR="00EF0F82">
        <w:rPr>
          <w:rFonts w:asciiTheme="majorHAnsi" w:hAnsiTheme="majorHAnsi"/>
        </w:rPr>
        <w:t>,</w:t>
      </w:r>
      <w:r w:rsidR="003F4681">
        <w:rPr>
          <w:rFonts w:asciiTheme="majorHAnsi" w:hAnsiTheme="majorHAnsi"/>
        </w:rPr>
        <w:t xml:space="preserve"> due to</w:t>
      </w:r>
      <w:r>
        <w:rPr>
          <w:rFonts w:asciiTheme="majorHAnsi" w:hAnsiTheme="majorHAnsi"/>
        </w:rPr>
        <w:t xml:space="preserve"> </w:t>
      </w:r>
      <w:r w:rsidR="003F4681">
        <w:rPr>
          <w:rFonts w:asciiTheme="majorHAnsi" w:hAnsiTheme="majorHAnsi"/>
        </w:rPr>
        <w:t>the</w:t>
      </w:r>
      <w:r>
        <w:rPr>
          <w:rFonts w:asciiTheme="majorHAnsi" w:hAnsiTheme="majorHAnsi"/>
        </w:rPr>
        <w:t xml:space="preserve"> IGO Complainant</w:t>
      </w:r>
      <w:r w:rsidR="003F4681">
        <w:rPr>
          <w:rFonts w:asciiTheme="majorHAnsi" w:hAnsiTheme="majorHAnsi"/>
        </w:rPr>
        <w:t>’s immunity from the jurisdiction of that court</w:t>
      </w:r>
      <w:r>
        <w:rPr>
          <w:rFonts w:asciiTheme="majorHAnsi" w:hAnsiTheme="majorHAnsi"/>
        </w:rPr>
        <w:t xml:space="preserve">; and (ii) </w:t>
      </w:r>
      <w:r w:rsidR="00EF0F82">
        <w:rPr>
          <w:rFonts w:asciiTheme="majorHAnsi" w:hAnsiTheme="majorHAnsi"/>
        </w:rPr>
        <w:t xml:space="preserve">what the applicable law should be in a case </w:t>
      </w:r>
      <w:r w:rsidR="00C60739">
        <w:rPr>
          <w:rFonts w:asciiTheme="majorHAnsi" w:hAnsiTheme="majorHAnsi"/>
        </w:rPr>
        <w:t xml:space="preserve">where the parties have agreed to voluntary arbitration. The current alternative formulations </w:t>
      </w:r>
      <w:r w:rsidR="00A45605">
        <w:rPr>
          <w:rFonts w:asciiTheme="majorHAnsi" w:hAnsiTheme="majorHAnsi"/>
        </w:rPr>
        <w:t>are noted</w:t>
      </w:r>
      <w:r w:rsidR="00C60739">
        <w:rPr>
          <w:rFonts w:asciiTheme="majorHAnsi" w:hAnsiTheme="majorHAnsi"/>
        </w:rPr>
        <w:t xml:space="preserve"> in Section 2</w:t>
      </w:r>
      <w:r w:rsidR="00140481">
        <w:rPr>
          <w:rFonts w:asciiTheme="majorHAnsi" w:hAnsiTheme="majorHAnsi"/>
        </w:rPr>
        <w:t>.1.2</w:t>
      </w:r>
      <w:r w:rsidR="00C60739">
        <w:rPr>
          <w:rFonts w:asciiTheme="majorHAnsi" w:hAnsiTheme="majorHAnsi"/>
        </w:rPr>
        <w:t>.</w:t>
      </w:r>
    </w:p>
    <w:p w14:paraId="1C5964AB" w14:textId="0B4D309A" w:rsidR="000F55A4" w:rsidRPr="003819D1" w:rsidRDefault="00C357A4" w:rsidP="009C3078">
      <w:pPr>
        <w:pStyle w:val="Heading2"/>
        <w:rPr>
          <w:rFonts w:asciiTheme="majorHAnsi" w:hAnsiTheme="majorHAnsi"/>
        </w:rPr>
      </w:pPr>
      <w:r>
        <w:rPr>
          <w:rFonts w:asciiTheme="majorHAnsi" w:hAnsiTheme="majorHAnsi"/>
        </w:rPr>
        <w:t xml:space="preserve">Work Track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31DCD869" w:rsidR="000B7FAB" w:rsidRPr="003819D1" w:rsidRDefault="00C357A4" w:rsidP="000B7FAB">
      <w:pPr>
        <w:rPr>
          <w:rFonts w:asciiTheme="majorHAnsi" w:hAnsiTheme="majorHAnsi"/>
        </w:rPr>
      </w:pPr>
      <w:r>
        <w:rPr>
          <w:rFonts w:asciiTheme="majorHAnsi" w:hAnsiTheme="majorHAnsi"/>
        </w:rPr>
        <w:lastRenderedPageBreak/>
        <w:t xml:space="preserve">Section 3 of this report outlines the IGO Work Track’s deliberations </w:t>
      </w:r>
      <w:r w:rsidR="00EF0F82">
        <w:rPr>
          <w:rFonts w:asciiTheme="majorHAnsi" w:hAnsiTheme="majorHAnsi"/>
        </w:rPr>
        <w:t>regarding</w:t>
      </w:r>
      <w:r>
        <w:rPr>
          <w:rFonts w:asciiTheme="majorHAnsi" w:hAnsiTheme="majorHAnsi"/>
        </w:rPr>
        <w:t xml:space="preserve"> how it considered and developed the proposed preliminary recommendations</w:t>
      </w:r>
      <w:r w:rsidR="000558C4">
        <w:rPr>
          <w:rFonts w:asciiTheme="majorHAnsi" w:hAnsiTheme="majorHAnsi"/>
        </w:rPr>
        <w:t xml:space="preserve"> and option</w:t>
      </w:r>
      <w:r>
        <w:rPr>
          <w:rFonts w:asciiTheme="majorHAnsi" w:hAnsiTheme="majorHAnsi"/>
        </w:rPr>
        <w:t>s</w:t>
      </w:r>
      <w:r w:rsidR="000558C4">
        <w:rPr>
          <w:rFonts w:asciiTheme="majorHAnsi" w:hAnsiTheme="majorHAnsi"/>
        </w:rPr>
        <w:t xml:space="preserve"> under consideration</w:t>
      </w:r>
      <w:r>
        <w:rPr>
          <w:rFonts w:asciiTheme="majorHAnsi" w:hAnsiTheme="majorHAnsi"/>
        </w:rPr>
        <w:t xml:space="preserve">. </w:t>
      </w: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641A7C7B" w:rsidR="000A4AA4" w:rsidRDefault="003E5E3F" w:rsidP="000B7FAB">
      <w:pPr>
        <w:rPr>
          <w:rFonts w:asciiTheme="majorHAnsi" w:hAnsiTheme="majorHAnsi"/>
        </w:rPr>
        <w:sectPr w:rsidR="000A4AA4" w:rsidSect="000D2C3A">
          <w:headerReference w:type="first" r:id="rId20"/>
          <w:footerReference w:type="first" r:id="rId21"/>
          <w:pgSz w:w="12240" w:h="15840"/>
          <w:pgMar w:top="1440" w:right="1800" w:bottom="1440" w:left="1800" w:header="720" w:footer="720" w:gutter="0"/>
          <w:cols w:space="720"/>
          <w:docGrid w:linePitch="360"/>
        </w:sectPr>
      </w:pPr>
      <w:r>
        <w:rPr>
          <w:rFonts w:asciiTheme="majorHAnsi" w:hAnsiTheme="majorHAnsi"/>
        </w:rPr>
        <w:t xml:space="preserve">This Initial Report will be posted for </w:t>
      </w:r>
      <w:r w:rsidR="001F06C8">
        <w:rPr>
          <w:rFonts w:asciiTheme="majorHAnsi" w:hAnsiTheme="majorHAnsi"/>
        </w:rPr>
        <w:t>P</w:t>
      </w:r>
      <w:r>
        <w:rPr>
          <w:rFonts w:asciiTheme="majorHAnsi" w:hAnsiTheme="majorHAnsi"/>
        </w:rPr>
        <w:t xml:space="preserve">ublic </w:t>
      </w:r>
      <w:r w:rsidR="001F06C8">
        <w:rPr>
          <w:rFonts w:asciiTheme="majorHAnsi" w:hAnsiTheme="majorHAnsi"/>
        </w:rPr>
        <w:t>C</w:t>
      </w:r>
      <w:r>
        <w:rPr>
          <w:rFonts w:asciiTheme="majorHAnsi" w:hAnsiTheme="majorHAnsi"/>
        </w:rPr>
        <w:t xml:space="preserve">omment for </w:t>
      </w:r>
      <w:r w:rsidR="001F06C8">
        <w:rPr>
          <w:rFonts w:asciiTheme="majorHAnsi" w:hAnsiTheme="majorHAnsi"/>
        </w:rPr>
        <w:t>a minimum of forty (40) d</w:t>
      </w:r>
      <w:r>
        <w:rPr>
          <w:rFonts w:asciiTheme="majorHAnsi" w:hAnsiTheme="majorHAnsi"/>
        </w:rPr>
        <w:t xml:space="preserve">ays. </w:t>
      </w:r>
      <w:r w:rsidR="00C357A4">
        <w:rPr>
          <w:rFonts w:asciiTheme="majorHAnsi" w:hAnsiTheme="majorHAnsi"/>
        </w:rPr>
        <w:t xml:space="preserve">Following its review of all comments received to this report, the IGO Work Track will prepare </w:t>
      </w:r>
      <w:r w:rsidR="003D1B6F">
        <w:rPr>
          <w:rFonts w:asciiTheme="majorHAnsi" w:hAnsiTheme="majorHAnsi"/>
        </w:rPr>
        <w:t xml:space="preserve">its </w:t>
      </w:r>
      <w:r w:rsidR="00C357A4">
        <w:rPr>
          <w:rFonts w:asciiTheme="majorHAnsi" w:hAnsiTheme="majorHAnsi"/>
        </w:rPr>
        <w:t>draft final recommendations and conduct a formal consensus call in accordance with the GNSO’s Working Group Guidelines.</w:t>
      </w:r>
      <w:r w:rsidR="00C357A4" w:rsidRPr="001D61DA">
        <w:rPr>
          <w:rFonts w:asciiTheme="majorHAnsi" w:hAnsiTheme="majorHAnsi"/>
        </w:rPr>
        <w:t xml:space="preserve"> </w:t>
      </w:r>
      <w:r w:rsidR="00C357A4">
        <w:rPr>
          <w:rFonts w:asciiTheme="majorHAnsi" w:hAnsiTheme="majorHAnsi"/>
        </w:rPr>
        <w:t>Based on the outcomes of the formal consensus call, the Work Track</w:t>
      </w:r>
      <w:r w:rsidR="000B6C20">
        <w:rPr>
          <w:rFonts w:asciiTheme="majorHAnsi" w:hAnsiTheme="majorHAnsi"/>
        </w:rPr>
        <w:t xml:space="preserve"> will document its</w:t>
      </w:r>
      <w:r w:rsidR="00C357A4">
        <w:rPr>
          <w:rFonts w:asciiTheme="majorHAnsi" w:hAnsiTheme="majorHAnsi"/>
        </w:rPr>
        <w:t xml:space="preserve"> final recommendations in a Final Report for submission to the GNSO Council.</w:t>
      </w:r>
    </w:p>
    <w:p w14:paraId="655BC86B" w14:textId="3C65319B" w:rsidR="00063289" w:rsidRPr="003819D1" w:rsidRDefault="00063289" w:rsidP="000B7FAB">
      <w:pPr>
        <w:rPr>
          <w:rFonts w:asciiTheme="majorHAnsi" w:hAnsiTheme="majorHAnsi"/>
        </w:rPr>
      </w:pPr>
    </w:p>
    <w:p w14:paraId="50B5F996" w14:textId="6A368EB3" w:rsidR="00EF7D5B" w:rsidRPr="003819D1" w:rsidRDefault="008C5C31" w:rsidP="008C5C31">
      <w:pPr>
        <w:pStyle w:val="Heading1"/>
        <w:rPr>
          <w:rFonts w:asciiTheme="majorHAnsi" w:hAnsiTheme="majorHAnsi"/>
        </w:rPr>
      </w:pPr>
      <w:bookmarkStart w:id="2" w:name="_Toc80093200"/>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2"/>
    </w:p>
    <w:p w14:paraId="3B493A64" w14:textId="77777777" w:rsidR="00DC7232" w:rsidRPr="00DC7232" w:rsidRDefault="00DC7232" w:rsidP="00DC7232">
      <w:pPr>
        <w:rPr>
          <w:rFonts w:asciiTheme="majorHAnsi" w:hAnsiTheme="majorHAnsi"/>
        </w:rPr>
      </w:pPr>
    </w:p>
    <w:p w14:paraId="450A8A82" w14:textId="5CABB4DD" w:rsidR="001F06C8" w:rsidRPr="00E10241" w:rsidRDefault="001F06C8" w:rsidP="001F06C8">
      <w:pPr>
        <w:rPr>
          <w:rFonts w:asciiTheme="majorHAnsi" w:hAnsiTheme="majorHAnsi"/>
        </w:rPr>
      </w:pPr>
      <w:r w:rsidRPr="00E10241">
        <w:rPr>
          <w:rFonts w:asciiTheme="majorHAnsi" w:hAnsiTheme="majorHAnsi"/>
        </w:rPr>
        <w:t xml:space="preserve">The IGO Work Track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Pr>
          <w:rFonts w:asciiTheme="majorHAnsi" w:hAnsiTheme="majorHAnsi"/>
        </w:rPr>
        <w:t>the IGO Work Track</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claims immunity from the jurisdiction of a court, the IGO Work Track agreed that it should 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mechanism. In this regard, Work Track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r w:rsidRPr="00E10241">
        <w:rPr>
          <w:rFonts w:asciiTheme="majorHAnsi" w:hAnsiTheme="majorHAnsi"/>
        </w:rPr>
        <w:t xml:space="preserve"> IGOs may not own hold registered trademarks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58ACD1D0"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As a result of its discussion of this initial problem, the IGO Work Track proposes Recommendation #1, which</w:t>
      </w:r>
      <w:r>
        <w:rPr>
          <w:rFonts w:asciiTheme="majorHAnsi" w:hAnsiTheme="majorHAnsi"/>
        </w:rPr>
        <w:t xml:space="preserve"> it believes will establish more clearly </w:t>
      </w:r>
      <w:r w:rsidRPr="0033418D">
        <w:rPr>
          <w:rFonts w:asciiTheme="majorHAnsi" w:hAnsiTheme="majorHAnsi"/>
        </w:rPr>
        <w:t xml:space="preserve">defined and determinative eligibility requirements </w:t>
      </w:r>
      <w:r>
        <w:rPr>
          <w:rFonts w:asciiTheme="majorHAnsi" w:hAnsiTheme="majorHAnsi"/>
        </w:rPr>
        <w:t xml:space="preserve">for IGOs </w:t>
      </w:r>
      <w:r w:rsidRPr="0033418D">
        <w:rPr>
          <w:rFonts w:asciiTheme="majorHAnsi" w:hAnsiTheme="majorHAnsi"/>
        </w:rPr>
        <w:t>to demonstrate unregistered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25F27DD5" w:rsidR="00DC7232" w:rsidRPr="00500314"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IGO Work Track proposes a single package of recommendations </w:t>
      </w:r>
      <w:r>
        <w:rPr>
          <w:rFonts w:asciiTheme="majorHAnsi" w:hAnsiTheme="majorHAnsi"/>
        </w:rPr>
        <w:t xml:space="preserve">(Recommendation 2) </w:t>
      </w:r>
      <w:r w:rsidRPr="001F06C8">
        <w:rPr>
          <w:rFonts w:asciiTheme="majorHAnsi" w:hAnsiTheme="majorHAnsi"/>
        </w:rPr>
        <w:t>that are intended to be “interdependent” (as contemplated by Section 13 of the GNSO’s PDP Manual</w:t>
      </w:r>
      <w:r w:rsidRPr="001F06C8">
        <w:rPr>
          <w:rFonts w:asciiTheme="majorHAnsi" w:hAnsiTheme="majorHAnsi"/>
          <w:vertAlign w:val="superscript"/>
        </w:rPr>
        <w:footnoteReference w:id="2"/>
      </w:r>
      <w:r w:rsidRPr="001F06C8">
        <w:rPr>
          <w:rFonts w:asciiTheme="majorHAnsi" w:hAnsiTheme="majorHAnsi"/>
        </w:rPr>
        <w:t xml:space="preserve">). </w:t>
      </w:r>
      <w:r>
        <w:rPr>
          <w:rFonts w:asciiTheme="majorHAnsi" w:hAnsiTheme="majorHAnsi"/>
        </w:rPr>
        <w:t>T</w:t>
      </w:r>
      <w:r w:rsidRPr="001F06C8">
        <w:rPr>
          <w:rFonts w:asciiTheme="majorHAnsi" w:hAnsiTheme="majorHAnsi"/>
        </w:rPr>
        <w:t>he IGO Work Track 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GNSO Council’s previous </w:t>
      </w:r>
      <w:r w:rsidR="00763B4F">
        <w:rPr>
          <w:rFonts w:asciiTheme="majorHAnsi" w:hAnsiTheme="majorHAnsi"/>
        </w:rPr>
        <w:t>approval</w:t>
      </w:r>
      <w:r w:rsidRPr="001F06C8">
        <w:rPr>
          <w:rFonts w:asciiTheme="majorHAnsi" w:hAnsiTheme="majorHAnsi"/>
        </w:rPr>
        <w:t xml:space="preserve"> of the first four recommendations from the IGO-INGO Access to Curative Rights PDP</w:t>
      </w:r>
      <w:r>
        <w:rPr>
          <w:rFonts w:asciiTheme="majorHAnsi" w:hAnsiTheme="majorHAnsi"/>
        </w:rPr>
        <w:t>.</w:t>
      </w:r>
    </w:p>
    <w:p w14:paraId="15B05BE3" w14:textId="6ADEBCED" w:rsidR="00E23B15" w:rsidRPr="00500314" w:rsidRDefault="00500314" w:rsidP="00E23B15">
      <w:pPr>
        <w:pStyle w:val="Heading2"/>
        <w:rPr>
          <w:rFonts w:asciiTheme="majorHAnsi" w:hAnsiTheme="majorHAnsi"/>
        </w:rPr>
      </w:pPr>
      <w:r>
        <w:rPr>
          <w:rFonts w:asciiTheme="majorHAnsi" w:hAnsiTheme="majorHAnsi"/>
        </w:rPr>
        <w:lastRenderedPageBreak/>
        <w:t xml:space="preserve">Preliminary </w:t>
      </w:r>
      <w:r w:rsidR="00DC7232">
        <w:rPr>
          <w:rFonts w:asciiTheme="majorHAnsi" w:hAnsiTheme="majorHAnsi"/>
        </w:rPr>
        <w:t>Recommendations</w:t>
      </w:r>
    </w:p>
    <w:p w14:paraId="29C1DF25" w14:textId="436058FF" w:rsidR="00E23B15" w:rsidRPr="003819D1" w:rsidRDefault="003D1B6F" w:rsidP="00E23B15">
      <w:pPr>
        <w:pStyle w:val="Heading3"/>
        <w:rPr>
          <w:rFonts w:asciiTheme="majorHAnsi" w:hAnsiTheme="majorHAnsi"/>
        </w:rPr>
      </w:pPr>
      <w:r>
        <w:rPr>
          <w:rFonts w:asciiTheme="majorHAnsi" w:hAnsiTheme="majorHAnsi"/>
        </w:rPr>
        <w:t xml:space="preserve">Proposed </w:t>
      </w:r>
      <w:r w:rsidR="00DC7232">
        <w:rPr>
          <w:rFonts w:asciiTheme="majorHAnsi" w:hAnsiTheme="majorHAnsi"/>
        </w:rPr>
        <w:t>Recommendation</w:t>
      </w:r>
      <w:r w:rsidR="00920BCA">
        <w:rPr>
          <w:rFonts w:asciiTheme="majorHAnsi" w:hAnsiTheme="majorHAnsi"/>
        </w:rPr>
        <w:t xml:space="preserve"> </w:t>
      </w:r>
      <w:r w:rsidR="00500314">
        <w:rPr>
          <w:rFonts w:asciiTheme="majorHAnsi" w:hAnsiTheme="majorHAnsi"/>
        </w:rPr>
        <w:t>regarding Eligibility Requirements for IGOs in Second-Level Dispute Resolution Processes</w:t>
      </w:r>
    </w:p>
    <w:p w14:paraId="0428273C" w14:textId="77777777" w:rsidR="00500314" w:rsidRDefault="00500314" w:rsidP="00500314">
      <w:pPr>
        <w:rPr>
          <w:rFonts w:asciiTheme="majorHAnsi" w:hAnsiTheme="majorHAnsi"/>
          <w:b/>
        </w:rPr>
      </w:pPr>
    </w:p>
    <w:p w14:paraId="3BA9A140" w14:textId="0A19358D" w:rsidR="00500314" w:rsidRPr="00B11C5C" w:rsidRDefault="00500314" w:rsidP="00500314">
      <w:pPr>
        <w:rPr>
          <w:rFonts w:asciiTheme="majorHAnsi" w:hAnsiTheme="majorHAnsi"/>
          <w:b/>
        </w:rPr>
      </w:pPr>
      <w:r w:rsidRPr="00B11C5C">
        <w:rPr>
          <w:rFonts w:asciiTheme="majorHAnsi" w:hAnsiTheme="majorHAnsi"/>
          <w:b/>
        </w:rPr>
        <w:t xml:space="preserve">Recommendation #1: </w:t>
      </w:r>
    </w:p>
    <w:p w14:paraId="759BEB3D" w14:textId="77777777" w:rsidR="00500314" w:rsidRPr="00EF0F82" w:rsidRDefault="00500314" w:rsidP="00500314">
      <w:pPr>
        <w:rPr>
          <w:rFonts w:asciiTheme="majorHAnsi" w:hAnsiTheme="majorHAnsi"/>
        </w:rPr>
      </w:pPr>
      <w:r w:rsidRPr="00EF0F82">
        <w:rPr>
          <w:rFonts w:asciiTheme="majorHAnsi" w:hAnsiTheme="majorHAnsi"/>
        </w:rPr>
        <w:t>The IGO Work Track recommends that the UDRP Rules and URS Rules be modified in the following two ways.</w:t>
      </w:r>
    </w:p>
    <w:p w14:paraId="799C7EF0" w14:textId="77777777" w:rsidR="00500314" w:rsidRPr="00EF0F82" w:rsidRDefault="00500314" w:rsidP="00500314">
      <w:pPr>
        <w:rPr>
          <w:rFonts w:asciiTheme="majorHAnsi" w:hAnsiTheme="majorHAnsi"/>
        </w:rPr>
      </w:pPr>
    </w:p>
    <w:p w14:paraId="03BEC017" w14:textId="77777777" w:rsidR="00500314" w:rsidRPr="00EF0F82" w:rsidRDefault="00500314" w:rsidP="00500314">
      <w:pPr>
        <w:rPr>
          <w:rFonts w:asciiTheme="majorHAnsi" w:hAnsiTheme="majorHAnsi"/>
        </w:rPr>
      </w:pPr>
      <w:r w:rsidRPr="00EF0F82">
        <w:rPr>
          <w:rFonts w:asciiTheme="majorHAnsi" w:hAnsiTheme="majorHAnsi"/>
        </w:rPr>
        <w:t>(</w:t>
      </w:r>
      <w:proofErr w:type="spellStart"/>
      <w:r w:rsidRPr="00EF0F82">
        <w:rPr>
          <w:rFonts w:asciiTheme="majorHAnsi" w:hAnsiTheme="majorHAnsi"/>
        </w:rPr>
        <w:t>i</w:t>
      </w:r>
      <w:proofErr w:type="spellEnd"/>
      <w:r w:rsidRPr="00EF0F82">
        <w:rPr>
          <w:rFonts w:asciiTheme="majorHAnsi" w:hAnsiTheme="majorHAnsi"/>
        </w:rPr>
        <w:t>) Add a description of “IGO Complainant” to section 1 (i.e., the definitions section of both sets of Rules): </w:t>
      </w:r>
    </w:p>
    <w:p w14:paraId="47DBF26B" w14:textId="77777777" w:rsidR="00500314" w:rsidRPr="00EF0F82" w:rsidRDefault="00500314" w:rsidP="00500314">
      <w:pPr>
        <w:ind w:left="720"/>
        <w:rPr>
          <w:rFonts w:asciiTheme="majorHAnsi" w:hAnsiTheme="majorHAnsi"/>
        </w:rPr>
      </w:pPr>
      <w:r w:rsidRPr="00EF0F82">
        <w:rPr>
          <w:rFonts w:asciiTheme="majorHAnsi" w:hAnsiTheme="majorHAnsi"/>
        </w:rPr>
        <w:t>‘IGO Complainant’ refers to:</w:t>
      </w:r>
    </w:p>
    <w:p w14:paraId="5BEFD853" w14:textId="77777777" w:rsidR="00500314" w:rsidRPr="00EF0F82" w:rsidRDefault="00500314" w:rsidP="00500314">
      <w:pPr>
        <w:ind w:left="720"/>
        <w:rPr>
          <w:rFonts w:asciiTheme="majorHAnsi" w:hAnsiTheme="majorHAnsi"/>
        </w:rPr>
      </w:pPr>
      <w:r w:rsidRPr="00EF0F82">
        <w:rPr>
          <w:rFonts w:asciiTheme="majorHAnsi" w:hAnsiTheme="majorHAnsi"/>
        </w:rPr>
        <w:t xml:space="preserve">(a) an international organization established by a </w:t>
      </w:r>
      <w:proofErr w:type="gramStart"/>
      <w:r w:rsidRPr="00EF0F82">
        <w:rPr>
          <w:rFonts w:asciiTheme="majorHAnsi" w:hAnsiTheme="majorHAnsi"/>
        </w:rPr>
        <w:t>treaty</w:t>
      </w:r>
      <w:proofErr w:type="gramEnd"/>
      <w:r w:rsidRPr="00EF0F82">
        <w:rPr>
          <w:rFonts w:asciiTheme="majorHAnsi" w:hAnsiTheme="majorHAnsi"/>
        </w:rPr>
        <w:t xml:space="preserve"> and which possesses international legal personality; or</w:t>
      </w:r>
    </w:p>
    <w:p w14:paraId="1B4ABFBF" w14:textId="4E679F4F" w:rsidR="00500314" w:rsidRPr="00EF0F82" w:rsidRDefault="00500314" w:rsidP="00500314">
      <w:pPr>
        <w:ind w:left="720"/>
        <w:rPr>
          <w:rFonts w:asciiTheme="majorHAnsi" w:hAnsiTheme="majorHAnsi"/>
        </w:rPr>
      </w:pPr>
      <w:r w:rsidRPr="00EF0F82">
        <w:rPr>
          <w:rFonts w:asciiTheme="majorHAnsi" w:hAnsiTheme="majorHAnsi"/>
        </w:rPr>
        <w:t>(b) an ‘Intergovernmental organization’ having received a standing invitation to participate as an observer in the sessions and the work of the United Nations General Assembly; [</w:t>
      </w:r>
      <w:r w:rsidR="003D1B6F" w:rsidRPr="00EF0F82">
        <w:rPr>
          <w:rFonts w:asciiTheme="majorHAnsi" w:hAnsiTheme="majorHAnsi"/>
        </w:rPr>
        <w:t xml:space="preserve">including the work of </w:t>
      </w:r>
      <w:r w:rsidRPr="00EF0F82">
        <w:rPr>
          <w:rFonts w:asciiTheme="majorHAnsi" w:hAnsiTheme="majorHAnsi"/>
        </w:rPr>
        <w:t xml:space="preserve">its </w:t>
      </w:r>
      <w:r w:rsidR="000558C4" w:rsidRPr="00EF0F82">
        <w:rPr>
          <w:rFonts w:asciiTheme="majorHAnsi" w:hAnsiTheme="majorHAnsi"/>
        </w:rPr>
        <w:t>s</w:t>
      </w:r>
      <w:r w:rsidRPr="00EF0F82">
        <w:rPr>
          <w:rFonts w:asciiTheme="majorHAnsi" w:hAnsiTheme="majorHAnsi"/>
        </w:rPr>
        <w:t xml:space="preserve">tanding </w:t>
      </w:r>
      <w:r w:rsidR="000558C4" w:rsidRPr="00EF0F82">
        <w:rPr>
          <w:rFonts w:asciiTheme="majorHAnsi" w:hAnsiTheme="majorHAnsi"/>
        </w:rPr>
        <w:t>c</w:t>
      </w:r>
      <w:r w:rsidRPr="00EF0F82">
        <w:rPr>
          <w:rFonts w:asciiTheme="majorHAnsi" w:hAnsiTheme="majorHAnsi"/>
        </w:rPr>
        <w:t xml:space="preserve">ommittees </w:t>
      </w:r>
      <w:r w:rsidR="003D1B6F" w:rsidRPr="00EF0F82">
        <w:rPr>
          <w:rFonts w:asciiTheme="majorHAnsi" w:hAnsiTheme="majorHAnsi"/>
        </w:rPr>
        <w:t xml:space="preserve">and </w:t>
      </w:r>
      <w:r w:rsidRPr="00EF0F82">
        <w:rPr>
          <w:rFonts w:asciiTheme="majorHAnsi" w:hAnsiTheme="majorHAnsi"/>
        </w:rPr>
        <w:t>any of its Specialized Agencies (as the case may be)] or</w:t>
      </w:r>
    </w:p>
    <w:p w14:paraId="1DAAC2D4" w14:textId="77777777" w:rsidR="00500314" w:rsidRPr="00EF0F82" w:rsidRDefault="00500314" w:rsidP="00500314">
      <w:pPr>
        <w:ind w:left="720"/>
        <w:rPr>
          <w:rFonts w:asciiTheme="majorHAnsi" w:hAnsiTheme="majorHAnsi"/>
        </w:rPr>
      </w:pPr>
      <w:r w:rsidRPr="00EF0F82">
        <w:rPr>
          <w:rFonts w:asciiTheme="majorHAnsi" w:hAnsiTheme="majorHAnsi"/>
        </w:rPr>
        <w:t xml:space="preserve">(c) a distinct entity, </w:t>
      </w:r>
      <w:proofErr w:type="gramStart"/>
      <w:r w:rsidRPr="00EF0F82">
        <w:rPr>
          <w:rFonts w:asciiTheme="majorHAnsi" w:hAnsiTheme="majorHAnsi"/>
        </w:rPr>
        <w:t>organ</w:t>
      </w:r>
      <w:proofErr w:type="gramEnd"/>
      <w:r w:rsidRPr="00EF0F82">
        <w:rPr>
          <w:rFonts w:asciiTheme="majorHAnsi" w:hAnsiTheme="majorHAnsi"/>
        </w:rPr>
        <w:t xml:space="preserve"> or program of the United Nations.</w:t>
      </w:r>
    </w:p>
    <w:p w14:paraId="3B00FA96" w14:textId="77777777" w:rsidR="00500314" w:rsidRPr="00EF0F82" w:rsidRDefault="00500314" w:rsidP="00500314">
      <w:pPr>
        <w:rPr>
          <w:rFonts w:asciiTheme="majorHAnsi" w:hAnsiTheme="majorHAnsi"/>
        </w:rPr>
      </w:pPr>
    </w:p>
    <w:p w14:paraId="2F9A0F7B" w14:textId="77777777" w:rsidR="00500314" w:rsidRPr="00EF0F82" w:rsidRDefault="00500314" w:rsidP="00500314">
      <w:pPr>
        <w:rPr>
          <w:rFonts w:asciiTheme="majorHAnsi" w:hAnsiTheme="majorHAnsi"/>
        </w:rPr>
      </w:pPr>
      <w:r w:rsidRPr="00EF0F82">
        <w:rPr>
          <w:rFonts w:asciiTheme="majorHAnsi" w:hAnsiTheme="majorHAnsi"/>
        </w:rPr>
        <w:t>AND</w:t>
      </w:r>
    </w:p>
    <w:p w14:paraId="4450A3FF" w14:textId="77777777" w:rsidR="00500314" w:rsidRPr="00EF0F82" w:rsidRDefault="00500314" w:rsidP="00500314">
      <w:pPr>
        <w:rPr>
          <w:rFonts w:asciiTheme="majorHAnsi" w:hAnsiTheme="majorHAnsi"/>
          <w:sz w:val="22"/>
        </w:rPr>
      </w:pPr>
      <w:r w:rsidRPr="00EF0F82">
        <w:rPr>
          <w:rFonts w:asciiTheme="majorHAnsi" w:hAnsiTheme="majorHAnsi"/>
        </w:rPr>
        <w:t>(ii) A</w:t>
      </w:r>
      <w:r w:rsidRPr="00EF0F82">
        <w:rPr>
          <w:rFonts w:asciiTheme="majorHAnsi" w:hAnsiTheme="majorHAnsi"/>
          <w:sz w:val="22"/>
        </w:rPr>
        <w:t>dd the following explanatory text to UDRP Rules Section 3(b)(viii), URS Section 1.2.6 and URS Rules Section 3(b)(v): </w:t>
      </w:r>
    </w:p>
    <w:p w14:paraId="64B03DF5" w14:textId="77777777" w:rsidR="00500314" w:rsidRPr="00EF0F82" w:rsidRDefault="00500314" w:rsidP="00500314">
      <w:pPr>
        <w:rPr>
          <w:rFonts w:asciiTheme="majorHAnsi" w:hAnsiTheme="majorHAnsi"/>
        </w:rPr>
      </w:pPr>
    </w:p>
    <w:p w14:paraId="3FC8A3FF" w14:textId="5C83E376" w:rsidR="0086734D" w:rsidRPr="00EF0F82" w:rsidRDefault="00500314" w:rsidP="00500314">
      <w:pPr>
        <w:ind w:left="720"/>
        <w:rPr>
          <w:rFonts w:asciiTheme="majorHAnsi" w:hAnsiTheme="majorHAnsi"/>
        </w:rPr>
      </w:pPr>
      <w:r w:rsidRPr="00EF0F82">
        <w:rPr>
          <w:rFonts w:asciiTheme="majorHAnsi" w:hAnsiTheme="majorHAnsi"/>
        </w:rPr>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0F484C33" w14:textId="13F44BD0" w:rsidR="00920BCA" w:rsidRPr="003819D1" w:rsidRDefault="003D1B6F" w:rsidP="00920BCA">
      <w:pPr>
        <w:pStyle w:val="Heading3"/>
        <w:rPr>
          <w:rFonts w:asciiTheme="majorHAnsi" w:hAnsiTheme="majorHAnsi"/>
        </w:rPr>
      </w:pPr>
      <w:r>
        <w:rPr>
          <w:rFonts w:asciiTheme="majorHAnsi" w:hAnsiTheme="majorHAnsi"/>
        </w:rPr>
        <w:t xml:space="preserve">Proposed </w:t>
      </w:r>
      <w:r w:rsidR="00920BCA">
        <w:rPr>
          <w:rFonts w:asciiTheme="majorHAnsi" w:hAnsiTheme="majorHAnsi"/>
        </w:rPr>
        <w:t xml:space="preserve">Recommendations to </w:t>
      </w:r>
      <w:r w:rsidR="00500314">
        <w:rPr>
          <w:rFonts w:asciiTheme="majorHAnsi" w:hAnsiTheme="majorHAnsi"/>
        </w:rPr>
        <w:t>Address IGO Jurisdictional Immunities While Preserving a Registrant’s Right to File Court Proceedings</w:t>
      </w:r>
    </w:p>
    <w:p w14:paraId="7434676A" w14:textId="77777777" w:rsidR="001F06C8" w:rsidRPr="001F06C8" w:rsidRDefault="001F06C8" w:rsidP="001F06C8">
      <w:pPr>
        <w:rPr>
          <w:rFonts w:asciiTheme="majorHAnsi" w:hAnsiTheme="majorHAnsi"/>
        </w:rPr>
      </w:pPr>
    </w:p>
    <w:p w14:paraId="197054AE"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#2A: </w:t>
      </w:r>
    </w:p>
    <w:p w14:paraId="056D64C4" w14:textId="77777777" w:rsidR="001F06C8" w:rsidRPr="00EF0F82" w:rsidRDefault="001F06C8" w:rsidP="001F06C8">
      <w:pPr>
        <w:rPr>
          <w:rFonts w:asciiTheme="majorHAnsi" w:hAnsiTheme="majorHAnsi"/>
        </w:rPr>
      </w:pPr>
      <w:r w:rsidRPr="00EF0F82">
        <w:rPr>
          <w:rFonts w:asciiTheme="majorHAnsi" w:hAnsiTheme="majorHAnsi"/>
        </w:rPr>
        <w:t>If the GNSO Council approves the recommendations set out below, then the IGO Work Track recommends that the original Recommendation #5 from the IGO-INGO Access to Curative Rights Protections PDP be rejected.</w:t>
      </w:r>
    </w:p>
    <w:p w14:paraId="50BF669A" w14:textId="77777777" w:rsidR="001F06C8" w:rsidRPr="001F06C8" w:rsidRDefault="001F06C8" w:rsidP="001F06C8">
      <w:pPr>
        <w:rPr>
          <w:rFonts w:asciiTheme="majorHAnsi" w:hAnsiTheme="majorHAnsi"/>
        </w:rPr>
      </w:pPr>
    </w:p>
    <w:p w14:paraId="59D01303"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#2B: </w:t>
      </w:r>
    </w:p>
    <w:p w14:paraId="1E76379A" w14:textId="77777777" w:rsidR="001F06C8" w:rsidRPr="00EF0F82" w:rsidRDefault="001F06C8" w:rsidP="001F06C8">
      <w:pPr>
        <w:rPr>
          <w:rFonts w:asciiTheme="majorHAnsi" w:hAnsiTheme="majorHAnsi"/>
        </w:rPr>
      </w:pPr>
      <w:r w:rsidRPr="00EF0F82">
        <w:rPr>
          <w:rFonts w:asciiTheme="majorHAnsi" w:hAnsiTheme="majorHAnsi"/>
        </w:rPr>
        <w:lastRenderedPageBreak/>
        <w:t>The IGO Work Track recommends that IGO Complainants (as defined under Recommendation #1, above) be exempt from the requirement to agree to submit to Mutual Jurisdiction when filing a complaint under the UDRP or URS.</w:t>
      </w:r>
    </w:p>
    <w:p w14:paraId="383FDCCC" w14:textId="77777777" w:rsidR="001F06C8" w:rsidRPr="001F06C8" w:rsidRDefault="001F06C8" w:rsidP="001F06C8">
      <w:pPr>
        <w:rPr>
          <w:rFonts w:asciiTheme="majorHAnsi" w:hAnsiTheme="majorHAnsi"/>
        </w:rPr>
      </w:pPr>
      <w:r w:rsidRPr="001F06C8">
        <w:rPr>
          <w:rFonts w:asciiTheme="majorHAnsi" w:hAnsiTheme="majorHAnsi"/>
        </w:rPr>
        <w:br/>
      </w:r>
      <w:r w:rsidRPr="001F06C8">
        <w:rPr>
          <w:rFonts w:asciiTheme="majorHAnsi" w:hAnsiTheme="majorHAnsi"/>
          <w:b/>
          <w:bCs/>
        </w:rPr>
        <w:t>Recommendation #2C</w:t>
      </w:r>
      <w:r w:rsidRPr="001F06C8">
        <w:rPr>
          <w:rFonts w:asciiTheme="majorHAnsi" w:hAnsiTheme="majorHAnsi"/>
        </w:rPr>
        <w:t xml:space="preserve">: </w:t>
      </w:r>
    </w:p>
    <w:p w14:paraId="05064D63" w14:textId="77777777" w:rsidR="001F06C8" w:rsidRPr="00EF0F82" w:rsidRDefault="001F06C8" w:rsidP="001F06C8">
      <w:pPr>
        <w:rPr>
          <w:rFonts w:asciiTheme="majorHAnsi" w:hAnsiTheme="majorHAnsi"/>
        </w:rPr>
      </w:pPr>
      <w:r w:rsidRPr="00EF0F82">
        <w:rPr>
          <w:rFonts w:asciiTheme="majorHAnsi" w:hAnsiTheme="majorHAnsi"/>
        </w:rPr>
        <w:t>The IGO Work Track recommends that the following be added to the UDRP and URS to accommodate a review of an initial determination under the UDRP [or URS].</w:t>
      </w:r>
    </w:p>
    <w:p w14:paraId="5DD3892F" w14:textId="77777777" w:rsidR="001F06C8" w:rsidRPr="001F06C8" w:rsidRDefault="001F06C8" w:rsidP="001F06C8">
      <w:pPr>
        <w:rPr>
          <w:rFonts w:asciiTheme="majorHAnsi" w:hAnsiTheme="majorHAnsi"/>
        </w:rPr>
      </w:pPr>
    </w:p>
    <w:p w14:paraId="1742AF16" w14:textId="77777777" w:rsidR="001F06C8" w:rsidRPr="00EF0F82" w:rsidRDefault="001F06C8" w:rsidP="001F06C8">
      <w:pPr>
        <w:rPr>
          <w:rFonts w:asciiTheme="majorHAnsi" w:hAnsiTheme="majorHAnsi"/>
          <w:i/>
          <w:iCs/>
        </w:rPr>
      </w:pPr>
      <w:r w:rsidRPr="00EF0F82">
        <w:rPr>
          <w:rFonts w:asciiTheme="majorHAnsi" w:hAnsiTheme="majorHAnsi"/>
          <w:i/>
          <w:iCs/>
        </w:rPr>
        <w:t xml:space="preserve">** </w:t>
      </w:r>
      <w:r w:rsidRPr="00EF0F82">
        <w:rPr>
          <w:rFonts w:asciiTheme="majorHAnsi" w:hAnsiTheme="majorHAnsi"/>
          <w:i/>
          <w:iCs/>
          <w:u w:val="single"/>
        </w:rPr>
        <w:t>A Note from the IGO Work Track on Recommendation #2C</w:t>
      </w:r>
      <w:r w:rsidRPr="00EF0F82">
        <w:rPr>
          <w:rFonts w:asciiTheme="majorHAnsi" w:hAnsiTheme="majorHAnsi"/>
          <w:i/>
          <w:iCs/>
        </w:rPr>
        <w:t>:</w:t>
      </w:r>
    </w:p>
    <w:p w14:paraId="74439EC1" w14:textId="11F41D0F" w:rsidR="001F06C8" w:rsidRPr="00EF0F82" w:rsidRDefault="00EF0F82" w:rsidP="001F06C8">
      <w:pPr>
        <w:rPr>
          <w:rFonts w:asciiTheme="majorHAnsi" w:hAnsiTheme="majorHAnsi"/>
          <w:i/>
          <w:iCs/>
        </w:rPr>
      </w:pPr>
      <w:r>
        <w:rPr>
          <w:rFonts w:asciiTheme="majorHAnsi" w:hAnsiTheme="majorHAnsi"/>
          <w:i/>
          <w:iCs/>
        </w:rPr>
        <w:t>T</w:t>
      </w:r>
      <w:r w:rsidR="001F06C8" w:rsidRPr="00EF0F82">
        <w:rPr>
          <w:rFonts w:asciiTheme="majorHAnsi" w:hAnsiTheme="majorHAnsi"/>
          <w:i/>
          <w:iCs/>
        </w:rPr>
        <w:t xml:space="preserve">he Work Track continues to deliberate on the text and final solution </w:t>
      </w:r>
      <w:r w:rsidR="00B5297F" w:rsidRPr="00EF0F82">
        <w:rPr>
          <w:rFonts w:asciiTheme="majorHAnsi" w:hAnsiTheme="majorHAnsi"/>
          <w:i/>
          <w:iCs/>
        </w:rPr>
        <w:t>for</w:t>
      </w:r>
      <w:r w:rsidR="001F06C8" w:rsidRPr="00EF0F82">
        <w:rPr>
          <w:rFonts w:asciiTheme="majorHAnsi" w:hAnsiTheme="majorHAnsi"/>
          <w:i/>
          <w:iCs/>
        </w:rPr>
        <w:t xml:space="preserve"> Recommendation #2C. While the Work Track is in general agreement that </w:t>
      </w:r>
      <w:r w:rsidR="00763B4F" w:rsidRPr="00EF0F82">
        <w:rPr>
          <w:rFonts w:asciiTheme="majorHAnsi" w:hAnsiTheme="majorHAnsi"/>
          <w:i/>
          <w:iCs/>
        </w:rPr>
        <w:t xml:space="preserve">voluntary </w:t>
      </w:r>
      <w:r w:rsidR="001F06C8" w:rsidRPr="00EF0F82">
        <w:rPr>
          <w:rFonts w:asciiTheme="majorHAnsi" w:hAnsiTheme="majorHAnsi"/>
          <w:i/>
          <w:iCs/>
        </w:rPr>
        <w:t xml:space="preserve">binding arbitration </w:t>
      </w:r>
      <w:r w:rsidR="00763B4F" w:rsidRPr="00EF0F82">
        <w:rPr>
          <w:rFonts w:asciiTheme="majorHAnsi" w:hAnsiTheme="majorHAnsi"/>
          <w:i/>
          <w:iCs/>
        </w:rPr>
        <w:t>is</w:t>
      </w:r>
      <w:r w:rsidR="001F06C8" w:rsidRPr="00EF0F82">
        <w:rPr>
          <w:rFonts w:asciiTheme="majorHAnsi" w:hAnsiTheme="majorHAnsi"/>
          <w:i/>
          <w:iCs/>
        </w:rPr>
        <w:t xml:space="preserve"> an appropriate solution, it has not yet reached agreement on </w:t>
      </w:r>
      <w:r w:rsidR="00B5297F" w:rsidRPr="00EF0F82">
        <w:rPr>
          <w:rFonts w:asciiTheme="majorHAnsi" w:hAnsiTheme="majorHAnsi"/>
          <w:i/>
          <w:iCs/>
        </w:rPr>
        <w:t>two specific</w:t>
      </w:r>
      <w:r w:rsidR="001F06C8" w:rsidRPr="00EF0F82">
        <w:rPr>
          <w:rFonts w:asciiTheme="majorHAnsi" w:hAnsiTheme="majorHAnsi"/>
          <w:i/>
          <w:iCs/>
        </w:rPr>
        <w:t xml:space="preserve"> aspects </w:t>
      </w:r>
      <w:r w:rsidR="00763B4F" w:rsidRPr="00EF0F82">
        <w:rPr>
          <w:rFonts w:asciiTheme="majorHAnsi" w:hAnsiTheme="majorHAnsi"/>
          <w:i/>
          <w:iCs/>
        </w:rPr>
        <w:t>relevant to</w:t>
      </w:r>
      <w:r w:rsidR="001F06C8" w:rsidRPr="00EF0F82">
        <w:rPr>
          <w:rFonts w:asciiTheme="majorHAnsi" w:hAnsiTheme="majorHAnsi"/>
          <w:i/>
          <w:iCs/>
        </w:rPr>
        <w:t xml:space="preserve"> such an option (</w:t>
      </w:r>
      <w:r w:rsidR="00763B4F" w:rsidRPr="00EF0F82">
        <w:rPr>
          <w:rFonts w:asciiTheme="majorHAnsi" w:hAnsiTheme="majorHAnsi"/>
          <w:i/>
          <w:iCs/>
        </w:rPr>
        <w:t>viz.</w:t>
      </w:r>
      <w:r w:rsidR="001F06C8" w:rsidRPr="00EF0F82">
        <w:rPr>
          <w:rFonts w:asciiTheme="majorHAnsi" w:hAnsiTheme="majorHAnsi"/>
          <w:i/>
          <w:iCs/>
        </w:rPr>
        <w:t xml:space="preserve">, </w:t>
      </w:r>
      <w:r w:rsidR="00B5297F" w:rsidRPr="00EF0F82">
        <w:rPr>
          <w:rFonts w:asciiTheme="majorHAnsi" w:hAnsiTheme="majorHAnsi"/>
          <w:i/>
          <w:iCs/>
        </w:rPr>
        <w:t xml:space="preserve">whether </w:t>
      </w:r>
      <w:r w:rsidR="00763B4F" w:rsidRPr="00EF0F82">
        <w:rPr>
          <w:rFonts w:asciiTheme="majorHAnsi" w:hAnsiTheme="majorHAnsi"/>
          <w:i/>
          <w:iCs/>
        </w:rPr>
        <w:t>the option to</w:t>
      </w:r>
      <w:r w:rsidR="00B5297F" w:rsidRPr="00EF0F82">
        <w:rPr>
          <w:rFonts w:asciiTheme="majorHAnsi" w:hAnsiTheme="majorHAnsi"/>
          <w:i/>
          <w:iCs/>
        </w:rPr>
        <w:t xml:space="preserve"> arbitrat</w:t>
      </w:r>
      <w:r w:rsidR="00763B4F" w:rsidRPr="00EF0F82">
        <w:rPr>
          <w:rFonts w:asciiTheme="majorHAnsi" w:hAnsiTheme="majorHAnsi"/>
          <w:i/>
          <w:iCs/>
        </w:rPr>
        <w:t>e</w:t>
      </w:r>
      <w:r w:rsidR="00B5297F" w:rsidRPr="00EF0F82">
        <w:rPr>
          <w:rFonts w:asciiTheme="majorHAnsi" w:hAnsiTheme="majorHAnsi"/>
          <w:i/>
          <w:iCs/>
        </w:rPr>
        <w:t xml:space="preserve"> will </w:t>
      </w:r>
      <w:r w:rsidR="00763B4F" w:rsidRPr="00EF0F82">
        <w:rPr>
          <w:rFonts w:asciiTheme="majorHAnsi" w:hAnsiTheme="majorHAnsi"/>
          <w:i/>
          <w:iCs/>
        </w:rPr>
        <w:t>remain</w:t>
      </w:r>
      <w:r w:rsidR="00B5297F" w:rsidRPr="00EF0F82">
        <w:rPr>
          <w:rFonts w:asciiTheme="majorHAnsi" w:hAnsiTheme="majorHAnsi"/>
          <w:i/>
          <w:iCs/>
        </w:rPr>
        <w:t xml:space="preserve"> available</w:t>
      </w:r>
      <w:r w:rsidR="001F06C8" w:rsidRPr="00EF0F82">
        <w:rPr>
          <w:rFonts w:asciiTheme="majorHAnsi" w:hAnsiTheme="majorHAnsi"/>
          <w:i/>
          <w:iCs/>
        </w:rPr>
        <w:t xml:space="preserve"> </w:t>
      </w:r>
      <w:r w:rsidR="00763B4F" w:rsidRPr="00EF0F82">
        <w:rPr>
          <w:rFonts w:asciiTheme="majorHAnsi" w:hAnsiTheme="majorHAnsi"/>
          <w:i/>
          <w:iCs/>
        </w:rPr>
        <w:t>to a registrant following the outcome of</w:t>
      </w:r>
      <w:r w:rsidR="001F06C8" w:rsidRPr="00EF0F82">
        <w:rPr>
          <w:rFonts w:asciiTheme="majorHAnsi" w:hAnsiTheme="majorHAnsi"/>
          <w:i/>
          <w:iCs/>
        </w:rPr>
        <w:t xml:space="preserve"> a court proceeding</w:t>
      </w:r>
      <w:r w:rsidR="00B5297F" w:rsidRPr="00EF0F82">
        <w:rPr>
          <w:rFonts w:asciiTheme="majorHAnsi" w:hAnsiTheme="majorHAnsi"/>
          <w:i/>
          <w:iCs/>
        </w:rPr>
        <w:t xml:space="preserve">, and what should be the </w:t>
      </w:r>
      <w:r w:rsidR="001F06C8" w:rsidRPr="00EF0F82">
        <w:rPr>
          <w:rFonts w:asciiTheme="majorHAnsi" w:hAnsiTheme="majorHAnsi"/>
          <w:i/>
          <w:iCs/>
        </w:rPr>
        <w:t>applicable choice of law for an</w:t>
      </w:r>
      <w:r w:rsidR="00763B4F" w:rsidRPr="00EF0F82">
        <w:rPr>
          <w:rFonts w:asciiTheme="majorHAnsi" w:hAnsiTheme="majorHAnsi"/>
          <w:i/>
          <w:iCs/>
        </w:rPr>
        <w:t>y</w:t>
      </w:r>
      <w:r w:rsidR="001F06C8" w:rsidRPr="00EF0F82">
        <w:rPr>
          <w:rFonts w:asciiTheme="majorHAnsi" w:hAnsiTheme="majorHAnsi"/>
          <w:i/>
          <w:iCs/>
        </w:rPr>
        <w:t xml:space="preserve"> arbitration</w:t>
      </w:r>
      <w:r w:rsidR="00763B4F" w:rsidRPr="00EF0F82">
        <w:rPr>
          <w:rFonts w:asciiTheme="majorHAnsi" w:hAnsiTheme="majorHAnsi"/>
          <w:i/>
          <w:iCs/>
        </w:rPr>
        <w:t xml:space="preserve"> that the parties may agree to</w:t>
      </w:r>
      <w:r w:rsidR="001F06C8" w:rsidRPr="00EF0F82">
        <w:rPr>
          <w:rFonts w:asciiTheme="majorHAnsi" w:hAnsiTheme="majorHAnsi"/>
          <w:i/>
          <w:iCs/>
        </w:rPr>
        <w:t>). As such, the text that follows reflects proposals submitted by various Work Track members on these specific issues, as indicated by the square brackets around the relevant proposals and their text</w:t>
      </w:r>
      <w:r w:rsidR="00B5297F" w:rsidRPr="00EF0F82">
        <w:rPr>
          <w:rFonts w:asciiTheme="majorHAnsi" w:hAnsiTheme="majorHAnsi"/>
          <w:i/>
          <w:iCs/>
        </w:rPr>
        <w:t xml:space="preserve"> (see #2C(ii) and #2C(v), below</w:t>
      </w:r>
      <w:r w:rsidR="001F06C8" w:rsidRPr="00EF0F82">
        <w:rPr>
          <w:rFonts w:asciiTheme="majorHAnsi" w:hAnsiTheme="majorHAnsi"/>
          <w:i/>
          <w:iCs/>
        </w:rPr>
        <w:t>.</w:t>
      </w:r>
      <w:r w:rsidR="00B5297F" w:rsidRPr="00EF0F82">
        <w:rPr>
          <w:rFonts w:asciiTheme="majorHAnsi" w:hAnsiTheme="majorHAnsi"/>
          <w:i/>
          <w:iCs/>
        </w:rPr>
        <w:t>)</w:t>
      </w:r>
    </w:p>
    <w:p w14:paraId="46A8FB50" w14:textId="77777777" w:rsidR="001F06C8" w:rsidRPr="001F06C8" w:rsidRDefault="001F06C8" w:rsidP="001F06C8">
      <w:pPr>
        <w:rPr>
          <w:rFonts w:asciiTheme="majorHAnsi" w:hAnsiTheme="majorHAnsi"/>
        </w:rPr>
      </w:pPr>
    </w:p>
    <w:p w14:paraId="5BBDF8F0" w14:textId="77777777" w:rsidR="001F06C8" w:rsidRPr="00EF0F82" w:rsidRDefault="001F06C8" w:rsidP="001F06C8">
      <w:pPr>
        <w:rPr>
          <w:rFonts w:asciiTheme="majorHAnsi" w:hAnsiTheme="majorHAnsi"/>
          <w:b/>
          <w:bCs/>
        </w:rPr>
      </w:pPr>
      <w:r w:rsidRPr="00EF0F82">
        <w:rPr>
          <w:rFonts w:asciiTheme="majorHAnsi" w:hAnsiTheme="majorHAnsi"/>
          <w:b/>
          <w:bCs/>
        </w:rPr>
        <w:t>Binding Arbitration Following the Initial UDRP [or URS] Panel Determination</w:t>
      </w:r>
    </w:p>
    <w:p w14:paraId="2203F6F7" w14:textId="77777777" w:rsidR="001F06C8" w:rsidRPr="001F06C8" w:rsidRDefault="001F06C8" w:rsidP="001F06C8">
      <w:pPr>
        <w:rPr>
          <w:rFonts w:asciiTheme="majorHAnsi" w:hAnsiTheme="majorHAnsi"/>
        </w:rPr>
      </w:pPr>
    </w:p>
    <w:p w14:paraId="0D262B2A"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 xml:space="preserve">When submitting its complaint, an IGO Complainant shall also indicate whether it agrees that final determination of the outcome of the UDRP [or URS] proceeding shall be through binding arbitration, where the registrant also agrees to arbitration. </w:t>
      </w:r>
    </w:p>
    <w:p w14:paraId="0C529E09" w14:textId="77777777" w:rsidR="001F06C8" w:rsidRPr="00EF0F82" w:rsidRDefault="001F06C8" w:rsidP="001F06C8">
      <w:pPr>
        <w:rPr>
          <w:rFonts w:asciiTheme="majorHAnsi" w:hAnsiTheme="majorHAnsi"/>
        </w:rPr>
      </w:pPr>
    </w:p>
    <w:p w14:paraId="58858673"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 xml:space="preserve">[In communicating a UDRP [or URS] panel decision to the parties where the complainant is an IGO Complainant, the UDRP [or URS] provider shall also request that the registrant indicate whether they agree that any review of the panel determination will be conducted via binding arbitration. The request shall include information regarding the applicable arbitral rules, which shall be determined by the Implementation Review Team. Existing arbitral rules like ICDR, WIPO, UNCITRAL should be considered. Where the registrant declines to proceed to arbitration, the registrar shall implement the initial UDRP or [URS] decision.] </w:t>
      </w:r>
    </w:p>
    <w:p w14:paraId="1583D90C" w14:textId="77777777" w:rsidR="001F06C8" w:rsidRPr="00EF0F82" w:rsidRDefault="001F06C8" w:rsidP="00500314">
      <w:pPr>
        <w:ind w:left="720"/>
        <w:rPr>
          <w:rFonts w:asciiTheme="majorHAnsi" w:hAnsiTheme="majorHAnsi"/>
        </w:rPr>
      </w:pPr>
      <w:r w:rsidRPr="00EF0F82">
        <w:rPr>
          <w:rFonts w:asciiTheme="majorHAnsi" w:hAnsiTheme="majorHAnsi"/>
        </w:rPr>
        <w:t xml:space="preserve">OR </w:t>
      </w:r>
    </w:p>
    <w:p w14:paraId="7E2A7114" w14:textId="77777777" w:rsidR="001F06C8" w:rsidRPr="00EF0F82" w:rsidRDefault="001F06C8" w:rsidP="00500314">
      <w:pPr>
        <w:ind w:left="720"/>
        <w:rPr>
          <w:rFonts w:asciiTheme="majorHAnsi" w:hAnsiTheme="majorHAnsi"/>
        </w:rPr>
      </w:pPr>
      <w:r w:rsidRPr="00EF0F82">
        <w:rPr>
          <w:rFonts w:asciiTheme="majorHAnsi" w:hAnsiTheme="majorHAnsi"/>
        </w:rPr>
        <w:t xml:space="preserve">[As provided in Paragraph 5(k)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initiated proceedings in a court of competent jurisdiction. </w:t>
      </w:r>
      <w:proofErr w:type="gramStart"/>
      <w:r w:rsidRPr="00EF0F82">
        <w:rPr>
          <w:rFonts w:asciiTheme="majorHAnsi" w:hAnsiTheme="majorHAnsi"/>
        </w:rPr>
        <w:t>In the event that</w:t>
      </w:r>
      <w:proofErr w:type="gramEnd"/>
      <w:r w:rsidRPr="00EF0F82">
        <w:rPr>
          <w:rFonts w:asciiTheme="majorHAnsi" w:hAnsiTheme="majorHAnsi"/>
        </w:rPr>
        <w:t xml:space="preserve"> the relevant court in such judicial proceeding declines to assume jurisdiction on the basis that the IGO Complainant is immune from the court’s jurisdiction (with the result that the </w:t>
      </w:r>
      <w:r w:rsidRPr="00EF0F82">
        <w:rPr>
          <w:rFonts w:asciiTheme="majorHAnsi" w:hAnsiTheme="majorHAnsi"/>
        </w:rPr>
        <w:lastRenderedPageBreak/>
        <w:t>court is unable to consider the case on its merits), the registrant shall have the option to agree to submit the dispute to binding arbitration within [add time frame]. The registrar shall continue to stay implementation until it receives confirmation from at least one of the parties that they will not be proceeding to arbitration or official documentation concerning the outcome of an arbitration or other satisfactory evidence of a settlement or other final resolution of the dispute.]</w:t>
      </w:r>
    </w:p>
    <w:p w14:paraId="3D4116A9" w14:textId="77777777" w:rsidR="001F06C8" w:rsidRPr="00EF0F82" w:rsidRDefault="001F06C8" w:rsidP="001F06C8">
      <w:pPr>
        <w:rPr>
          <w:rFonts w:asciiTheme="majorHAnsi" w:hAnsiTheme="majorHAnsi"/>
        </w:rPr>
      </w:pPr>
    </w:p>
    <w:p w14:paraId="050F17C2"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If the UDRP [or URS] provider receives notice that an arbitration proceeding has been initiated, it shall promptly inform both parties and the relevant registrar. The relevant registrar shall stay the implementation of the initial UDRP [or URS] panel decision until it has received official documentation concerning the outcome of the arbitration or other satisfactory evidence of a settlement or other final resolution of the dispute.</w:t>
      </w:r>
    </w:p>
    <w:p w14:paraId="2F0F1018" w14:textId="77777777" w:rsidR="001F06C8" w:rsidRPr="00EF0F82" w:rsidRDefault="001F06C8" w:rsidP="001F06C8">
      <w:pPr>
        <w:rPr>
          <w:rFonts w:asciiTheme="majorHAnsi" w:hAnsiTheme="majorHAnsi"/>
        </w:rPr>
      </w:pPr>
    </w:p>
    <w:p w14:paraId="6FE93F6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The Registrar shall continue to maintain the Lock on the disputed domain name during the pendency of any [judicial proceedings and] arbitration, as applicable.</w:t>
      </w:r>
    </w:p>
    <w:p w14:paraId="62327F0D" w14:textId="77777777" w:rsidR="001F06C8" w:rsidRPr="00EF0F82" w:rsidRDefault="001F06C8" w:rsidP="001F06C8">
      <w:pPr>
        <w:rPr>
          <w:rFonts w:asciiTheme="majorHAnsi" w:hAnsiTheme="majorHAnsi"/>
        </w:rPr>
      </w:pPr>
    </w:p>
    <w:p w14:paraId="464102BE"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 xml:space="preserve">[The arbitration will be conducted in accordance with the law as mutually agreed to by the parties; if the parties are unable to agree, then the IGO Complainant may nominate the applicable law to be either that of the relevant registrar’s principal office or where the respondent is resident.] </w:t>
      </w:r>
    </w:p>
    <w:p w14:paraId="471317E0" w14:textId="77777777" w:rsidR="001F06C8" w:rsidRPr="00EF0F82" w:rsidRDefault="001F06C8" w:rsidP="00500314">
      <w:pPr>
        <w:ind w:left="720"/>
        <w:rPr>
          <w:rFonts w:asciiTheme="majorHAnsi" w:hAnsiTheme="majorHAnsi"/>
        </w:rPr>
      </w:pPr>
      <w:r w:rsidRPr="00EF0F82">
        <w:rPr>
          <w:rFonts w:asciiTheme="majorHAnsi" w:hAnsiTheme="majorHAnsi"/>
        </w:rPr>
        <w:t>OR</w:t>
      </w:r>
    </w:p>
    <w:p w14:paraId="4287D8F2" w14:textId="77777777" w:rsidR="001F06C8" w:rsidRPr="00EF0F82" w:rsidRDefault="001F06C8" w:rsidP="00500314">
      <w:pPr>
        <w:ind w:left="720"/>
        <w:rPr>
          <w:rFonts w:asciiTheme="majorHAnsi" w:hAnsiTheme="majorHAnsi"/>
        </w:rPr>
      </w:pPr>
      <w:r w:rsidRPr="00EF0F82">
        <w:rPr>
          <w:rFonts w:asciiTheme="majorHAnsi" w:hAnsiTheme="majorHAnsi"/>
        </w:rPr>
        <w:t>[The arbitration will be conducted in accordance with the law of the relevant registrar’s principal office or where the respondent is resident, as agreed by the parties. If either party raises concerns to the arbitral tribunal that the law of the registrar’s principal office or the respondent’s place of residence does not have a satisfactory cause of action related to the parties’ dispute, the arbitral tribunal may request submissions from the parties as to the suggested applicable law or principles of law (which may include UDRP case precedent) to be applied.]</w:t>
      </w:r>
    </w:p>
    <w:p w14:paraId="709A9D51" w14:textId="77777777" w:rsidR="001F06C8" w:rsidRPr="00EF0F82" w:rsidRDefault="001F06C8" w:rsidP="001F06C8">
      <w:pPr>
        <w:rPr>
          <w:rFonts w:asciiTheme="majorHAnsi" w:hAnsiTheme="majorHAnsi"/>
        </w:rPr>
      </w:pPr>
    </w:p>
    <w:p w14:paraId="769231B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In addition, the following non- exhaustive general principles (which can be further developed by the expected Implementation Review Team) shall govern all arbitral proceedings conducted through this process:</w:t>
      </w:r>
    </w:p>
    <w:p w14:paraId="618A6570"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 xml:space="preserve">The arbitration shall be conducted as a de novo </w:t>
      </w:r>
      <w:proofErr w:type="gramStart"/>
      <w:r w:rsidRPr="00EF0F82">
        <w:rPr>
          <w:rFonts w:asciiTheme="majorHAnsi" w:hAnsiTheme="majorHAnsi"/>
        </w:rPr>
        <w:t>review;</w:t>
      </w:r>
      <w:proofErr w:type="gramEnd"/>
      <w:r w:rsidRPr="00EF0F82">
        <w:rPr>
          <w:rFonts w:asciiTheme="majorHAnsi" w:hAnsiTheme="majorHAnsi"/>
        </w:rPr>
        <w:t xml:space="preserve"> i.e., the parties are permitted to restate their case completely anew, including making new factual and legal arguments and submit new evidence;</w:t>
      </w:r>
    </w:p>
    <w:p w14:paraId="156274CC"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The arbitral tribunal should consist of one or [three] neutral and independent decision makers, who cannot be the panelist(s) who rendered the initial UDRP [or URS] decision; and</w:t>
      </w:r>
    </w:p>
    <w:p w14:paraId="7D277A4A"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 xml:space="preserve">Both parties should be able to present their case in a complete manner. The arbitral tribunal should, for example, have the authority within reasonable discretion to allow for, or request, additional written </w:t>
      </w:r>
      <w:r w:rsidRPr="00EF0F82">
        <w:rPr>
          <w:rFonts w:asciiTheme="majorHAnsi" w:hAnsiTheme="majorHAnsi"/>
        </w:rPr>
        <w:lastRenderedPageBreak/>
        <w:t>submissions, and it should be possible to hold in person hearings (which may be conducted online).</w:t>
      </w:r>
    </w:p>
    <w:p w14:paraId="6E8B7452" w14:textId="77777777" w:rsidR="001F06C8" w:rsidRPr="00EF0F82" w:rsidRDefault="001F06C8" w:rsidP="001F06C8">
      <w:pPr>
        <w:rPr>
          <w:rFonts w:asciiTheme="majorHAnsi" w:hAnsiTheme="majorHAnsi"/>
        </w:rPr>
      </w:pPr>
    </w:p>
    <w:p w14:paraId="76FA6F56"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Either party has the right to file proceedings in a court of competent jurisdiction, up to the point in time when an arbitration proceeding is commenced (if any).</w:t>
      </w:r>
    </w:p>
    <w:p w14:paraId="65AF5CE6" w14:textId="1E0D1CFE" w:rsidR="00C340A7" w:rsidRPr="003819D1" w:rsidRDefault="00C340A7" w:rsidP="00C340A7">
      <w:pPr>
        <w:pStyle w:val="Heading2"/>
        <w:rPr>
          <w:rFonts w:asciiTheme="majorHAnsi" w:hAnsiTheme="majorHAnsi"/>
        </w:rPr>
      </w:pPr>
      <w:r>
        <w:rPr>
          <w:rFonts w:asciiTheme="majorHAnsi" w:hAnsiTheme="majorHAnsi"/>
        </w:rPr>
        <w:t>Policy Change Impact Analysis</w:t>
      </w:r>
    </w:p>
    <w:p w14:paraId="379E37EA" w14:textId="497458C1" w:rsidR="00C95DE6" w:rsidRDefault="00C95DE6" w:rsidP="00C340A7">
      <w:pPr>
        <w:rPr>
          <w:rFonts w:asciiTheme="majorHAnsi" w:hAnsiTheme="majorHAnsi"/>
        </w:rPr>
      </w:pPr>
    </w:p>
    <w:p w14:paraId="19A673C8" w14:textId="77777777" w:rsidR="003D7CDC" w:rsidRDefault="00C95DE6" w:rsidP="00C340A7">
      <w:pPr>
        <w:rPr>
          <w:rFonts w:asciiTheme="majorHAnsi" w:hAnsiTheme="majorHAnsi"/>
        </w:rPr>
      </w:pPr>
      <w:r>
        <w:rPr>
          <w:rFonts w:asciiTheme="majorHAnsi" w:hAnsiTheme="majorHAnsi"/>
        </w:rPr>
        <w:t xml:space="preserve">The IGO Work Track believes that its recommendations, if approved and adopted, will facilitate access to and use of the UDRP and URS by IGOs while preserving existing registrant rights. In addition, the IGO Work Track has developed specific rationale for its recommendations that it believes demonstrates how its proposed solutions are appropriate and proportionate to the problem it was tasked to solve, without modifying the essential structure or scope of the UDRP or URS, both of which have been or will be reviewed by the GNSO’s RPM PDP in two phases of work. </w:t>
      </w:r>
    </w:p>
    <w:p w14:paraId="228C52B5" w14:textId="77777777" w:rsidR="003D7CDC" w:rsidRDefault="003D7CDC" w:rsidP="00C340A7">
      <w:pPr>
        <w:rPr>
          <w:rFonts w:asciiTheme="majorHAnsi" w:hAnsiTheme="majorHAnsi"/>
        </w:rPr>
      </w:pPr>
    </w:p>
    <w:p w14:paraId="0F7DCB4B" w14:textId="21B47229"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he IGO Work Track proposes the following metrics as useful starting points for measuring the effectiveness of its recommendations over time</w:t>
      </w:r>
      <w:r w:rsidR="003D1B6F">
        <w:rPr>
          <w:rFonts w:asciiTheme="majorHAnsi" w:hAnsiTheme="majorHAnsi"/>
        </w:rPr>
        <w:t>:</w:t>
      </w:r>
    </w:p>
    <w:p w14:paraId="109EE914" w14:textId="1117EAAF" w:rsidR="00C95DE6" w:rsidRPr="00763B4F" w:rsidRDefault="00200C17" w:rsidP="00C340A7">
      <w:pPr>
        <w:pStyle w:val="Bullets"/>
        <w:rPr>
          <w:sz w:val="24"/>
          <w:szCs w:val="24"/>
        </w:rPr>
      </w:pPr>
      <w:r w:rsidRPr="00763B4F">
        <w:rPr>
          <w:sz w:val="24"/>
          <w:szCs w:val="24"/>
        </w:rPr>
        <w:t>Number of UDRP [and URS] complaints filed by IGOs, showing w</w:t>
      </w:r>
      <w:r w:rsidR="00C95DE6" w:rsidRPr="00763B4F">
        <w:rPr>
          <w:sz w:val="24"/>
          <w:szCs w:val="24"/>
        </w:rPr>
        <w:t xml:space="preserve">hether IGOs that may previously have had difficulty using the UDRP or URS due to the requirement to have trademarks are able to fulfill the requirement to demonstrate requisite unregistered rights through the Work Track’s proposed eligibility requirements </w:t>
      </w:r>
    </w:p>
    <w:p w14:paraId="63167A14" w14:textId="3EC9B097" w:rsidR="00200C17" w:rsidRPr="00763B4F" w:rsidRDefault="00200C17" w:rsidP="00C340A7">
      <w:pPr>
        <w:pStyle w:val="Bullets"/>
        <w:rPr>
          <w:sz w:val="24"/>
          <w:szCs w:val="24"/>
        </w:rPr>
      </w:pPr>
      <w:r w:rsidRPr="00763B4F">
        <w:rPr>
          <w:sz w:val="24"/>
          <w:szCs w:val="24"/>
        </w:rPr>
        <w:t>Number of UDRP [and URS] panel decisions in favor of IGO Complainants: (</w:t>
      </w:r>
      <w:proofErr w:type="spellStart"/>
      <w:r w:rsidRPr="00763B4F">
        <w:rPr>
          <w:sz w:val="24"/>
          <w:szCs w:val="24"/>
        </w:rPr>
        <w:t>i</w:t>
      </w:r>
      <w:proofErr w:type="spellEnd"/>
      <w:r w:rsidRPr="00763B4F">
        <w:rPr>
          <w:sz w:val="24"/>
          <w:szCs w:val="24"/>
        </w:rPr>
        <w:t xml:space="preserve">) implemented by a registrar after ten (10) business days, without a court or arbitral proceeding; and (ii) stayed (i.e., not implemented) by a registrar </w:t>
      </w:r>
      <w:proofErr w:type="gramStart"/>
      <w:r w:rsidRPr="00763B4F">
        <w:rPr>
          <w:sz w:val="24"/>
          <w:szCs w:val="24"/>
        </w:rPr>
        <w:t>as a result of</w:t>
      </w:r>
      <w:proofErr w:type="gramEnd"/>
      <w:r w:rsidRPr="00763B4F">
        <w:rPr>
          <w:sz w:val="24"/>
          <w:szCs w:val="24"/>
        </w:rPr>
        <w:t xml:space="preserve"> the commencement of arbitration proceedings</w:t>
      </w:r>
    </w:p>
    <w:p w14:paraId="03F672D7" w14:textId="5D83F2A6" w:rsidR="00200C17" w:rsidRPr="00763B4F" w:rsidRDefault="00200C17" w:rsidP="00C340A7">
      <w:pPr>
        <w:pStyle w:val="Bullets"/>
        <w:rPr>
          <w:sz w:val="24"/>
          <w:szCs w:val="24"/>
        </w:rPr>
      </w:pPr>
      <w:r w:rsidRPr="00763B4F">
        <w:rPr>
          <w:sz w:val="24"/>
          <w:szCs w:val="24"/>
        </w:rPr>
        <w:t>Number of UDRP [and URS] panel decisions involving IGO Complainants where there was no response from the registrant, and their outcomes</w:t>
      </w:r>
    </w:p>
    <w:p w14:paraId="78851CF5" w14:textId="152F733F" w:rsidR="00C340A7" w:rsidRPr="00763B4F" w:rsidRDefault="00200C17" w:rsidP="00C340A7">
      <w:pPr>
        <w:pStyle w:val="Bullets"/>
        <w:rPr>
          <w:sz w:val="24"/>
          <w:szCs w:val="24"/>
        </w:rPr>
      </w:pPr>
      <w:r w:rsidRPr="00763B4F">
        <w:rPr>
          <w:sz w:val="24"/>
          <w:szCs w:val="24"/>
        </w:rPr>
        <w:t xml:space="preserve">If the final recommendation includes the possibility of a losing registrant filing a court proceeding against an IGO Complainant prior to entering arbitration: number of court proceedings filed and their outcomes (e.g., whether the court assumed or declined jurisdiction)  </w:t>
      </w:r>
    </w:p>
    <w:p w14:paraId="7A013EEE" w14:textId="7FD3D3EA" w:rsidR="00200C17" w:rsidRPr="003D1B6F" w:rsidRDefault="00200C17" w:rsidP="00200C17">
      <w:pPr>
        <w:pStyle w:val="Bullets"/>
      </w:pPr>
      <w:r w:rsidRPr="00763B4F">
        <w:rPr>
          <w:sz w:val="24"/>
          <w:szCs w:val="24"/>
        </w:rPr>
        <w:t>Number of arbitration proceedings between an IGO Complainant and losing registrant, the applicable law in all cases, and their outcomes</w:t>
      </w:r>
    </w:p>
    <w:p w14:paraId="60552BFF" w14:textId="77777777" w:rsidR="000A4AA4" w:rsidRDefault="000A4AA4" w:rsidP="00256F17">
      <w:pPr>
        <w:rPr>
          <w:rFonts w:asciiTheme="majorHAnsi" w:hAnsiTheme="majorHAnsi"/>
        </w:rPr>
      </w:pPr>
    </w:p>
    <w:p w14:paraId="2F9A5907" w14:textId="3C43F4C9" w:rsidR="00C340A7" w:rsidRPr="003819D1" w:rsidRDefault="00200C17" w:rsidP="00256F17">
      <w:pPr>
        <w:rPr>
          <w:rFonts w:asciiTheme="majorHAnsi" w:hAnsiTheme="majorHAnsi"/>
        </w:rPr>
      </w:pPr>
      <w:r>
        <w:rPr>
          <w:rFonts w:asciiTheme="majorHAnsi" w:hAnsiTheme="majorHAnsi"/>
        </w:rPr>
        <w:t xml:space="preserve">The IGO Work Track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Similarly, obtaining accurate numbers and outcomes of arbitration proceedings will be extremely difficult. 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although the IGO Work Track acknowledges that the data obtained via such means are likely to be incomplete.</w:t>
      </w:r>
    </w:p>
    <w:p w14:paraId="4F5625CD" w14:textId="77777777" w:rsidR="00256F17" w:rsidRPr="003819D1" w:rsidRDefault="00256F17" w:rsidP="000B7FAB">
      <w:pPr>
        <w:rPr>
          <w:rFonts w:asciiTheme="majorHAnsi" w:hAnsiTheme="majorHAnsi"/>
        </w:rPr>
      </w:pPr>
    </w:p>
    <w:p w14:paraId="36F51585"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347664E" w14:textId="249DA130" w:rsidR="002C4A83" w:rsidRPr="003819D1" w:rsidRDefault="003D7CDC" w:rsidP="002C4A83">
      <w:pPr>
        <w:pStyle w:val="Heading1"/>
        <w:rPr>
          <w:rFonts w:asciiTheme="majorHAnsi" w:hAnsiTheme="majorHAnsi"/>
        </w:rPr>
      </w:pPr>
      <w:bookmarkStart w:id="3" w:name="_Toc80093201"/>
      <w:r>
        <w:rPr>
          <w:rFonts w:asciiTheme="majorHAnsi" w:hAnsiTheme="majorHAnsi"/>
        </w:rPr>
        <w:lastRenderedPageBreak/>
        <w:t xml:space="preserve">Summary of </w:t>
      </w:r>
      <w:r w:rsidR="008C5C31">
        <w:rPr>
          <w:rFonts w:asciiTheme="majorHAnsi" w:hAnsiTheme="majorHAnsi"/>
        </w:rPr>
        <w:t>Deliberations</w:t>
      </w:r>
      <w:bookmarkEnd w:id="3"/>
      <w:r w:rsidR="008C5C31">
        <w:rPr>
          <w:rFonts w:asciiTheme="majorHAnsi" w:hAnsiTheme="majorHAnsi"/>
        </w:rPr>
        <w:t xml:space="preserve"> </w:t>
      </w:r>
    </w:p>
    <w:p w14:paraId="6FECED6F" w14:textId="59A0699F" w:rsidR="002C4A83" w:rsidRPr="003819D1"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A829E3">
        <w:rPr>
          <w:rFonts w:asciiTheme="majorHAnsi" w:hAnsiTheme="majorHAnsi"/>
        </w:rPr>
        <w:t xml:space="preserve">IGO </w:t>
      </w:r>
      <w:r w:rsidR="003D1B6F">
        <w:rPr>
          <w:rFonts w:asciiTheme="majorHAnsi" w:hAnsiTheme="majorHAnsi"/>
        </w:rPr>
        <w:t>Work Track to date</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3D1B6F">
        <w:rPr>
          <w:rFonts w:asciiTheme="majorHAnsi" w:hAnsiTheme="majorHAnsi"/>
        </w:rPr>
        <w:t>Work Track’s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either final recommendations or as representing the entirety of the deliberations of the </w:t>
      </w:r>
      <w:r w:rsidR="00A829E3">
        <w:rPr>
          <w:rFonts w:asciiTheme="majorHAnsi" w:hAnsiTheme="majorHAnsi"/>
        </w:rPr>
        <w:t>Work Track</w:t>
      </w:r>
      <w:r w:rsidRPr="009B6108">
        <w:rPr>
          <w:rFonts w:asciiTheme="majorHAnsi" w:hAnsiTheme="majorHAnsi"/>
        </w:rPr>
        <w:t>. The W</w:t>
      </w:r>
      <w:r w:rsidR="00A829E3">
        <w:rPr>
          <w:rFonts w:asciiTheme="majorHAnsi" w:hAnsiTheme="majorHAnsi"/>
        </w:rPr>
        <w:t xml:space="preserve">ork Track </w:t>
      </w:r>
      <w:r w:rsidRPr="009B6108">
        <w:rPr>
          <w:rFonts w:asciiTheme="majorHAnsi" w:hAnsiTheme="majorHAnsi"/>
        </w:rPr>
        <w:t xml:space="preserve">will not finalize its recommendations to the GNSO Council until it has conducted a thorough review of the comments received during the </w:t>
      </w:r>
      <w:r w:rsidR="00A829E3">
        <w:rPr>
          <w:rFonts w:asciiTheme="majorHAnsi" w:hAnsiTheme="majorHAnsi"/>
        </w:rPr>
        <w:t>P</w:t>
      </w:r>
      <w:r w:rsidRPr="009B6108">
        <w:rPr>
          <w:rFonts w:asciiTheme="majorHAnsi" w:hAnsiTheme="majorHAnsi"/>
        </w:rPr>
        <w:t xml:space="preserve">ublic </w:t>
      </w:r>
      <w:r w:rsidR="00A829E3">
        <w:rPr>
          <w:rFonts w:asciiTheme="majorHAnsi" w:hAnsiTheme="majorHAnsi"/>
        </w:rPr>
        <w:t>C</w:t>
      </w:r>
      <w:r w:rsidRPr="009B6108">
        <w:rPr>
          <w:rFonts w:asciiTheme="majorHAnsi" w:hAnsiTheme="majorHAnsi"/>
        </w:rPr>
        <w:t>omment period on this Initial Report.</w:t>
      </w:r>
    </w:p>
    <w:p w14:paraId="6F5DA1AC"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66B5B1AE" w14:textId="77777777" w:rsidR="003D7CDC" w:rsidRDefault="003D7CDC" w:rsidP="00A829E3">
      <w:pPr>
        <w:rPr>
          <w:rFonts w:asciiTheme="majorHAnsi" w:hAnsiTheme="majorHAnsi"/>
        </w:rPr>
      </w:pPr>
    </w:p>
    <w:p w14:paraId="78CF82C5" w14:textId="280F4A11" w:rsidR="005464E9" w:rsidRDefault="00A829E3" w:rsidP="00A829E3">
      <w:pPr>
        <w:rPr>
          <w:rFonts w:asciiTheme="majorHAnsi" w:hAnsiTheme="majorHAnsi"/>
        </w:rPr>
      </w:pPr>
      <w:r>
        <w:rPr>
          <w:rFonts w:asciiTheme="majorHAnsi" w:hAnsiTheme="majorHAnsi"/>
        </w:rPr>
        <w:t>Under the Addendum establishing the IGO Work Track, t</w:t>
      </w:r>
      <w:r w:rsidRPr="00A829E3">
        <w:rPr>
          <w:rFonts w:asciiTheme="majorHAnsi" w:hAnsiTheme="majorHAnsi"/>
        </w:rPr>
        <w:t xml:space="preserve">he Work Track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Work Track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2"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the 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7A00D119"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w:t>
      </w:r>
      <w:proofErr w:type="spellStart"/>
      <w:r w:rsidRPr="005464E9">
        <w:rPr>
          <w:rFonts w:asciiTheme="majorHAnsi" w:hAnsiTheme="majorHAnsi"/>
          <w:i/>
          <w:iCs/>
        </w:rPr>
        <w:t>i</w:t>
      </w:r>
      <w:proofErr w:type="spellEnd"/>
      <w:r w:rsidRPr="005464E9">
        <w:rPr>
          <w:rFonts w:asciiTheme="majorHAnsi" w:hAnsiTheme="majorHAnsi"/>
          <w:i/>
          <w:iCs/>
        </w:rPr>
        <w:t>]</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Council.</w:t>
      </w:r>
      <w:r w:rsidRPr="005464E9">
        <w:rPr>
          <w:rFonts w:asciiTheme="majorHAnsi" w:hAnsiTheme="majorHAnsi"/>
          <w:i/>
          <w:iCs/>
        </w:rPr>
        <w:t>”</w:t>
      </w:r>
      <w:r>
        <w:rPr>
          <w:rFonts w:asciiTheme="majorHAnsi" w:hAnsiTheme="majorHAnsi"/>
        </w:rPr>
        <w:t xml:space="preserve"> In this context, the IGO Work Track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3"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77777777" w:rsidR="00EF0F82" w:rsidRDefault="00DF7563" w:rsidP="00AE6653">
      <w:pPr>
        <w:rPr>
          <w:rFonts w:asciiTheme="majorHAnsi" w:hAnsiTheme="majorHAnsi"/>
        </w:rPr>
      </w:pPr>
      <w:r>
        <w:rPr>
          <w:rFonts w:asciiTheme="majorHAnsi" w:hAnsiTheme="majorHAnsi"/>
        </w:rPr>
        <w:t xml:space="preserve">As noted in Section 2 above, the IGO Work Track agreed that, to develop an appropriate policy solution for the problem it was created 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w:t>
      </w:r>
      <w:r>
        <w:rPr>
          <w:rFonts w:asciiTheme="majorHAnsi" w:hAnsiTheme="majorHAnsi"/>
        </w:rPr>
        <w:lastRenderedPageBreak/>
        <w:t xml:space="preserve">Industrial Property. </w:t>
      </w:r>
      <w:r w:rsidR="0087737D">
        <w:rPr>
          <w:rFonts w:asciiTheme="majorHAnsi" w:hAnsiTheme="majorHAnsi"/>
        </w:rPr>
        <w:t>In this regard, t</w:t>
      </w:r>
      <w:r>
        <w:rPr>
          <w:rFonts w:asciiTheme="majorHAnsi" w:hAnsiTheme="majorHAnsi"/>
        </w:rPr>
        <w:t xml:space="preserve">he Work Track noted that, while Article 6ter requires member states to protect IGO identifiers against confusing </w:t>
      </w:r>
      <w:r w:rsidR="00831CA5">
        <w:rPr>
          <w:rFonts w:asciiTheme="majorHAnsi" w:hAnsiTheme="majorHAnsi"/>
        </w:rPr>
        <w:t>third-party</w:t>
      </w:r>
      <w:r>
        <w:rPr>
          <w:rFonts w:asciiTheme="majorHAnsi" w:hAnsiTheme="majorHAnsi"/>
        </w:rPr>
        <w:t xml:space="preserve"> trademark registrations, it does not in and of itself confer substantive trademark rights. The Work Track also observed that Recommendation #2, as approved, </w:t>
      </w:r>
      <w:r w:rsidR="00831CA5">
        <w:rPr>
          <w:rFonts w:asciiTheme="majorHAnsi" w:hAnsiTheme="majorHAnsi"/>
        </w:rPr>
        <w:t xml:space="preserve">leaves the decision as to whether Article 6ter protections would suffice for eligibility to file a UDRP and URS complaint to the relevant panelist(s) in each case. </w:t>
      </w:r>
    </w:p>
    <w:p w14:paraId="77F834D3" w14:textId="77777777" w:rsidR="00EF0F82" w:rsidRDefault="00EF0F82" w:rsidP="00AE6653">
      <w:pPr>
        <w:rPr>
          <w:rFonts w:asciiTheme="majorHAnsi" w:hAnsiTheme="majorHAnsi"/>
        </w:rPr>
      </w:pPr>
    </w:p>
    <w:p w14:paraId="785D8D01" w14:textId="67B7244B" w:rsidR="00DF7563" w:rsidRDefault="00831CA5" w:rsidP="00AE6653">
      <w:pPr>
        <w:rPr>
          <w:rFonts w:asciiTheme="majorHAnsi" w:hAnsiTheme="majorHAnsi"/>
        </w:rPr>
      </w:pPr>
      <w:r>
        <w:rPr>
          <w:rFonts w:asciiTheme="majorHAnsi" w:hAnsiTheme="majorHAnsi"/>
        </w:rPr>
        <w:t>To supplement the applicability of and to remain consistent with Recommendation #2, the Work Track discussed and developed a proposed definition for an “IGO Complainant” that would allow an IGO to demonstrate the requisite rights in the form of unregistered rights that would be functionally equivalent to a registered trademark.</w:t>
      </w:r>
    </w:p>
    <w:p w14:paraId="17B77A5B" w14:textId="77777777" w:rsidR="00DF7563" w:rsidRDefault="00DF7563" w:rsidP="00AE6653">
      <w:pPr>
        <w:rPr>
          <w:rFonts w:asciiTheme="majorHAnsi" w:hAnsiTheme="majorHAnsi"/>
        </w:rPr>
      </w:pPr>
    </w:p>
    <w:p w14:paraId="726AD109" w14:textId="2F81FEC6" w:rsidR="00C80496" w:rsidRPr="003819D1" w:rsidRDefault="00C80496" w:rsidP="00AE6653">
      <w:pPr>
        <w:rPr>
          <w:rFonts w:asciiTheme="majorHAnsi" w:hAnsiTheme="majorHAnsi"/>
        </w:rPr>
      </w:pPr>
      <w:r>
        <w:rPr>
          <w:rFonts w:asciiTheme="majorHAnsi" w:hAnsiTheme="majorHAnsi"/>
        </w:rPr>
        <w:t>The W</w:t>
      </w:r>
      <w:r w:rsidR="00831CA5">
        <w:rPr>
          <w:rFonts w:asciiTheme="majorHAnsi" w:hAnsiTheme="majorHAnsi"/>
        </w:rPr>
        <w:t>ork Track</w:t>
      </w:r>
      <w:r>
        <w:rPr>
          <w:rFonts w:asciiTheme="majorHAnsi" w:hAnsiTheme="majorHAnsi"/>
        </w:rPr>
        <w:t>’s initial conclusions</w:t>
      </w:r>
      <w:r w:rsidR="00831CA5">
        <w:rPr>
          <w:rFonts w:asciiTheme="majorHAnsi" w:hAnsiTheme="majorHAnsi"/>
        </w:rPr>
        <w:t>, including potential text for a definition,</w:t>
      </w:r>
      <w:r>
        <w:rPr>
          <w:rFonts w:asciiTheme="majorHAnsi" w:hAnsiTheme="majorHAnsi"/>
        </w:rPr>
        <w:t xml:space="preserve"> </w:t>
      </w:r>
      <w:r w:rsidR="00140481">
        <w:rPr>
          <w:rFonts w:asciiTheme="majorHAnsi" w:hAnsiTheme="majorHAnsi"/>
        </w:rPr>
        <w:t xml:space="preserve">can be found </w:t>
      </w:r>
      <w:r>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While the Work Track is in general agreement on the need for such a definition as well as its basic outlines, it has yet to reach agreement as to whether those IGOs that are invited or admitted as observers to the work of the United Nations’ various Standing Committees as well as its Specialized Agencies should also be included within the scope.</w:t>
      </w:r>
    </w:p>
    <w:p w14:paraId="06E231DF" w14:textId="7A89C45E" w:rsidR="00AE6653" w:rsidRDefault="00AE6653" w:rsidP="003819D1">
      <w:pPr>
        <w:pStyle w:val="Letteredlist"/>
        <w:numPr>
          <w:ilvl w:val="0"/>
          <w:numId w:val="0"/>
        </w:numPr>
        <w:rPr>
          <w:rFonts w:asciiTheme="majorHAnsi" w:hAnsiTheme="majorHAnsi"/>
        </w:rPr>
      </w:pPr>
    </w:p>
    <w:p w14:paraId="123F4017" w14:textId="3B2CD820" w:rsidR="00587820" w:rsidRPr="00140481" w:rsidRDefault="00587820" w:rsidP="003819D1">
      <w:pPr>
        <w:pStyle w:val="Letteredlist"/>
        <w:numPr>
          <w:ilvl w:val="0"/>
          <w:numId w:val="0"/>
        </w:numPr>
        <w:rPr>
          <w:rFonts w:asciiTheme="majorHAnsi" w:hAnsiTheme="majorHAnsi"/>
          <w:sz w:val="24"/>
          <w:szCs w:val="24"/>
        </w:rPr>
      </w:pPr>
      <w:r w:rsidRPr="00140481">
        <w:rPr>
          <w:rFonts w:asciiTheme="majorHAnsi" w:hAnsiTheme="majorHAnsi"/>
          <w:sz w:val="24"/>
          <w:szCs w:val="24"/>
        </w:rPr>
        <w:t>Additional Resources</w:t>
      </w:r>
      <w:r w:rsidR="00763B4F">
        <w:rPr>
          <w:rFonts w:asciiTheme="majorHAnsi" w:hAnsiTheme="majorHAnsi"/>
          <w:sz w:val="24"/>
          <w:szCs w:val="24"/>
        </w:rPr>
        <w:t xml:space="preserve"> about the United Nations system</w:t>
      </w:r>
      <w:r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4"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25"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26"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44EDEADB"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IGO Jurisdictional Immunity and Registrant Rights</w:t>
      </w:r>
    </w:p>
    <w:p w14:paraId="39E88A7B" w14:textId="2DCF1E11"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The IGO Work Track noted the report that an external legal expert, Professor Edward Swaine, had provided to the IGO-INGO Access to Curative Rights Protections PDP, which included the conclusion that requiring a complainant to submit to Mutual Jurisdiction</w:t>
      </w:r>
      <w:r w:rsidR="00764F65" w:rsidRPr="00140481">
        <w:rPr>
          <w:rStyle w:val="FootnoteReference"/>
          <w:sz w:val="24"/>
          <w:szCs w:val="24"/>
        </w:rPr>
        <w:footnoteReference w:id="3"/>
      </w:r>
      <w:r w:rsidRPr="00140481">
        <w:rPr>
          <w:rFonts w:asciiTheme="majorHAnsi" w:hAnsiTheme="majorHAnsi"/>
          <w:sz w:val="24"/>
          <w:szCs w:val="24"/>
        </w:rPr>
        <w:t xml:space="preserve">, as is the case under the UDRP and URS, can amount to a waiver of jurisdictional immunity by </w:t>
      </w:r>
      <w:r w:rsidR="00764F65" w:rsidRPr="00140481">
        <w:rPr>
          <w:rFonts w:asciiTheme="majorHAnsi" w:hAnsiTheme="majorHAnsi"/>
          <w:sz w:val="24"/>
          <w:szCs w:val="24"/>
        </w:rPr>
        <w:t xml:space="preserve">an IGO. </w:t>
      </w:r>
      <w:r w:rsidR="00763B4F">
        <w:rPr>
          <w:rFonts w:asciiTheme="majorHAnsi" w:hAnsiTheme="majorHAnsi"/>
          <w:sz w:val="24"/>
          <w:szCs w:val="24"/>
        </w:rPr>
        <w:t>Relatedly</w:t>
      </w:r>
      <w:r w:rsidR="00764F65" w:rsidRPr="00140481">
        <w:rPr>
          <w:rFonts w:asciiTheme="majorHAnsi" w:hAnsiTheme="majorHAnsi"/>
          <w:sz w:val="24"/>
          <w:szCs w:val="24"/>
        </w:rPr>
        <w:t xml:space="preserve">, the IGO Work Track acknowledged that removing this requirement for IGO Complainants could prejudice a registrant’s right and ability to </w:t>
      </w:r>
      <w:r w:rsidR="00764F65" w:rsidRPr="00140481">
        <w:rPr>
          <w:rFonts w:asciiTheme="majorHAnsi" w:hAnsiTheme="majorHAnsi"/>
          <w:sz w:val="24"/>
          <w:szCs w:val="24"/>
        </w:rPr>
        <w:lastRenderedPageBreak/>
        <w:t xml:space="preserve">have an initial UDRP or URS determination reviewed judicially. In addition, the IGO Work Track recognized that a successful claim of jurisdictional immunity by an IGO means that the court in question will decline to assume jurisdiction in the case, with the result that there will not be a substantive hearing on the merits of the case and the outcome of the initial UDRP or URS determination will therefore stand. </w:t>
      </w:r>
    </w:p>
    <w:p w14:paraId="6BE2D8BF" w14:textId="7EC4F9FD"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IGO Work Track considered 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immunities and privileges without adversely affecting a registrant’s right to file proceedings in a court of competent </w:t>
      </w:r>
      <w:r w:rsidR="00587820" w:rsidRPr="00140481">
        <w:rPr>
          <w:rFonts w:asciiTheme="majorHAnsi" w:hAnsiTheme="majorHAnsi"/>
          <w:sz w:val="24"/>
          <w:szCs w:val="24"/>
        </w:rPr>
        <w:t xml:space="preserve">jurisdiction: in particular, the </w:t>
      </w:r>
      <w:r w:rsidR="00763B4F">
        <w:rPr>
          <w:rFonts w:asciiTheme="majorHAnsi" w:hAnsiTheme="majorHAnsi"/>
          <w:sz w:val="24"/>
          <w:szCs w:val="24"/>
        </w:rPr>
        <w:t xml:space="preserve">benefits and risks of developing an appeal process internal to the UDRP and URS </w:t>
      </w:r>
      <w:r w:rsidR="00AD64F1">
        <w:rPr>
          <w:rFonts w:asciiTheme="majorHAnsi" w:hAnsiTheme="majorHAnsi"/>
          <w:sz w:val="24"/>
          <w:szCs w:val="24"/>
        </w:rPr>
        <w:t xml:space="preserve">(i.e., where appeals from an initial UDRP or URS panel decision would be reviewed by a panel comprising experienced UDRP or URS panelists) </w:t>
      </w:r>
      <w:r w:rsidR="00763B4F">
        <w:rPr>
          <w:rFonts w:asciiTheme="majorHAnsi" w:hAnsiTheme="majorHAnsi"/>
          <w:sz w:val="24"/>
          <w:szCs w:val="24"/>
        </w:rPr>
        <w:t xml:space="preserve">compared with 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Work Track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AD64F1">
        <w:rPr>
          <w:rStyle w:val="FootnoteReference"/>
          <w:sz w:val="24"/>
          <w:szCs w:val="24"/>
        </w:rPr>
        <w:footnoteReference w:id="4"/>
      </w:r>
      <w:r w:rsidR="00AD64F1">
        <w:rPr>
          <w:rFonts w:asciiTheme="majorHAnsi" w:hAnsiTheme="majorHAnsi"/>
          <w:sz w:val="24"/>
          <w:szCs w:val="24"/>
        </w:rPr>
        <w:t>.</w:t>
      </w:r>
      <w:r w:rsidR="00587820" w:rsidRPr="00140481">
        <w:rPr>
          <w:rFonts w:asciiTheme="majorHAnsi" w:hAnsiTheme="majorHAnsi"/>
          <w:sz w:val="24"/>
          <w:szCs w:val="24"/>
        </w:rPr>
        <w:t xml:space="preserve"> Ultimately, the Work Track determined that </w:t>
      </w:r>
      <w:r w:rsidR="001716EF" w:rsidRPr="00140481">
        <w:rPr>
          <w:rFonts w:asciiTheme="majorHAnsi" w:hAnsiTheme="majorHAnsi"/>
          <w:sz w:val="24"/>
          <w:szCs w:val="24"/>
        </w:rPr>
        <w:t>making the option of voluntary arbitration explicit in the UDRP [and URS] was a more appropriate path forward, as this would not entail building a new and untried appeal process into the existing dispute resolution mechanisms, with potential consequences for future disputes involving non-IGO parties.</w:t>
      </w:r>
    </w:p>
    <w:p w14:paraId="34537152" w14:textId="197675B8" w:rsidR="00764F65" w:rsidRPr="00140481" w:rsidRDefault="001716EF"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Having agreed </w:t>
      </w:r>
      <w:r w:rsidR="00AD64F1">
        <w:rPr>
          <w:rFonts w:asciiTheme="majorHAnsi" w:hAnsiTheme="majorHAnsi"/>
          <w:sz w:val="24"/>
          <w:szCs w:val="24"/>
        </w:rPr>
        <w:t>on</w:t>
      </w:r>
      <w:r w:rsidR="00140481">
        <w:rPr>
          <w:rFonts w:asciiTheme="majorHAnsi" w:hAnsiTheme="majorHAnsi"/>
          <w:sz w:val="24"/>
          <w:szCs w:val="24"/>
        </w:rPr>
        <w:t xml:space="preserve"> an </w:t>
      </w:r>
      <w:r w:rsidRPr="00140481">
        <w:rPr>
          <w:rFonts w:asciiTheme="majorHAnsi" w:hAnsiTheme="majorHAnsi"/>
          <w:sz w:val="24"/>
          <w:szCs w:val="24"/>
        </w:rPr>
        <w:t>arbitration</w:t>
      </w:r>
      <w:r w:rsidR="00140481">
        <w:rPr>
          <w:rFonts w:asciiTheme="majorHAnsi" w:hAnsiTheme="majorHAnsi"/>
          <w:sz w:val="24"/>
          <w:szCs w:val="24"/>
        </w:rPr>
        <w:t xml:space="preserve"> process</w:t>
      </w:r>
      <w:r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Pr="00140481">
        <w:rPr>
          <w:rFonts w:asciiTheme="majorHAnsi" w:hAnsiTheme="majorHAnsi"/>
          <w:sz w:val="24"/>
          <w:szCs w:val="24"/>
        </w:rPr>
        <w:t xml:space="preserve">a </w:t>
      </w:r>
      <w:r w:rsidR="00AD64F1">
        <w:rPr>
          <w:rFonts w:asciiTheme="majorHAnsi" w:hAnsiTheme="majorHAnsi"/>
          <w:sz w:val="24"/>
          <w:szCs w:val="24"/>
        </w:rPr>
        <w:t>new</w:t>
      </w:r>
      <w:r w:rsidRPr="00140481">
        <w:rPr>
          <w:rFonts w:asciiTheme="majorHAnsi" w:hAnsiTheme="majorHAnsi"/>
          <w:sz w:val="24"/>
          <w:szCs w:val="24"/>
        </w:rPr>
        <w:t xml:space="preserve"> appeal </w:t>
      </w:r>
      <w:r w:rsidR="00140481">
        <w:rPr>
          <w:rFonts w:asciiTheme="majorHAnsi" w:hAnsiTheme="majorHAnsi"/>
          <w:sz w:val="24"/>
          <w:szCs w:val="24"/>
        </w:rPr>
        <w:t>mechanism</w:t>
      </w:r>
      <w:r w:rsidRPr="00140481">
        <w:rPr>
          <w:rFonts w:asciiTheme="majorHAnsi" w:hAnsiTheme="majorHAnsi"/>
          <w:sz w:val="24"/>
          <w:szCs w:val="24"/>
        </w:rPr>
        <w:t xml:space="preserve">, the Work Track discussed </w:t>
      </w:r>
      <w:r w:rsidR="00140481">
        <w:rPr>
          <w:rFonts w:asciiTheme="majorHAnsi" w:hAnsiTheme="majorHAnsi"/>
          <w:sz w:val="24"/>
          <w:szCs w:val="24"/>
        </w:rPr>
        <w:t xml:space="preserve">what </w:t>
      </w:r>
      <w:r w:rsidRPr="00140481">
        <w:rPr>
          <w:rFonts w:asciiTheme="majorHAnsi" w:hAnsiTheme="majorHAnsi"/>
          <w:sz w:val="24"/>
          <w:szCs w:val="24"/>
        </w:rPr>
        <w:t xml:space="preserve">aspects </w:t>
      </w:r>
      <w:r w:rsidR="00140481">
        <w:rPr>
          <w:rFonts w:asciiTheme="majorHAnsi" w:hAnsiTheme="majorHAnsi"/>
          <w:sz w:val="24"/>
          <w:szCs w:val="24"/>
        </w:rPr>
        <w:t>of</w:t>
      </w:r>
      <w:r w:rsidRPr="00140481">
        <w:rPr>
          <w:rFonts w:asciiTheme="majorHAnsi" w:hAnsiTheme="majorHAnsi"/>
          <w:sz w:val="24"/>
          <w:szCs w:val="24"/>
        </w:rPr>
        <w:t xml:space="preserve"> an arbitration proceeding </w:t>
      </w:r>
      <w:r w:rsidR="00AD64F1">
        <w:rPr>
          <w:rFonts w:asciiTheme="majorHAnsi" w:hAnsiTheme="majorHAnsi"/>
          <w:sz w:val="24"/>
          <w:szCs w:val="24"/>
        </w:rPr>
        <w:t xml:space="preserve">would </w:t>
      </w:r>
      <w:r w:rsidRPr="00140481">
        <w:rPr>
          <w:rFonts w:asciiTheme="majorHAnsi" w:hAnsiTheme="majorHAnsi"/>
          <w:sz w:val="24"/>
          <w:szCs w:val="24"/>
        </w:rPr>
        <w:t xml:space="preserve">need to be incorporated into the UDRP [and URS] as requirements. </w:t>
      </w:r>
      <w:r w:rsidR="00140481">
        <w:rPr>
          <w:rFonts w:asciiTheme="majorHAnsi" w:hAnsiTheme="majorHAnsi"/>
          <w:sz w:val="24"/>
          <w:szCs w:val="24"/>
        </w:rPr>
        <w:t>The</w:t>
      </w:r>
      <w:r w:rsidRPr="00140481">
        <w:rPr>
          <w:rFonts w:asciiTheme="majorHAnsi" w:hAnsiTheme="majorHAnsi"/>
          <w:sz w:val="24"/>
          <w:szCs w:val="24"/>
        </w:rPr>
        <w:t xml:space="preserve"> Work Track</w:t>
      </w:r>
      <w:r w:rsidR="00140481">
        <w:rPr>
          <w:rFonts w:asciiTheme="majorHAnsi" w:hAnsiTheme="majorHAnsi"/>
          <w:sz w:val="24"/>
          <w:szCs w:val="24"/>
        </w:rPr>
        <w:t xml:space="preserve"> reached</w:t>
      </w:r>
      <w:r w:rsidRPr="00140481">
        <w:rPr>
          <w:rFonts w:asciiTheme="majorHAnsi" w:hAnsiTheme="majorHAnsi"/>
          <w:sz w:val="24"/>
          <w:szCs w:val="24"/>
        </w:rPr>
        <w:t xml:space="preserve"> agreement </w:t>
      </w:r>
      <w:r w:rsidR="00140481">
        <w:rPr>
          <w:rFonts w:asciiTheme="majorHAnsi" w:hAnsiTheme="majorHAnsi"/>
          <w:sz w:val="24"/>
          <w:szCs w:val="24"/>
        </w:rPr>
        <w:t xml:space="preserve">on several elements, e.g., </w:t>
      </w:r>
      <w:r w:rsidRPr="00140481">
        <w:rPr>
          <w:rFonts w:asciiTheme="majorHAnsi" w:hAnsiTheme="majorHAnsi"/>
          <w:sz w:val="24"/>
          <w:szCs w:val="24"/>
        </w:rPr>
        <w:t xml:space="preserve">the arbitration must be conducted as a substantive review of the case, and the </w:t>
      </w:r>
      <w:r w:rsidR="00140481">
        <w:rPr>
          <w:rFonts w:asciiTheme="majorHAnsi" w:hAnsiTheme="majorHAnsi"/>
          <w:sz w:val="24"/>
          <w:szCs w:val="24"/>
        </w:rPr>
        <w:t>registrar’s</w:t>
      </w:r>
      <w:r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Pr="00140481">
        <w:rPr>
          <w:rFonts w:asciiTheme="majorHAnsi" w:hAnsiTheme="majorHAnsi"/>
          <w:sz w:val="24"/>
          <w:szCs w:val="24"/>
        </w:rPr>
        <w:t xml:space="preserve"> proceedings</w:t>
      </w:r>
      <w:r w:rsidR="00AD64F1">
        <w:rPr>
          <w:rStyle w:val="FootnoteReference"/>
          <w:sz w:val="24"/>
          <w:szCs w:val="24"/>
        </w:rPr>
        <w:footnoteReference w:id="5"/>
      </w:r>
      <w:r w:rsidRPr="00140481">
        <w:rPr>
          <w:rFonts w:asciiTheme="majorHAnsi" w:hAnsiTheme="majorHAnsi"/>
          <w:sz w:val="24"/>
          <w:szCs w:val="24"/>
        </w:rPr>
        <w:t xml:space="preserve">. At this stage, however, the Work Track was not able to reach preliminary agreement on </w:t>
      </w:r>
      <w:r w:rsidR="000558C4" w:rsidRPr="00140481">
        <w:rPr>
          <w:rFonts w:asciiTheme="majorHAnsi" w:hAnsiTheme="majorHAnsi"/>
          <w:sz w:val="24"/>
          <w:szCs w:val="24"/>
        </w:rPr>
        <w:t>two specific questions:</w:t>
      </w:r>
    </w:p>
    <w:p w14:paraId="75BE8190" w14:textId="5C638856"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first file a case in court, </w:t>
      </w:r>
      <w:r w:rsidR="00140481">
        <w:rPr>
          <w:rFonts w:asciiTheme="majorHAnsi" w:hAnsiTheme="majorHAnsi"/>
          <w:sz w:val="24"/>
          <w:szCs w:val="24"/>
        </w:rPr>
        <w:t>while</w:t>
      </w:r>
      <w:r w:rsidRPr="00140481">
        <w:rPr>
          <w:rFonts w:asciiTheme="majorHAnsi" w:hAnsiTheme="majorHAnsi"/>
          <w:sz w:val="24"/>
          <w:szCs w:val="24"/>
        </w:rPr>
        <w:t xml:space="preserve"> </w:t>
      </w:r>
      <w:r w:rsidR="00140481">
        <w:rPr>
          <w:rFonts w:asciiTheme="majorHAnsi" w:hAnsiTheme="majorHAnsi"/>
          <w:sz w:val="24"/>
          <w:szCs w:val="24"/>
        </w:rPr>
        <w:t>preserving their</w:t>
      </w:r>
      <w:r w:rsidRPr="00140481">
        <w:rPr>
          <w:rFonts w:asciiTheme="majorHAnsi" w:hAnsiTheme="majorHAnsi"/>
          <w:sz w:val="24"/>
          <w:szCs w:val="24"/>
        </w:rPr>
        <w:t xml:space="preserve"> option to go to arbitration </w:t>
      </w:r>
      <w:r w:rsidR="00140481">
        <w:rPr>
          <w:rFonts w:asciiTheme="majorHAnsi" w:hAnsiTheme="majorHAnsi"/>
          <w:sz w:val="24"/>
          <w:szCs w:val="24"/>
        </w:rPr>
        <w:t>should</w:t>
      </w:r>
      <w:r w:rsidRPr="00140481">
        <w:rPr>
          <w:rFonts w:asciiTheme="majorHAnsi" w:hAnsiTheme="majorHAnsi"/>
          <w:sz w:val="24"/>
          <w:szCs w:val="24"/>
        </w:rPr>
        <w:t xml:space="preserve"> the court decline to assume jurisdiction over the case due to the IGO</w:t>
      </w:r>
      <w:r w:rsidR="00AD64F1">
        <w:rPr>
          <w:rFonts w:asciiTheme="majorHAnsi" w:hAnsiTheme="majorHAnsi"/>
          <w:sz w:val="24"/>
          <w:szCs w:val="24"/>
        </w:rPr>
        <w:t>’s</w:t>
      </w:r>
      <w:r w:rsidRPr="00140481">
        <w:rPr>
          <w:rFonts w:asciiTheme="majorHAnsi" w:hAnsiTheme="majorHAnsi"/>
          <w:sz w:val="24"/>
          <w:szCs w:val="24"/>
        </w:rPr>
        <w:t xml:space="preserve"> </w:t>
      </w:r>
      <w:r w:rsidR="00AD64F1">
        <w:rPr>
          <w:rFonts w:asciiTheme="majorHAnsi" w:hAnsiTheme="majorHAnsi"/>
          <w:sz w:val="24"/>
          <w:szCs w:val="24"/>
        </w:rPr>
        <w:t>immunity</w:t>
      </w:r>
      <w:r w:rsidRPr="00140481">
        <w:rPr>
          <w:rFonts w:asciiTheme="majorHAnsi" w:hAnsiTheme="majorHAnsi"/>
          <w:sz w:val="24"/>
          <w:szCs w:val="24"/>
        </w:rPr>
        <w:t xml:space="preserve"> from </w:t>
      </w:r>
      <w:r w:rsidR="00AD64F1">
        <w:rPr>
          <w:rFonts w:asciiTheme="majorHAnsi" w:hAnsiTheme="majorHAnsi"/>
          <w:sz w:val="24"/>
          <w:szCs w:val="24"/>
        </w:rPr>
        <w:t>the</w:t>
      </w:r>
      <w:r w:rsidRPr="00140481">
        <w:rPr>
          <w:rFonts w:asciiTheme="majorHAnsi" w:hAnsiTheme="majorHAnsi"/>
          <w:sz w:val="24"/>
          <w:szCs w:val="24"/>
        </w:rPr>
        <w:t xml:space="preserve"> jurisdiction</w:t>
      </w:r>
      <w:r w:rsidR="00AD64F1">
        <w:rPr>
          <w:rFonts w:asciiTheme="majorHAnsi" w:hAnsiTheme="majorHAnsi"/>
          <w:sz w:val="24"/>
          <w:szCs w:val="24"/>
        </w:rPr>
        <w:t xml:space="preserve"> of that court</w:t>
      </w:r>
      <w:r w:rsidRPr="00140481">
        <w:rPr>
          <w:rFonts w:asciiTheme="majorHAnsi" w:hAnsiTheme="majorHAnsi"/>
          <w:sz w:val="24"/>
          <w:szCs w:val="24"/>
        </w:rPr>
        <w:t>; and</w:t>
      </w:r>
    </w:p>
    <w:p w14:paraId="3AEAF9EA" w14:textId="1C2B7A4F"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What the applicable law should be for an arbitration proceeding.</w:t>
      </w:r>
    </w:p>
    <w:p w14:paraId="56384A4D" w14:textId="77777777" w:rsidR="000558C4" w:rsidRDefault="000558C4" w:rsidP="0087737D">
      <w:pPr>
        <w:rPr>
          <w:rFonts w:asciiTheme="majorHAnsi" w:hAnsiTheme="majorHAnsi"/>
        </w:rPr>
      </w:pPr>
    </w:p>
    <w:p w14:paraId="512E924A" w14:textId="68B31069" w:rsidR="002C4A83" w:rsidRDefault="004C3FF5" w:rsidP="002C4A83">
      <w:pPr>
        <w:rPr>
          <w:rFonts w:asciiTheme="majorHAnsi" w:hAnsiTheme="majorHAnsi"/>
        </w:rPr>
      </w:pPr>
      <w:r>
        <w:rPr>
          <w:rFonts w:asciiTheme="majorHAnsi" w:hAnsiTheme="majorHAnsi"/>
        </w:rPr>
        <w:t>The W</w:t>
      </w:r>
      <w:r w:rsidR="000558C4">
        <w:rPr>
          <w:rFonts w:asciiTheme="majorHAnsi" w:hAnsiTheme="majorHAnsi"/>
        </w:rPr>
        <w:t>ork Track</w:t>
      </w:r>
      <w:r>
        <w:rPr>
          <w:rFonts w:asciiTheme="majorHAnsi" w:hAnsiTheme="majorHAnsi"/>
        </w:rPr>
        <w:t>’s initial conclusions can be found in Section 2</w:t>
      </w:r>
      <w:r w:rsidR="00140481">
        <w:rPr>
          <w:rFonts w:asciiTheme="majorHAnsi" w:hAnsiTheme="majorHAnsi"/>
        </w:rPr>
        <w:t>.1.2</w:t>
      </w:r>
      <w:r>
        <w:rPr>
          <w:rFonts w:asciiTheme="majorHAnsi" w:hAnsiTheme="majorHAnsi"/>
        </w:rPr>
        <w:t>.</w:t>
      </w:r>
      <w:r w:rsidR="000558C4">
        <w:rPr>
          <w:rFonts w:asciiTheme="majorHAnsi" w:hAnsiTheme="majorHAnsi"/>
        </w:rPr>
        <w:t xml:space="preserve"> The text includes the options for these two questions that are currently under consideration. The Work Track </w:t>
      </w:r>
      <w:r w:rsidR="00140481">
        <w:rPr>
          <w:rFonts w:asciiTheme="majorHAnsi" w:hAnsiTheme="majorHAnsi"/>
        </w:rPr>
        <w:t>emphasizes</w:t>
      </w:r>
      <w:r w:rsidR="000558C4">
        <w:rPr>
          <w:rFonts w:asciiTheme="majorHAnsi" w:hAnsiTheme="majorHAnsi"/>
        </w:rPr>
        <w:t xml:space="preserve"> that it intends for these recommendations to be interdependent, i.e., considered and adopted as a single package. </w:t>
      </w:r>
      <w:r w:rsidR="008C5C31">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4" w:name="_Toc80093202"/>
      <w:r>
        <w:rPr>
          <w:rFonts w:asciiTheme="majorHAnsi" w:hAnsiTheme="majorHAnsi"/>
        </w:rPr>
        <w:lastRenderedPageBreak/>
        <w:t>Conclusions and Next Steps</w:t>
      </w:r>
      <w:bookmarkEnd w:id="4"/>
    </w:p>
    <w:p w14:paraId="0C628D91"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7E822D69" w14:textId="77777777" w:rsidR="00F23192" w:rsidRDefault="00F23192" w:rsidP="008C5C31">
      <w:pPr>
        <w:rPr>
          <w:rFonts w:asciiTheme="majorHAnsi" w:hAnsiTheme="majorHAnsi"/>
        </w:rPr>
      </w:pPr>
    </w:p>
    <w:p w14:paraId="3BDDA13C" w14:textId="0C0D93A8"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IGO Work Track</w:t>
      </w:r>
      <w:r w:rsidR="00F23192">
        <w:rPr>
          <w:rFonts w:asciiTheme="majorHAnsi" w:hAnsiTheme="majorHAnsi"/>
        </w:rPr>
        <w:t xml:space="preserve"> has reached preliminary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that it has </w:t>
      </w:r>
      <w:r w:rsidR="00F23192">
        <w:rPr>
          <w:rFonts w:asciiTheme="majorHAnsi" w:hAnsiTheme="majorHAnsi"/>
        </w:rPr>
        <w:t xml:space="preserve">the requisite rights to proceed against a registrant in the absence of a trademark. The Work Track has also preliminarily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559F86D8" w:rsidR="008C5C31" w:rsidRDefault="00F23192" w:rsidP="008C5C31">
      <w:pPr>
        <w:rPr>
          <w:rFonts w:asciiTheme="majorHAnsi" w:hAnsiTheme="majorHAnsi"/>
        </w:rPr>
      </w:pPr>
      <w:r>
        <w:rPr>
          <w:rFonts w:asciiTheme="majorHAnsi" w:hAnsiTheme="majorHAnsi"/>
        </w:rPr>
        <w:t>However, the Work Track has not reached agreement on the following specific questions: (1) the precise scope of the definition of “IGO Complainant”; (2) whether a registrant should continue to be able to agree to voluntary arbitration after a court has declined jurisdiction over the registrant’s case in consequence of an IGO’s immunity from the jurisdiction of that court; and (3) what the applicable substantive law should be where the parties have agreed to proceed to arbitration.</w:t>
      </w: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7FE64B1A" w:rsidR="000D3F3D" w:rsidRPr="003819D1" w:rsidRDefault="000D3F3D" w:rsidP="000D3F3D">
      <w:pPr>
        <w:rPr>
          <w:rFonts w:asciiTheme="majorHAnsi" w:hAnsiTheme="majorHAnsi"/>
        </w:rPr>
      </w:pPr>
      <w:r w:rsidRPr="000D3F3D">
        <w:rPr>
          <w:rFonts w:asciiTheme="majorHAnsi" w:hAnsiTheme="majorHAnsi"/>
        </w:rPr>
        <w:t xml:space="preserve">The </w:t>
      </w:r>
      <w:r w:rsidR="00F23192">
        <w:rPr>
          <w:rFonts w:asciiTheme="majorHAnsi" w:hAnsiTheme="majorHAnsi"/>
        </w:rPr>
        <w:t>IGO Work Track will review and analyze all Public Comments received on this Initial Report, following which it will prepare its draft final recommendations for a formal consensus call in accordance with the GNSO’s Working Group Guidelines. The group’s final recommendations will be submitted to the GNSO Council as a Final Report.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5" w:name="_Toc80093203"/>
      <w:r>
        <w:rPr>
          <w:rFonts w:asciiTheme="majorHAnsi" w:hAnsiTheme="majorHAnsi"/>
        </w:rPr>
        <w:lastRenderedPageBreak/>
        <w:t xml:space="preserve">Relevant Process &amp; Issue </w:t>
      </w:r>
      <w:r w:rsidR="008C5C31">
        <w:rPr>
          <w:rFonts w:asciiTheme="majorHAnsi" w:hAnsiTheme="majorHAnsi"/>
        </w:rPr>
        <w:t>Background</w:t>
      </w:r>
      <w:bookmarkEnd w:id="5"/>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27"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28"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29"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6DDB8DC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0"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Governmental Advisory Committee (“GAC”)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3199D28E"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1"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2" w:anchor="202012" w:history="1">
        <w:r w:rsidRPr="00356F8D">
          <w:rPr>
            <w:rStyle w:val="Hyperlink"/>
            <w:rFonts w:asciiTheme="majorHAnsi" w:hAnsiTheme="majorHAnsi"/>
          </w:rPr>
          <w:t>appointed</w:t>
        </w:r>
      </w:hyperlink>
      <w:r>
        <w:rPr>
          <w:rFonts w:asciiTheme="majorHAnsi" w:hAnsiTheme="majorHAnsi"/>
        </w:rPr>
        <w:t xml:space="preserve"> former ICANN Board Director Chris </w:t>
      </w:r>
      <w:proofErr w:type="spellStart"/>
      <w:r>
        <w:rPr>
          <w:rFonts w:asciiTheme="majorHAnsi" w:hAnsiTheme="majorHAnsi"/>
        </w:rPr>
        <w:t>Disspain</w:t>
      </w:r>
      <w:proofErr w:type="spellEnd"/>
      <w:r>
        <w:rPr>
          <w:rFonts w:asciiTheme="majorHAnsi" w:hAnsiTheme="majorHAnsi"/>
        </w:rPr>
        <w:t xml:space="preserve">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4085F6E7" w:rsidR="0050188E" w:rsidRDefault="00356F8D" w:rsidP="008C5C31">
      <w:pPr>
        <w:rPr>
          <w:rFonts w:asciiTheme="majorHAnsi" w:hAnsiTheme="majorHAnsi"/>
        </w:rPr>
      </w:pPr>
      <w:r>
        <w:rPr>
          <w:rFonts w:asciiTheme="majorHAnsi" w:hAnsiTheme="majorHAnsi"/>
        </w:rPr>
        <w:t xml:space="preserve">The </w:t>
      </w:r>
      <w:hyperlink r:id="rId33"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At Large Advisory Committee, the GAC and interested IGOs all appointed </w:t>
      </w:r>
      <w:hyperlink r:id="rId34"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1A443723" w:rsidR="005B7F09" w:rsidRPr="005B7F09" w:rsidRDefault="005B7F09" w:rsidP="005B7F09">
      <w:pPr>
        <w:rPr>
          <w:rFonts w:asciiTheme="majorHAnsi" w:hAnsiTheme="majorHAnsi"/>
        </w:rPr>
      </w:pPr>
      <w:r>
        <w:rPr>
          <w:rFonts w:asciiTheme="majorHAnsi" w:hAnsiTheme="majorHAnsi"/>
        </w:rPr>
        <w:lastRenderedPageBreak/>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for the 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35"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w:t>
      </w:r>
      <w:proofErr w:type="spellStart"/>
      <w:r w:rsidRPr="005B7F09">
        <w:rPr>
          <w:rFonts w:asciiTheme="majorHAnsi" w:hAnsiTheme="majorHAnsi"/>
          <w:i/>
          <w:iCs/>
        </w:rPr>
        <w:t>i</w:t>
      </w:r>
      <w:proofErr w:type="spellEnd"/>
      <w:r w:rsidRPr="005B7F09">
        <w:rPr>
          <w:rFonts w:asciiTheme="majorHAnsi" w:hAnsiTheme="majorHAnsi"/>
          <w:i/>
          <w:iCs/>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w:t>
      </w:r>
      <w:proofErr w:type="gramStart"/>
      <w:r w:rsidRPr="00CF75AF">
        <w:rPr>
          <w:rFonts w:asciiTheme="majorHAnsi" w:hAnsiTheme="majorHAnsi"/>
          <w:i/>
          <w:iCs/>
        </w:rPr>
        <w:t>owner;</w:t>
      </w:r>
      <w:proofErr w:type="gramEnd"/>
      <w:r w:rsidRPr="00CF75AF">
        <w:rPr>
          <w:rFonts w:asciiTheme="majorHAnsi" w:hAnsiTheme="majorHAnsi"/>
          <w:i/>
          <w:iCs/>
        </w:rPr>
        <w:t xml:space="preserve">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lastRenderedPageBreak/>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t xml:space="preserve">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w:t>
      </w:r>
      <w:proofErr w:type="gramStart"/>
      <w:r w:rsidRPr="005B7F09">
        <w:rPr>
          <w:rFonts w:asciiTheme="majorHAnsi" w:hAnsiTheme="majorHAnsi"/>
          <w:i/>
          <w:iCs/>
        </w:rPr>
        <w:t>UDRP</w:t>
      </w:r>
      <w:proofErr w:type="gramEnd"/>
      <w:r w:rsidRPr="005B7F09">
        <w:rPr>
          <w:rFonts w:asciiTheme="majorHAnsi" w:hAnsiTheme="majorHAnsi"/>
          <w:i/>
          <w:iCs/>
        </w:rPr>
        <w:t xml:space="preserve">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w:t>
      </w:r>
      <w:r w:rsidR="00CF75AF">
        <w:rPr>
          <w:rFonts w:asciiTheme="majorHAnsi" w:hAnsiTheme="majorHAnsi"/>
        </w:rPr>
        <w:lastRenderedPageBreak/>
        <w:t xml:space="preserve">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6C7DB9F2"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75994EC8" w:rsidR="008C5C31" w:rsidRPr="00EF0F82" w:rsidRDefault="008C5C31" w:rsidP="008C5C31">
      <w:pPr>
        <w:pStyle w:val="Heading1"/>
        <w:rPr>
          <w:rFonts w:asciiTheme="majorHAnsi" w:hAnsiTheme="majorHAnsi"/>
        </w:rPr>
      </w:pPr>
      <w:bookmarkStart w:id="6" w:name="_Toc80093204"/>
      <w:r>
        <w:rPr>
          <w:rFonts w:asciiTheme="majorHAnsi" w:hAnsiTheme="majorHAnsi"/>
        </w:rPr>
        <w:lastRenderedPageBreak/>
        <w:t>Approach Taken by the Work</w:t>
      </w:r>
      <w:r w:rsidR="00CF75AF">
        <w:rPr>
          <w:rFonts w:asciiTheme="majorHAnsi" w:hAnsiTheme="majorHAnsi"/>
        </w:rPr>
        <w:t xml:space="preserve"> Track</w:t>
      </w:r>
      <w:bookmarkEnd w:id="6"/>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15704977" w:rsidR="00326FA3" w:rsidRPr="00326FA3" w:rsidRDefault="004610DE" w:rsidP="00326FA3">
      <w:pPr>
        <w:rPr>
          <w:rFonts w:asciiTheme="majorHAnsi" w:hAnsiTheme="majorHAnsi"/>
        </w:rPr>
      </w:pPr>
      <w:r>
        <w:rPr>
          <w:rFonts w:asciiTheme="majorHAnsi" w:hAnsiTheme="majorHAnsi"/>
        </w:rPr>
        <w:t xml:space="preserve">The IGO Work Track held its first meeting in February 2021. Recordings and transcripts of the group’s discussions can be found on the IGO Work Track </w:t>
      </w:r>
      <w:hyperlink r:id="rId36"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5B2391E7"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he W</w:t>
      </w:r>
      <w:r w:rsidR="004C4175">
        <w:rPr>
          <w:rFonts w:asciiTheme="majorHAnsi" w:hAnsiTheme="majorHAnsi"/>
        </w:rPr>
        <w:t>ork Track</w:t>
      </w:r>
      <w:r w:rsidR="00326FA3" w:rsidRPr="00326FA3">
        <w:rPr>
          <w:rFonts w:asciiTheme="majorHAnsi" w:hAnsiTheme="majorHAnsi"/>
        </w:rPr>
        <w:t xml:space="preserve"> prepared a </w:t>
      </w:r>
      <w:r>
        <w:rPr>
          <w:rFonts w:asciiTheme="majorHAnsi" w:hAnsiTheme="majorHAnsi"/>
        </w:rPr>
        <w:t>[WORK PLAN LINK]</w:t>
      </w:r>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IGO Work Track Chair and the GNSO Council liaison to the Work Track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4FE8B01" w:rsidR="008C5C31" w:rsidRPr="003819D1" w:rsidRDefault="005B0AA7" w:rsidP="008C5C31">
      <w:pPr>
        <w:pStyle w:val="Heading3"/>
        <w:rPr>
          <w:rFonts w:asciiTheme="majorHAnsi" w:hAnsiTheme="majorHAnsi"/>
        </w:rPr>
      </w:pPr>
      <w:r>
        <w:rPr>
          <w:rFonts w:asciiTheme="majorHAnsi" w:hAnsiTheme="majorHAnsi"/>
        </w:rPr>
        <w:t>W</w:t>
      </w:r>
      <w:r w:rsidR="004610DE">
        <w:rPr>
          <w:rFonts w:asciiTheme="majorHAnsi" w:hAnsiTheme="majorHAnsi"/>
        </w:rPr>
        <w:t>ork Track</w:t>
      </w:r>
      <w:r>
        <w:rPr>
          <w:rFonts w:asciiTheme="majorHAnsi" w:hAnsiTheme="majorHAnsi"/>
        </w:rPr>
        <w:t xml:space="preserve"> Membership and Attendance</w:t>
      </w:r>
    </w:p>
    <w:p w14:paraId="4F1E8130" w14:textId="77777777" w:rsidR="00EF0F82" w:rsidRDefault="00EF0F82" w:rsidP="008C5C31">
      <w:pPr>
        <w:rPr>
          <w:rFonts w:asciiTheme="majorHAnsi" w:hAnsiTheme="majorHAnsi"/>
        </w:rPr>
      </w:pPr>
    </w:p>
    <w:p w14:paraId="3237267B" w14:textId="3393FB5A" w:rsidR="008C5C31" w:rsidRDefault="005B0AA7" w:rsidP="008C5C31">
      <w:pPr>
        <w:rPr>
          <w:rFonts w:asciiTheme="majorHAnsi" w:hAnsiTheme="majorHAnsi"/>
        </w:rPr>
      </w:pPr>
      <w:r w:rsidRPr="005B0AA7">
        <w:rPr>
          <w:rFonts w:asciiTheme="majorHAnsi" w:hAnsiTheme="majorHAnsi"/>
        </w:rPr>
        <w:t xml:space="preserve">The members of the </w:t>
      </w:r>
      <w:r w:rsidR="004610DE">
        <w:rPr>
          <w:rFonts w:asciiTheme="majorHAnsi" w:hAnsiTheme="majorHAnsi"/>
        </w:rPr>
        <w:t xml:space="preserve">IGO Work Track </w:t>
      </w:r>
      <w:r w:rsidRPr="005B0AA7">
        <w:rPr>
          <w:rFonts w:asciiTheme="majorHAnsi" w:hAnsiTheme="majorHAnsi"/>
        </w:rPr>
        <w:t>are:</w:t>
      </w:r>
      <w:r w:rsidR="008C5C31" w:rsidRPr="003819D1">
        <w:rPr>
          <w:rFonts w:asciiTheme="majorHAnsi" w:hAnsiTheme="majorHAnsi"/>
        </w:rPr>
        <w:t xml:space="preserve"> </w:t>
      </w:r>
      <w:r w:rsidR="004610DE">
        <w:rPr>
          <w:rFonts w:asciiTheme="majorHAnsi" w:hAnsiTheme="majorHAnsi"/>
        </w:rPr>
        <w:t>[INSERT LIST]</w:t>
      </w:r>
    </w:p>
    <w:p w14:paraId="03E9A5EB" w14:textId="77777777" w:rsidR="00C00DD6" w:rsidRDefault="00C00DD6" w:rsidP="008C5C31">
      <w:pPr>
        <w:rPr>
          <w:rFonts w:asciiTheme="majorHAnsi" w:hAnsiTheme="majorHAnsi"/>
        </w:rPr>
      </w:pPr>
    </w:p>
    <w:p w14:paraId="358ED9F9" w14:textId="45A5F049" w:rsidR="00234A02" w:rsidRPr="00234A02" w:rsidRDefault="00234A02" w:rsidP="00234A02">
      <w:pPr>
        <w:rPr>
          <w:rFonts w:asciiTheme="majorHAnsi" w:hAnsiTheme="majorHAnsi"/>
        </w:rPr>
      </w:pPr>
      <w:r w:rsidRPr="00234A02">
        <w:rPr>
          <w:rFonts w:asciiTheme="majorHAnsi" w:hAnsiTheme="majorHAnsi"/>
        </w:rPr>
        <w:t xml:space="preserve">The Statements of Interest of the </w:t>
      </w:r>
      <w:r w:rsidR="004610DE">
        <w:rPr>
          <w:rFonts w:asciiTheme="majorHAnsi" w:hAnsiTheme="majorHAnsi"/>
        </w:rPr>
        <w:t>Work Track</w:t>
      </w:r>
      <w:r w:rsidRPr="00234A02">
        <w:rPr>
          <w:rFonts w:asciiTheme="majorHAnsi" w:hAnsiTheme="majorHAnsi"/>
        </w:rPr>
        <w:t xml:space="preserve"> members can be found at</w:t>
      </w:r>
      <w:r>
        <w:rPr>
          <w:rFonts w:asciiTheme="majorHAnsi" w:hAnsiTheme="majorHAnsi"/>
        </w:rPr>
        <w:t xml:space="preserve"> [</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444D08BD" w14:textId="77777777" w:rsidR="00234A02" w:rsidRPr="00234A02" w:rsidRDefault="00234A02" w:rsidP="00234A02">
      <w:pPr>
        <w:rPr>
          <w:rFonts w:asciiTheme="majorHAnsi" w:hAnsiTheme="majorHAnsi"/>
        </w:rPr>
      </w:pPr>
    </w:p>
    <w:p w14:paraId="5A5507FC" w14:textId="3756B5C4" w:rsidR="00234A02" w:rsidRPr="00234A02" w:rsidRDefault="00234A02" w:rsidP="00234A02">
      <w:pPr>
        <w:rPr>
          <w:rFonts w:asciiTheme="majorHAnsi" w:hAnsiTheme="majorHAnsi"/>
        </w:rPr>
      </w:pPr>
      <w:r w:rsidRPr="00234A02">
        <w:rPr>
          <w:rFonts w:asciiTheme="majorHAnsi" w:hAnsiTheme="majorHAnsi"/>
        </w:rPr>
        <w:t xml:space="preserve">The </w:t>
      </w:r>
      <w:r w:rsidR="004610DE">
        <w:rPr>
          <w:rFonts w:asciiTheme="majorHAnsi" w:hAnsiTheme="majorHAnsi"/>
        </w:rPr>
        <w:t xml:space="preserve">group’s </w:t>
      </w:r>
      <w:r w:rsidRPr="00234A02">
        <w:rPr>
          <w:rFonts w:asciiTheme="majorHAnsi" w:hAnsiTheme="majorHAnsi"/>
        </w:rPr>
        <w:t xml:space="preserve">attendance records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004610DE">
        <w:rPr>
          <w:rFonts w:asciiTheme="majorHAnsi" w:hAnsiTheme="majorHAnsi"/>
        </w:rPr>
        <w:t xml:space="preserve"> and its</w:t>
      </w:r>
      <w:r w:rsidRPr="00234A02">
        <w:rPr>
          <w:rFonts w:asciiTheme="majorHAnsi" w:hAnsiTheme="majorHAnsi"/>
        </w:rPr>
        <w:t xml:space="preserve"> email archives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0B2039C6" w14:textId="77777777" w:rsidR="00234A02" w:rsidRPr="00234A02" w:rsidRDefault="00234A02" w:rsidP="00234A02">
      <w:pPr>
        <w:rPr>
          <w:rFonts w:asciiTheme="majorHAnsi" w:hAnsiTheme="majorHAnsi"/>
        </w:rPr>
      </w:pPr>
    </w:p>
    <w:p w14:paraId="6E5511A1" w14:textId="77777777" w:rsidR="00234A02" w:rsidRPr="00234A02" w:rsidRDefault="00234A02" w:rsidP="00234A02">
      <w:pPr>
        <w:rPr>
          <w:rFonts w:asciiTheme="majorHAnsi" w:hAnsiTheme="majorHAnsi"/>
        </w:rPr>
      </w:pPr>
      <w:r w:rsidRPr="00234A02">
        <w:rPr>
          <w:rFonts w:asciiTheme="majorHAnsi" w:hAnsiTheme="majorHAnsi"/>
        </w:rPr>
        <w:t>* The following are the ICANN SO/ACs and GNSO Stakeholder Groups and Constituencies for which WG members provided affiliations:</w:t>
      </w:r>
    </w:p>
    <w:p w14:paraId="439B49EF" w14:textId="77777777" w:rsidR="00234A02" w:rsidRPr="00234A02" w:rsidRDefault="00234A02" w:rsidP="00234A02">
      <w:pPr>
        <w:rPr>
          <w:rFonts w:asciiTheme="majorHAnsi" w:hAnsiTheme="majorHAnsi"/>
        </w:rPr>
      </w:pPr>
    </w:p>
    <w:p w14:paraId="72F66F7E" w14:textId="19634B45"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7B87E726" w14:textId="7E8569CD" w:rsidR="00DF22A3" w:rsidRPr="00814FFF" w:rsidRDefault="00DF22A3" w:rsidP="00974948">
      <w:pPr>
        <w:pStyle w:val="Heading1"/>
        <w:rPr>
          <w:rFonts w:ascii="Calibri" w:hAnsi="Calibri" w:cs="Calibri"/>
        </w:rPr>
      </w:pPr>
      <w:bookmarkStart w:id="7" w:name="_Toc80093205"/>
      <w:r w:rsidRPr="00814FFF">
        <w:rPr>
          <w:rFonts w:ascii="Calibri" w:hAnsi="Calibri" w:cs="Calibri"/>
        </w:rPr>
        <w:lastRenderedPageBreak/>
        <w:t>Annex A</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7"/>
    </w:p>
    <w:p w14:paraId="27BB9C8F" w14:textId="77777777" w:rsidR="00DF22A3" w:rsidRPr="003819D1" w:rsidRDefault="00DF22A3" w:rsidP="00DF22A3">
      <w:pPr>
        <w:rPr>
          <w:rFonts w:asciiTheme="majorHAnsi" w:hAnsiTheme="majorHAnsi"/>
        </w:rPr>
      </w:pPr>
    </w:p>
    <w:p w14:paraId="6371E83F" w14:textId="08349CB6" w:rsidR="00463AB0" w:rsidRDefault="00463AB0" w:rsidP="00DF22A3">
      <w:pPr>
        <w:rPr>
          <w:rFonts w:asciiTheme="majorHAnsi" w:hAnsiTheme="majorHAnsi"/>
        </w:rPr>
      </w:pPr>
      <w:r>
        <w:rPr>
          <w:rFonts w:asciiTheme="majorHAnsi" w:hAnsiTheme="majorHAnsi"/>
        </w:rPr>
        <w:t xml:space="preserve"> [</w:t>
      </w:r>
      <w:r w:rsidR="004610DE">
        <w:rPr>
          <w:rFonts w:asciiTheme="majorHAnsi" w:hAnsiTheme="majorHAnsi"/>
        </w:rPr>
        <w:t>INSERT ADDENDUM TEXT</w:t>
      </w:r>
      <w:r>
        <w:rPr>
          <w:rFonts w:asciiTheme="majorHAnsi" w:hAnsiTheme="majorHAnsi"/>
        </w:rPr>
        <w:t>]</w:t>
      </w:r>
    </w:p>
    <w:p w14:paraId="2B68002F" w14:textId="523F87C5" w:rsidR="00463AB0" w:rsidRDefault="00463AB0" w:rsidP="002C4A83">
      <w:pPr>
        <w:rPr>
          <w:rFonts w:asciiTheme="majorHAnsi" w:hAnsiTheme="majorHAnsi"/>
        </w:rPr>
      </w:pPr>
    </w:p>
    <w:sectPr w:rsidR="00463AB0" w:rsidSect="005003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A68BA76" w14:textId="01CFCF88" w:rsidR="003E04F9" w:rsidRDefault="003E04F9">
      <w:pPr>
        <w:pStyle w:val="CommentText"/>
      </w:pPr>
      <w:r>
        <w:rPr>
          <w:rStyle w:val="CommentReference"/>
        </w:rPr>
        <w:annotationRef/>
      </w:r>
      <w:r>
        <w:t>If the GNSO Council approves an EPDP, we’ll update these references throughout the document and add a brief note to the Procedural Background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68BA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68BA76" w16cid:durableId="24C61B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F1754" w14:textId="77777777" w:rsidR="00AA50CE" w:rsidRDefault="00AA50CE" w:rsidP="00124409">
      <w:r>
        <w:separator/>
      </w:r>
    </w:p>
    <w:p w14:paraId="77FEEEB8" w14:textId="77777777" w:rsidR="00AA50CE" w:rsidRDefault="00AA50CE"/>
  </w:endnote>
  <w:endnote w:type="continuationSeparator" w:id="0">
    <w:p w14:paraId="7ABCA2DD" w14:textId="77777777" w:rsidR="00AA50CE" w:rsidRDefault="00AA50CE" w:rsidP="00124409">
      <w:r>
        <w:continuationSeparator/>
      </w:r>
    </w:p>
    <w:p w14:paraId="31C0EBD3" w14:textId="77777777" w:rsidR="00AA50CE" w:rsidRDefault="00AA5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翿"/>
    <w:panose1 w:val="020B0600040502020204"/>
    <w:charset w:val="00"/>
    <w:family w:val="swiss"/>
    <w:pitch w:val="variable"/>
    <w:sig w:usb0="E1000AEF" w:usb1="5000A1FF" w:usb2="00000000" w:usb3="00000000" w:csb0="000001BF" w:csb1="00000000"/>
  </w:font>
  <w:font w:name="Times">
    <w:altName w:val="﷽﷽﷽﷽﷽﷽잀㊫즋"/>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C758" w14:textId="77777777" w:rsidR="00C340A7" w:rsidRDefault="00C340A7" w:rsidP="00842E2E">
    <w:pPr>
      <w:jc w:val="right"/>
    </w:pPr>
    <w:r w:rsidRPr="00124409">
      <w:rPr>
        <w:noProof/>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65YzgEAAHkDAAAOAAAAZHJzL2Uyb0RvYy54bWysU9uO2yAQfa/Uf0C8N3YuXUVWnNUq2+3L&#13;&#10;to2U7QdMANtoMYOAxM7fdyCX3bZvVV8QzJw5nDkDq/uxN+yofNBoaz6dlJwpK1Bq29b858vTpyVn&#13;&#10;IYKVYNCqmp9U4Pfrjx9Wg6vUDDs0UnlGJDZUg6t5F6OriiKITvUQJuiUpWSDvodIR98W0sNA7L0p&#13;&#10;ZmV5VwzopfMoVAgUfTwn+TrzN40S8UfTBBWZqTlpi3n1ed2ntVivoGo9uE6Liwz4BxU9aEuX3qge&#13;&#10;IQI7eP0XVa+Fx4BNnAjsC2waLVTugbqZln90s+vAqdwLmRPczabw/2jF9+PWMy1rfseZhZ5GtIse&#13;&#10;dNtFtkFryUD0bD5NRg0uVITf2K1PrYrR7twzitfALG46sK3Kgl9OjlhyRfFbSToER9fth28oCQOH&#13;&#10;iNm1sfF9oiQ/2JiHc7oNR42RCQoulovpbEEzFNdcAdW10PkQvyrsWdrU3GibfIMKjs8hknSCXiEp&#13;&#10;bPFJG5Nnbywbaj5fTssyVwQ0WqZswgXf7jfGsyOk5/Mwn30+t0WZ9zCPByszW6dAfrnsI2hz3tPt&#13;&#10;xpKIqwFnK/coT1ufxKU4zTfLvLzF9IDenzPq7cesfwEAAP//AwBQSwMEFAAGAAgAAAAhADbajYfj&#13;&#10;AAAADwEAAA8AAABkcnMvZG93bnJldi54bWxMT01PwzAMvSPxHyIjcdvSrQzWruk0gVAlDkMMDhyz&#13;&#10;1msLjVMlWdfx6zESElxs2X5+H9l6NJ0Y0PnWkoLZNAKBVNqqpVrB2+vjZAnCB02V7iyhgjN6WOeX&#13;&#10;F5lOK3uiFxx2oRZMQj7VCpoQ+lRKXzZotJ/aHolvB+uMDjy6WlZOn5jcdHIeRbfS6JZYodE93jdY&#13;&#10;fu6ORgHebA6FGYtkiJ/cdvl8/nLF+4dS11fjw4rLZgUi4Bj+PuAnA/uHnI3t7ZEqLzoFkyRhJPdZ&#13;&#10;HINgwN1ivgCx/93IPJP/c+TfAAAA//8DAFBLAQItABQABgAIAAAAIQC2gziS/gAAAOEBAAATAAAA&#13;&#10;AAAAAAAAAAAAAAAAAABbQ29udGVudF9UeXBlc10ueG1sUEsBAi0AFAAGAAgAAAAhADj9If/WAAAA&#13;&#10;lAEAAAsAAAAAAAAAAAAAAAAALwEAAF9yZWxzLy5yZWxzUEsBAi0AFAAGAAgAAAAhAK1HrljOAQAA&#13;&#10;eQMAAA4AAAAAAAAAAAAAAAAALgIAAGRycy9lMm9Eb2MueG1sUEsBAi0AFAAGAAgAAAAhADbajYfj&#13;&#10;AAAADwEAAA8AAAAAAAAAAAAAAAAAKAQAAGRycy9kb3ducmV2LnhtbFBLBQYAAAAABAAEAPMAAAA4&#13;&#10;BQ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MaA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q+XVNiWIcz&#13;&#10;OgdgqmkDOVpj0EELBIPoVO98iQlHc4KolQ/m7J4t/+oxlv0QjAfvRtggoYtwFEuG5PxtcV4MgXC8&#13;&#10;3O52my3Oh8+hjJVzngMf3gvbkbipqFYmesJKdn32ITKzcobEa21Ij2p2RZ4nmLda1U9K6xj00FyO&#13;&#10;GsiV4XsotpvduyIKwxIvYHjSJqJFekATy11S2oWbFiPdJyHRQBSxHvni0xULCeNcmDCzaIPomCax&#13;&#10;oSVxavRPiRP+3tWSXPydddQxM1sTluROGQu/KxCGuWU54qcJ+1F3tOBi69sJ5tHj+0w+Tn8pfoCX&#13;&#10;55R+//GH7wA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BlCMaA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sidR="00DC054B">
      <w:rPr>
        <w:noProof/>
      </w:rPr>
      <w:t>31</w:t>
    </w:r>
    <w:r>
      <w:fldChar w:fldCharType="end"/>
    </w:r>
    <w:r>
      <w:t xml:space="preserve"> of </w:t>
    </w:r>
    <w:r w:rsidR="00AA50CE">
      <w:fldChar w:fldCharType="begin"/>
    </w:r>
    <w:r w:rsidR="00AA50CE">
      <w:instrText xml:space="preserve"> NUMPAGES </w:instrText>
    </w:r>
    <w:r w:rsidR="00AA50CE">
      <w:fldChar w:fldCharType="separate"/>
    </w:r>
    <w:r w:rsidR="00DC054B">
      <w:rPr>
        <w:noProof/>
      </w:rPr>
      <w:t>31</w:t>
    </w:r>
    <w:r w:rsidR="00AA50C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5FFC" w14:textId="519EB291" w:rsidR="00C340A7" w:rsidRDefault="00C340A7" w:rsidP="006C41CA">
    <w:pPr>
      <w:pStyle w:val="FootnoteText"/>
    </w:pPr>
    <w:r w:rsidRPr="00B207E3">
      <w:t xml:space="preserve">This </w:t>
    </w:r>
    <w:r w:rsidR="009D7D56">
      <w:t>Initial</w:t>
    </w:r>
    <w:r w:rsidRPr="00B207E3">
      <w:t xml:space="preserve">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EB80"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mQ1zwEAAHoDAAAOAAAAZHJzL2Uyb0RvYy54bWysU9uO2yAQfa/Uf0C8N7aTdBtZcVZVttuX&#13;&#10;bRspux8wAWyjYgYBiZO/70Au3bZvq74g5nY4c2ZY3h8Hww7KB4224dWk5ExZgVLbruEvz48fFpyF&#13;&#10;CFaCQasaflKB36/ev1uOrlZT7NFI5RmB2FCPruF9jK4uiiB6NUCYoFOWgi36ASKZviukh5HQB1NM&#13;&#10;y/KuGNFL51GoEMj7cA7yVcZvWyXij7YNKjLTcOIW8+nzuUtnsVpC3XlwvRYXGvAGFgNoS4/eoB4g&#13;&#10;Att7/Q/UoIXHgG2cCBwKbFstVO6BuqnKv7rZ9uBU7oXECe4mU/h/sOL7YeOZlg2/+8SZhYFmtI0e&#13;&#10;dNdHtkZrSUH0bFYlpUYXaipY241PvYqj3bonFD8Ds7juwXYqM34+OULJFcUfJckIjt7bjd9QUg7s&#13;&#10;I2bZjq0fEiQJwo55OqfbdNQxMkHO+WJeTec0RHGNFVBfC50P8avCgaVLw422STio4fAUIlGn1GtK&#13;&#10;clt81Mbk4RvLxobPFlVZ5oqARssUTXnBd7u18ewAaX8+z6Yfz21R5HWax72VGa1XIL9c7hG0Od/p&#13;&#10;dWOJxFWAs5Q7lKeNT+SSnwacaV6WMW3Qaztn/f4yq18AAAD//wMAUEsDBBQABgAIAAAAIQA22o2H&#13;&#10;4wAAAA8BAAAPAAAAZHJzL2Rvd25yZXYueG1sTE9NT8MwDL0j8R8iI3Hb0q0M1q7pNIFQJQ5DDA4c&#13;&#10;s9ZrC41TJVnX8esxEhJcbNl+fh/ZejSdGND51pKC2TQCgVTaqqVawdvr42QJwgdNle4soYIzeljn&#13;&#10;lxeZTit7ohccdqEWTEI+1QqaEPpUSl82aLSf2h6JbwfrjA48ulpWTp+Y3HRyHkW30uiWWKHRPd43&#13;&#10;WH7ujkYB3mwOhRmLZIif3Hb5fP5yxfuHUtdX48OKy2YFIuAY/j7gJwP7h5yN7e2RKi86BZMkYST3&#13;&#10;WRyDYMDdYr4Asf/dyDyT/3Pk3wAAAP//AwBQSwECLQAUAAYACAAAACEAtoM4kv4AAADhAQAAEwAA&#13;&#10;AAAAAAAAAAAAAAAAAAAAW0NvbnRlbnRfVHlwZXNdLnhtbFBLAQItABQABgAIAAAAIQA4/SH/1gAA&#13;&#10;AJQBAAALAAAAAAAAAAAAAAAAAC8BAABfcmVscy8ucmVsc1BLAQItABQABgAIAAAAIQCIgmQ1zwEA&#13;&#10;AHoDAAAOAAAAAAAAAAAAAAAAAC4CAABkcnMvZTJvRG9jLnhtbFBLAQItABQABgAIAAAAIQA22o2H&#13;&#10;4wAAAA8BAAAPAAAAAAAAAAAAAAAAACkEAABkcnMvZG93bnJldi54bWxQSwUGAAAAAAQABADzAAAA&#13;&#10;OQU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ahO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pucFKGdTij&#13;&#10;cwCmmjaQozUGHbRAMIhO9c6XmHA0J4ha+WDO7tnyrx5j2Q/BePBuhA0SughHsWRIzt8W58UQCMfL&#13;&#10;7W632eJ8+BzKWDnnOfDhvbAdiZuKamWiJ6xk12cfIjMrZ0i81ob0FX27K/I8wbzVqn5SWsegh+Zy&#13;&#10;1ECuDN9Dsd3s3hVRGJZ4AcOTNhEt0gOaWO6S0i7ctBjpPgmJBqKI9cgXn65YSBjnwoSZRRtExzSJ&#13;&#10;DS2JU6N/Spzw966W5OLvrKOOmdmasCR3ylj4XYEwzC3LET9N2I+6owUXW99OMI8e32fycfpL8QO8&#13;&#10;PKf0+48/fAc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CigahO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AA50CE">
      <w:fldChar w:fldCharType="begin"/>
    </w:r>
    <w:r w:rsidR="00AA50CE">
      <w:instrText xml:space="preserve"> NUMPAGES </w:instrText>
    </w:r>
    <w:r w:rsidR="00AA50CE">
      <w:fldChar w:fldCharType="separate"/>
    </w:r>
    <w:r>
      <w:rPr>
        <w:noProof/>
      </w:rPr>
      <w:t>23</w:t>
    </w:r>
    <w:r w:rsidR="00AA50CE">
      <w:rPr>
        <w:noProof/>
      </w:rPr>
      <w:fldChar w:fldCharType="end"/>
    </w:r>
  </w:p>
  <w:p w14:paraId="582A695C" w14:textId="77777777" w:rsidR="00C340A7" w:rsidRPr="000B7FAB" w:rsidRDefault="00C340A7"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0FC96" w14:textId="77777777" w:rsidR="00AA50CE" w:rsidRPr="001907AB" w:rsidRDefault="00AA50CE" w:rsidP="00124409">
      <w:pPr>
        <w:rPr>
          <w:color w:val="0A3251"/>
        </w:rPr>
      </w:pPr>
      <w:r w:rsidRPr="001907AB">
        <w:rPr>
          <w:color w:val="0A3251"/>
        </w:rPr>
        <w:separator/>
      </w:r>
    </w:p>
    <w:p w14:paraId="2176EC66" w14:textId="77777777" w:rsidR="00AA50CE" w:rsidRDefault="00AA50CE"/>
  </w:footnote>
  <w:footnote w:type="continuationSeparator" w:id="0">
    <w:p w14:paraId="427D0902" w14:textId="77777777" w:rsidR="00AA50CE" w:rsidRPr="001907AB" w:rsidRDefault="00AA50CE" w:rsidP="00124409">
      <w:pPr>
        <w:rPr>
          <w:color w:val="0A3251"/>
        </w:rPr>
      </w:pPr>
      <w:r w:rsidRPr="001907AB">
        <w:rPr>
          <w:color w:val="0A3251"/>
        </w:rPr>
        <w:continuationSeparator/>
      </w:r>
    </w:p>
    <w:p w14:paraId="51CF75E8" w14:textId="77777777" w:rsidR="00AA50CE" w:rsidRDefault="00AA50CE"/>
  </w:footnote>
  <w:footnote w:type="continuationNotice" w:id="1">
    <w:p w14:paraId="3C3E23A2" w14:textId="77777777" w:rsidR="00AA50CE" w:rsidRDefault="00AA50CE"/>
    <w:p w14:paraId="36E9D96A" w14:textId="77777777" w:rsidR="00AA50CE" w:rsidRDefault="00AA50CE"/>
  </w:footnote>
  <w:footnote w:id="2">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3">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4">
    <w:p w14:paraId="65B74A0E" w14:textId="32535225" w:rsidR="00AD64F1" w:rsidRDefault="00AD64F1">
      <w:pPr>
        <w:pStyle w:val="FootnoteText"/>
      </w:pPr>
      <w:r>
        <w:rPr>
          <w:rStyle w:val="FootnoteReference"/>
        </w:rPr>
        <w:footnoteRef/>
      </w:r>
      <w:r>
        <w:t xml:space="preserve"> See [INSERT RELEVANT EARLY GOOGLE DOC] for details of the proposed appeal process that the IGO Work Track considered.</w:t>
      </w:r>
    </w:p>
  </w:footnote>
  <w:footnote w:id="5">
    <w:p w14:paraId="708EE357" w14:textId="23588413" w:rsidR="00AD64F1" w:rsidRDefault="00AD64F1">
      <w:pPr>
        <w:pStyle w:val="FootnoteText"/>
      </w:pPr>
      <w:r>
        <w:rPr>
          <w:rStyle w:val="FootnoteReference"/>
        </w:rPr>
        <w:footnoteRef/>
      </w:r>
      <w:r>
        <w:t xml:space="preserve"> See Section 2.1.2 for the full set of elements recommended by the Work Track for the arbitral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AF0" w14:textId="24FD68AF" w:rsidR="00C340A7" w:rsidRPr="007B7451" w:rsidRDefault="00C340A7" w:rsidP="00A85F66">
    <w:pPr>
      <w:tabs>
        <w:tab w:val="center" w:pos="7800"/>
      </w:tabs>
    </w:pPr>
    <w:r>
      <w:rPr>
        <w:noProof/>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rFXzgEAAHkDAAAOAAAAZHJzL2Uyb0RvYy54bWysU9tu2zAMfR+wfxD0vtjO1psRp8DSdS/d&#13;&#10;GiDdBzCSbAuTRUFSYufvRymXdd3bsBdBFMnDw0NqcT8Nhu2VDxptw6tZyZmyAqW2XcN/vDx+uOUs&#13;&#10;RLASDFrV8IMK/H75/t1idLWaY49GKs8IxIZ6dA3vY3R1UQTRqwHCDJ2y5GzRDxDJ9F0hPYyEPphi&#13;&#10;XpbXxYheOo9ChUCvD0cnX2b8tlUiPrdtUJGZhhO3mE+fz206i+UC6s6D67U40YB/YDGAtlT0AvUA&#13;&#10;EdjO67+gBi08BmzjTOBQYNtqoXIP1E1Vvulm04NTuRcSJ7iLTOH/wYrv+7VnWjb8ijMLA41oEz3o&#13;&#10;ro9shdaSgOhZdZOEGl2oKX5l1z61Kia7cU8ofgZmcdWD7VQm/HJwhFKljOKPlGQER+W24zeUFAO7&#13;&#10;iFm1qfVDgiQ92JSHc7gMR02RCXqsPt6VZUUsxdlXQH1OdD7ErwoHli4NN9om3aCG/VOIiQjU55D0&#13;&#10;bPFRG5NnbywbGz6/+lSWOSOg0TJ5U1zw3XZlPNsDrU91c337+dgWeV6HedxZmdF6BfLL6R5Bm+Od&#13;&#10;qht7UiMJcJRyi/Kw9meVaL6Z5mkX0wK9tnP27x+z/AUAAP//AwBQSwMEFAAGAAgAAAAhAOazAAzj&#13;&#10;AAAADgEAAA8AAABkcnMvZG93bnJldi54bWxMj09PwzAMxe9IfIfISNxYQsWq0TWdqiEEBzisQ9o1&#13;&#10;bbKmI39Kk3bdt8eIA1ws2X5+fr98M1tDJjWEzjsO9wsGRLnGy861HD72z3crICEKJ4XxTnG4qACb&#13;&#10;4voqF5n0Z7dTUxVbgiYuZIKDjrHPKA2NVlaEhe+Vw93RD1ZEbIeWykGc0dwamjCWUis6hx+06NVW&#13;&#10;q+azGi2Hw0j1i0m+jhf2+la+76eqPpVbzm9v5qc1lnINJKo5/l3ADwPmhwKD1X50MhDDIV2yFKUc&#13;&#10;HhIEQ8EqfVwCqX8HtMjpf4ziGwAA//8DAFBLAQItABQABgAIAAAAIQC2gziS/gAAAOEBAAATAAAA&#13;&#10;AAAAAAAAAAAAAAAAAABbQ29udGVudF9UeXBlc10ueG1sUEsBAi0AFAAGAAgAAAAhADj9If/WAAAA&#13;&#10;lAEAAAsAAAAAAAAAAAAAAAAALwEAAF9yZWxzLy5yZWxzUEsBAi0AFAAGAAgAAAAhAOJGsVfOAQAA&#13;&#10;eQMAAA4AAAAAAAAAAAAAAAAALgIAAGRycy9lMm9Eb2MueG1sUEsBAi0AFAAGAAgAAAAhAOazAAzj&#13;&#10;AAAADgEAAA8AAAAAAAAAAAAAAAAAKAQAAGRycy9kb3ducmV2LnhtbFBLBQYAAAAABAAEAPMAAAA4&#13;&#10;BQ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0ge5wEAADAEAAAOAAAAZHJzL2Uyb0RvYy54bWysU9tu2zAMfR+wfxD0vthJt3Yw4hRDiu6l&#13;&#10;2Ipl+wBFlmJhkihQWuL8/Sg5drsLUGDYiyCKPCTPIbW+HZxlR4XRgG/5clFzpryEzvhDy799vX/z&#13;&#10;nrOYhO+EBa9aflaR325ev1qfQqNW0IPtFDJK4mNzCi3vUwpNVUXZKyfiAoLy5NSATiQy8VB1KE6U&#13;&#10;3dlqVdfX1QmwCwhSxUivd6OTb0p+rZVMn7WOKjHbcuotlRPLuc9ntVmL5oAi9EZe2hD/0IUTxlPR&#13;&#10;OdWdSIL9QPNHKmckQgSdFhJcBVobqQoHYrOsf2Oz60VQhQuJE8MsU/x/aeWn4yMy09HsrjnzwtGM&#13;&#10;dgmFOfSJbcF7UhCQkZOUOoXYEGDrHzFzlYPfhQeQ3yP5ql+c2YhhDBs0uhxOZNlQlD/PyqshMUmP&#13;&#10;b5c3N/UVDUhOvko0EzBgTB8VOJYvLbfGZ1FEI44PMeXSoplC8rP1+YxgTXdvrC0GHvZbi+wo8hp8&#13;&#10;uFq9W2Y+BHwWRtYIVWVvLrmfmJRbOls1FvmiNOlGva9KM2Vj1VxESKl8mqpYT9EZpqmhGVi/DLzE&#13;&#10;Z+jY1QxevgyeEaUy+DSDnfGAf0uQhqllPcZfBhtH3lmCPXTnR5wmTmtZdLx8obz3z+0Cf/rom58A&#13;&#10;AAD//wMAUEsDBBQABgAIAAAAIQCEPzQI4wAAAA0BAAAPAAAAZHJzL2Rvd25yZXYueG1sTE9NS8NA&#13;&#10;EL0L/odlBG/tpkVjm2ZTqkGlIIKtCt622TEJZmdjdtPEf++IB70MzLw37yNdj7YRR+x87UjBbBqB&#13;&#10;QCqcqalU8Ly/nSxA+KDJ6MYRKvhCD+vs9CTViXEDPeFxF0rBIuQTraAKoU2k9EWFVvupa5EYe3ed&#13;&#10;1YHXrpSm0wOL20bOoyiWVtfEDpVu8abC4mPXWwXDY/657K+3m9e3h22c343+pb73Sp2fjfmKx2YF&#13;&#10;IuAY/j7gpwPnh4yDHVxPxotGweRqzkwFF7MlCMbjyygGcfg9yCyV/1tk3wAAAP//AwBQSwECLQAU&#13;&#10;AAYACAAAACEAtoM4kv4AAADhAQAAEwAAAAAAAAAAAAAAAAAAAAAAW0NvbnRlbnRfVHlwZXNdLnht&#13;&#10;bFBLAQItABQABgAIAAAAIQA4/SH/1gAAAJQBAAALAAAAAAAAAAAAAAAAAC8BAABfcmVscy8ucmVs&#13;&#10;c1BLAQItABQABgAIAAAAIQA790ge5wEAADAEAAAOAAAAAAAAAAAAAAAAAC4CAABkcnMvZTJvRG9j&#13;&#10;LnhtbFBLAQItABQABgAIAAAAIQCEPzQI4wAAAA0BAAAPAAAAAAAAAAAAAAAAAEEEAABkcnMvZG93&#13;&#10;bnJldi54bWxQSwUGAAAAAAQABADzAAAAUQUAAAAA&#13;&#10;" strokecolor="#0a3251" strokeweight="2pt">
              <o:lock v:ext="edit" shapetype="f"/>
            </v:line>
          </w:pict>
        </mc:Fallback>
      </mc:AlternateContent>
    </w:r>
    <w:r w:rsidR="000A4AA4">
      <w:t xml:space="preserve">IGO Work Track </w:t>
    </w:r>
    <w:r>
      <w:t>Initial Report</w:t>
    </w:r>
    <w:r>
      <w:tab/>
      <w:t xml:space="preserve">Date: </w:t>
    </w:r>
    <w:r>
      <w:fldChar w:fldCharType="begin"/>
    </w:r>
    <w:r>
      <w:instrText xml:space="preserve"> TIME \@ "d MMMM yyyy" </w:instrText>
    </w:r>
    <w:r>
      <w:fldChar w:fldCharType="separate"/>
    </w:r>
    <w:r w:rsidR="003E04F9">
      <w:rPr>
        <w:noProof/>
      </w:rPr>
      <w:t>17 August 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9152" w14:textId="202F9EF3"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6VOzgEAAHoDAAAOAAAAZHJzL2Uyb0RvYy54bWysU9tu2zAMfR+wfxD0vtjO1psRp8DSdS/d&#13;&#10;GiDdBzCSbAuTRUFSYufvRymXdd3bsBdBFMnDw0NqcT8Nhu2VDxptw6tZyZmyAqW2XcN/vDx+uOUs&#13;&#10;RLASDFrV8IMK/H75/t1idLWaY49GKs8IxIZ6dA3vY3R1UQTRqwHCDJ2y5GzRDxDJ9F0hPYyEPphi&#13;&#10;XpbXxYheOo9ChUCvD0cnX2b8tlUiPrdtUJGZhhO3mE+fz206i+UC6s6D67U40YB/YDGAtlT0AvUA&#13;&#10;EdjO67+gBi08BmzjTOBQYNtqoXIP1E1Vvulm04NTuRcSJ7iLTOH/wYrv+7VnWtLsrjizMNCMNtGD&#13;&#10;7vrIVmgtKYieVTdJqdGFmhJWdu1Tr2KyG/eE4mdgFlc92E5lxi8HRyhVyij+SElGcFRvO35DSTGw&#13;&#10;i5hlm1o/JEgShE15OofLdNQUmaDH6uNdWSaW4uwroD4nOh/iV4UDS5eGG22TcFDD/inERATqc0h6&#13;&#10;tviojcnDN5aNDZ9ffSrLnBHQaJm8KS74brsynu2B9qe6ub79fGyLPK/DPO6szGi9AvnldI+gzfFO&#13;&#10;1Y09qZEEOEq5RXlY+7NKNOBM87SMaYNe2zn795dZ/gIAAP//AwBQSwMEFAAGAAgAAAAhAOazAAzj&#13;&#10;AAAADgEAAA8AAABkcnMvZG93bnJldi54bWxMj09PwzAMxe9IfIfISNxYQsWq0TWdqiEEBzisQ9o1&#13;&#10;bbKmI39Kk3bdt8eIA1ws2X5+fr98M1tDJjWEzjsO9wsGRLnGy861HD72z3crICEKJ4XxTnG4qACb&#13;&#10;4voqF5n0Z7dTUxVbgiYuZIKDjrHPKA2NVlaEhe+Vw93RD1ZEbIeWykGc0dwamjCWUis6hx+06NVW&#13;&#10;q+azGi2Hw0j1i0m+jhf2+la+76eqPpVbzm9v5qc1lnINJKo5/l3ADwPmhwKD1X50MhDDIV2yFKUc&#13;&#10;HhIEQ8EqfVwCqX8HtMjpf4ziGwAA//8DAFBLAQItABQABgAIAAAAIQC2gziS/gAAAOEBAAATAAAA&#13;&#10;AAAAAAAAAAAAAAAAAABbQ29udGVudF9UeXBlc10ueG1sUEsBAi0AFAAGAAgAAAAhADj9If/WAAAA&#13;&#10;lAEAAAsAAAAAAAAAAAAAAAAALwEAAF9yZWxzLy5yZWxzUEsBAi0AFAAGAAgAAAAhAHt3pU7OAQAA&#13;&#10;egMAAA4AAAAAAAAAAAAAAAAALgIAAGRycy9lMm9Eb2MueG1sUEsBAi0AFAAGAAgAAAAhAOazAAzj&#13;&#10;AAAADgEAAA8AAAAAAAAAAAAAAAAAKAQAAGRycy9kb3ducmV2LnhtbFBLBQYAAAAABAAEAPMAAAA4&#13;&#10;BQ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ZxE5gEAADAEAAAOAAAAZHJzL2Uyb0RvYy54bWysU9tu2zAMfR+wfxD0vthOt2Uw4hRDiu6l&#13;&#10;2IKl+wBFlmxhuoHSYufvR8mx212AAsNeBFHkIXkOqe3taDQ5CwjK2YZWq5ISYblrle0a+u3x/s0H&#13;&#10;SkJktmXaWdHQiwj0dvf61XbwtVi73ulWAMEkNtSDb2gfo6+LIvBeGBZWzguLTunAsIgmdEULbMDs&#13;&#10;RhfrsnxfDA5aD46LEPD1bnLSXc4vpeDxi5RBRKIbir3FfEI+T+ksdltWd8B8r/i1DfYPXRimLBZd&#13;&#10;Ut2xyMgPUH+kMoqDC07GFXemcFIqLjIHZFOVv7E59syLzAXFCX6RKfy/tPzz+QBEtTi7DSWWGZzR&#13;&#10;MQJTXR/J3lmLCjog6ESlBh9qBOztARJXPtqjf3D8e0Bf8YszGcFPYaMEk8KRLBmz8pdFeTFGwvHx&#13;&#10;bbXZlDc4ID77ClbPQA8hfhLOkHRpqFY2icJqdn4IMZVm9RySnrVNZ3BatfdK62xAd9prIGeW1uDj&#13;&#10;zfpdlfgg8FkYWhNU5L255n5ikm/xosVU5KuQqBv2vs7N5I0VSxHGubBxrqItRieYxIYWYPky8Bqf&#13;&#10;oFNXC7h6GbwgcmVn4wI2yjr4W4I4zi3LKf462DDxThKcXHs5wDxxXMus4/ULpb1/bmf400ff/QQA&#13;&#10;AP//AwBQSwMEFAAGAAgAAAAhAIQ/NAjjAAAADQEAAA8AAABkcnMvZG93bnJldi54bWxMT01Lw0AQ&#13;&#10;vQv+h2UEb+2mRWObZlOqQaUggq0K3rbZMQlmZ2N208R/74gHvQzMvDfvI12PthFH7HztSMFsGoFA&#13;&#10;KpypqVTwvL+dLED4oMnoxhEq+EIP6+z0JNWJcQM94XEXSsEi5BOtoAqhTaT0RYVW+6lrkRh7d53V&#13;&#10;gdeulKbTA4vbRs6jKJZW18QOlW7xpsLiY9dbBcNj/rnsr7eb17eHbZzfjf6lvvdKnZ+N+YrHZgUi&#13;&#10;4Bj+PuCnA+eHjIMdXE/Gi0bB5GrOTAUXsyUIxuPLKAZx+D3ILJX/W2TfAAAA//8DAFBLAQItABQA&#13;&#10;BgAIAAAAIQC2gziS/gAAAOEBAAATAAAAAAAAAAAAAAAAAAAAAABbQ29udGVudF9UeXBlc10ueG1s&#13;&#10;UEsBAi0AFAAGAAgAAAAhADj9If/WAAAAlAEAAAsAAAAAAAAAAAAAAAAALwEAAF9yZWxzLy5yZWxz&#13;&#10;UEsBAi0AFAAGAAgAAAAhANZZnETmAQAAMAQAAA4AAAAAAAAAAAAAAAAALgIAAGRycy9lMm9Eb2Mu&#13;&#10;eG1sUEsBAi0AFAAGAAgAAAAhAIQ/NAjjAAAADQEAAA8AAAAAAAAAAAAAAAAAQAQAAGRycy9kb3du&#13;&#10;cmV2LnhtbFBLBQYAAAAABAAEAPMAAABQBQ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3E04F9">
      <w:rPr>
        <w:noProof/>
      </w:rPr>
      <w:t>17 August 2021</w:t>
    </w:r>
    <w:r>
      <w:fldChar w:fldCharType="end"/>
    </w:r>
  </w:p>
  <w:p w14:paraId="6331CBAE" w14:textId="77777777" w:rsidR="00C340A7" w:rsidRDefault="00C340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0"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5"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2"/>
  </w:num>
  <w:num w:numId="5">
    <w:abstractNumId w:val="3"/>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4"/>
  </w:num>
  <w:num w:numId="12">
    <w:abstractNumId w:val="2"/>
  </w:num>
  <w:num w:numId="13">
    <w:abstractNumId w:val="0"/>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6"/>
  </w:num>
  <w:num w:numId="18">
    <w:abstractNumId w:val="5"/>
    <w:lvlOverride w:ilvl="0">
      <w:lvl w:ilvl="0">
        <w:numFmt w:val="upperLetter"/>
        <w:lvlText w:val="%1."/>
        <w:lvlJc w:val="left"/>
      </w:lvl>
    </w:lvlOverride>
  </w:num>
  <w:num w:numId="19">
    <w:abstractNumId w:val="1"/>
  </w:num>
  <w:num w:numId="20">
    <w:abstractNumId w:val="11"/>
  </w:num>
  <w:num w:numId="21">
    <w:abstractNumId w:val="18"/>
  </w:num>
  <w:num w:numId="22">
    <w:abstractNumId w:val="17"/>
  </w:num>
  <w:num w:numId="23">
    <w:abstractNumId w:val="7"/>
  </w:num>
  <w:num w:numId="24">
    <w:abstractNumId w:val="10"/>
  </w:num>
  <w:num w:numId="25">
    <w:abstractNumId w:val="6"/>
  </w:num>
  <w:num w:numId="26">
    <w:abstractNumId w:val="13"/>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63"/>
    <w:rsid w:val="0003340A"/>
    <w:rsid w:val="000367B4"/>
    <w:rsid w:val="00046C9F"/>
    <w:rsid w:val="00053B91"/>
    <w:rsid w:val="000558C4"/>
    <w:rsid w:val="00063289"/>
    <w:rsid w:val="00094F55"/>
    <w:rsid w:val="000A4AA4"/>
    <w:rsid w:val="000A5D00"/>
    <w:rsid w:val="000A6E00"/>
    <w:rsid w:val="000A7253"/>
    <w:rsid w:val="000B6C20"/>
    <w:rsid w:val="000B7FAB"/>
    <w:rsid w:val="000C0391"/>
    <w:rsid w:val="000C75B3"/>
    <w:rsid w:val="000D2C3A"/>
    <w:rsid w:val="000D3F3D"/>
    <w:rsid w:val="000E4E05"/>
    <w:rsid w:val="000F0F9D"/>
    <w:rsid w:val="000F55A4"/>
    <w:rsid w:val="00112AF1"/>
    <w:rsid w:val="001243F1"/>
    <w:rsid w:val="00124409"/>
    <w:rsid w:val="00127E6B"/>
    <w:rsid w:val="001402CC"/>
    <w:rsid w:val="00140481"/>
    <w:rsid w:val="0014170F"/>
    <w:rsid w:val="001519C5"/>
    <w:rsid w:val="00160E93"/>
    <w:rsid w:val="0016397B"/>
    <w:rsid w:val="001716EF"/>
    <w:rsid w:val="001907AB"/>
    <w:rsid w:val="00193C42"/>
    <w:rsid w:val="001B103A"/>
    <w:rsid w:val="001C6378"/>
    <w:rsid w:val="001C724D"/>
    <w:rsid w:val="001D61DA"/>
    <w:rsid w:val="001D6D3E"/>
    <w:rsid w:val="001F06C8"/>
    <w:rsid w:val="00200C17"/>
    <w:rsid w:val="00227FE9"/>
    <w:rsid w:val="00234A02"/>
    <w:rsid w:val="00247464"/>
    <w:rsid w:val="00256F17"/>
    <w:rsid w:val="00261F20"/>
    <w:rsid w:val="0029430A"/>
    <w:rsid w:val="002B14B7"/>
    <w:rsid w:val="002C4A83"/>
    <w:rsid w:val="002E04DE"/>
    <w:rsid w:val="002E2759"/>
    <w:rsid w:val="002F004E"/>
    <w:rsid w:val="00305B79"/>
    <w:rsid w:val="003061D0"/>
    <w:rsid w:val="00320CF3"/>
    <w:rsid w:val="00322430"/>
    <w:rsid w:val="00326937"/>
    <w:rsid w:val="00326FA3"/>
    <w:rsid w:val="0033418D"/>
    <w:rsid w:val="00334C04"/>
    <w:rsid w:val="00356F8D"/>
    <w:rsid w:val="003646D8"/>
    <w:rsid w:val="003756F6"/>
    <w:rsid w:val="003819D1"/>
    <w:rsid w:val="00383D2B"/>
    <w:rsid w:val="0038592B"/>
    <w:rsid w:val="003946DC"/>
    <w:rsid w:val="003C6B68"/>
    <w:rsid w:val="003D05AB"/>
    <w:rsid w:val="003D1B6F"/>
    <w:rsid w:val="003D7CDC"/>
    <w:rsid w:val="003E04F9"/>
    <w:rsid w:val="003E15BC"/>
    <w:rsid w:val="003E5E3F"/>
    <w:rsid w:val="003F4681"/>
    <w:rsid w:val="00402C50"/>
    <w:rsid w:val="004319A9"/>
    <w:rsid w:val="00453090"/>
    <w:rsid w:val="00456149"/>
    <w:rsid w:val="004610DE"/>
    <w:rsid w:val="00463AB0"/>
    <w:rsid w:val="00475AC9"/>
    <w:rsid w:val="004762E2"/>
    <w:rsid w:val="004801A4"/>
    <w:rsid w:val="004A05F8"/>
    <w:rsid w:val="004A2920"/>
    <w:rsid w:val="004C0B81"/>
    <w:rsid w:val="004C3DE0"/>
    <w:rsid w:val="004C3FF5"/>
    <w:rsid w:val="004C4175"/>
    <w:rsid w:val="004E05F5"/>
    <w:rsid w:val="004E3178"/>
    <w:rsid w:val="004E5FD1"/>
    <w:rsid w:val="004F1BFE"/>
    <w:rsid w:val="00500314"/>
    <w:rsid w:val="0050188E"/>
    <w:rsid w:val="00507EA6"/>
    <w:rsid w:val="00511602"/>
    <w:rsid w:val="005219F2"/>
    <w:rsid w:val="0053109B"/>
    <w:rsid w:val="005464E9"/>
    <w:rsid w:val="00553AB8"/>
    <w:rsid w:val="00557846"/>
    <w:rsid w:val="00564698"/>
    <w:rsid w:val="00564F56"/>
    <w:rsid w:val="00587820"/>
    <w:rsid w:val="00590847"/>
    <w:rsid w:val="005B0AA7"/>
    <w:rsid w:val="005B0C35"/>
    <w:rsid w:val="005B11DF"/>
    <w:rsid w:val="005B7F09"/>
    <w:rsid w:val="005F38E6"/>
    <w:rsid w:val="005F6B10"/>
    <w:rsid w:val="00607AFB"/>
    <w:rsid w:val="00614D63"/>
    <w:rsid w:val="0063736C"/>
    <w:rsid w:val="006458E7"/>
    <w:rsid w:val="006500AD"/>
    <w:rsid w:val="00650F05"/>
    <w:rsid w:val="00660D45"/>
    <w:rsid w:val="006731B0"/>
    <w:rsid w:val="006C1B17"/>
    <w:rsid w:val="006C41CA"/>
    <w:rsid w:val="006E449C"/>
    <w:rsid w:val="006F23F2"/>
    <w:rsid w:val="006F3163"/>
    <w:rsid w:val="00700AFF"/>
    <w:rsid w:val="00702397"/>
    <w:rsid w:val="00722B24"/>
    <w:rsid w:val="00723098"/>
    <w:rsid w:val="00733F48"/>
    <w:rsid w:val="00736F36"/>
    <w:rsid w:val="00756D57"/>
    <w:rsid w:val="0076032C"/>
    <w:rsid w:val="00763B4F"/>
    <w:rsid w:val="00764F65"/>
    <w:rsid w:val="0077663C"/>
    <w:rsid w:val="007835A0"/>
    <w:rsid w:val="00795E91"/>
    <w:rsid w:val="00797141"/>
    <w:rsid w:val="007A02EF"/>
    <w:rsid w:val="007B3813"/>
    <w:rsid w:val="007B7451"/>
    <w:rsid w:val="007E0B62"/>
    <w:rsid w:val="007E1CE2"/>
    <w:rsid w:val="007F746B"/>
    <w:rsid w:val="007F7CE1"/>
    <w:rsid w:val="00804110"/>
    <w:rsid w:val="00814FFF"/>
    <w:rsid w:val="0082546E"/>
    <w:rsid w:val="00831CA5"/>
    <w:rsid w:val="00842E2E"/>
    <w:rsid w:val="00864447"/>
    <w:rsid w:val="0086734D"/>
    <w:rsid w:val="00876348"/>
    <w:rsid w:val="0087737D"/>
    <w:rsid w:val="008A4D46"/>
    <w:rsid w:val="008B6B1C"/>
    <w:rsid w:val="008C165C"/>
    <w:rsid w:val="008C5C31"/>
    <w:rsid w:val="00900D67"/>
    <w:rsid w:val="00920BCA"/>
    <w:rsid w:val="009316E6"/>
    <w:rsid w:val="0095750F"/>
    <w:rsid w:val="00957767"/>
    <w:rsid w:val="00974948"/>
    <w:rsid w:val="00981112"/>
    <w:rsid w:val="00981899"/>
    <w:rsid w:val="009A0041"/>
    <w:rsid w:val="009B6108"/>
    <w:rsid w:val="009B78AB"/>
    <w:rsid w:val="009C3078"/>
    <w:rsid w:val="009D7D56"/>
    <w:rsid w:val="009F245A"/>
    <w:rsid w:val="00A2580B"/>
    <w:rsid w:val="00A30639"/>
    <w:rsid w:val="00A323FD"/>
    <w:rsid w:val="00A45605"/>
    <w:rsid w:val="00A46437"/>
    <w:rsid w:val="00A55835"/>
    <w:rsid w:val="00A629AC"/>
    <w:rsid w:val="00A7137F"/>
    <w:rsid w:val="00A829E3"/>
    <w:rsid w:val="00A85F66"/>
    <w:rsid w:val="00A93A66"/>
    <w:rsid w:val="00A95ED1"/>
    <w:rsid w:val="00AA0A49"/>
    <w:rsid w:val="00AA50CE"/>
    <w:rsid w:val="00AA707A"/>
    <w:rsid w:val="00AD0780"/>
    <w:rsid w:val="00AD64F1"/>
    <w:rsid w:val="00AE6653"/>
    <w:rsid w:val="00AF7782"/>
    <w:rsid w:val="00B04234"/>
    <w:rsid w:val="00B11C5C"/>
    <w:rsid w:val="00B20D1A"/>
    <w:rsid w:val="00B353FF"/>
    <w:rsid w:val="00B469B1"/>
    <w:rsid w:val="00B52940"/>
    <w:rsid w:val="00B5297F"/>
    <w:rsid w:val="00B755E4"/>
    <w:rsid w:val="00B9293B"/>
    <w:rsid w:val="00BB3635"/>
    <w:rsid w:val="00BE41D3"/>
    <w:rsid w:val="00BE44D6"/>
    <w:rsid w:val="00C00DD6"/>
    <w:rsid w:val="00C05D7F"/>
    <w:rsid w:val="00C2083A"/>
    <w:rsid w:val="00C31597"/>
    <w:rsid w:val="00C340A7"/>
    <w:rsid w:val="00C357A4"/>
    <w:rsid w:val="00C417E8"/>
    <w:rsid w:val="00C46F55"/>
    <w:rsid w:val="00C5178C"/>
    <w:rsid w:val="00C5443C"/>
    <w:rsid w:val="00C60739"/>
    <w:rsid w:val="00C6563B"/>
    <w:rsid w:val="00C730F6"/>
    <w:rsid w:val="00C80496"/>
    <w:rsid w:val="00C95DE6"/>
    <w:rsid w:val="00CA0E16"/>
    <w:rsid w:val="00CB19BE"/>
    <w:rsid w:val="00CD075D"/>
    <w:rsid w:val="00CE46D9"/>
    <w:rsid w:val="00CF22A6"/>
    <w:rsid w:val="00CF567F"/>
    <w:rsid w:val="00CF604F"/>
    <w:rsid w:val="00CF75AF"/>
    <w:rsid w:val="00D07CE4"/>
    <w:rsid w:val="00D20DC9"/>
    <w:rsid w:val="00D226C9"/>
    <w:rsid w:val="00D258E3"/>
    <w:rsid w:val="00D27DEF"/>
    <w:rsid w:val="00D3502B"/>
    <w:rsid w:val="00D53444"/>
    <w:rsid w:val="00D91AF3"/>
    <w:rsid w:val="00D9754A"/>
    <w:rsid w:val="00D976CB"/>
    <w:rsid w:val="00DB603E"/>
    <w:rsid w:val="00DC054B"/>
    <w:rsid w:val="00DC7232"/>
    <w:rsid w:val="00DD2060"/>
    <w:rsid w:val="00DD39AD"/>
    <w:rsid w:val="00DF22A3"/>
    <w:rsid w:val="00DF7563"/>
    <w:rsid w:val="00E03B99"/>
    <w:rsid w:val="00E10241"/>
    <w:rsid w:val="00E23B15"/>
    <w:rsid w:val="00E25C45"/>
    <w:rsid w:val="00E32A8D"/>
    <w:rsid w:val="00E42698"/>
    <w:rsid w:val="00E501B4"/>
    <w:rsid w:val="00E53308"/>
    <w:rsid w:val="00E765C1"/>
    <w:rsid w:val="00E773A3"/>
    <w:rsid w:val="00E86F4D"/>
    <w:rsid w:val="00E96E47"/>
    <w:rsid w:val="00EA28B1"/>
    <w:rsid w:val="00EF0F82"/>
    <w:rsid w:val="00EF7D5B"/>
    <w:rsid w:val="00F100F2"/>
    <w:rsid w:val="00F105BE"/>
    <w:rsid w:val="00F23192"/>
    <w:rsid w:val="00F370CE"/>
    <w:rsid w:val="00F4738C"/>
    <w:rsid w:val="00F713BD"/>
    <w:rsid w:val="00F8527B"/>
    <w:rsid w:val="00F86B9C"/>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D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49"/>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eastAsia="en-US"/>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eastAsia="en-US"/>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lang w:eastAsia="en-US"/>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eastAsia="en-US"/>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eastAsia="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lang w:eastAsia="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eastAsia="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lang w:eastAsia="en-US"/>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lang w:eastAsia="en-US"/>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lang w:eastAsia="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lang w:eastAsia="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eastAsiaTheme="minorEastAsia" w:hAnsi="Times"/>
      <w:sz w:val="20"/>
      <w:szCs w:val="20"/>
      <w:lang w:eastAsia="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eastAsiaTheme="minorEastAsia" w:hAnsi="Source Sans Pro" w:cstheme="minorBidi"/>
      <w:b/>
      <w:bCs/>
      <w:caps/>
      <w:sz w:val="28"/>
      <w:szCs w:val="28"/>
      <w:u w:val="single" w:color="1768B1"/>
      <w:lang w:eastAsia="en-US"/>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lang w:eastAsia="en-US"/>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lang w:eastAsia="en-US"/>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lang w:eastAsia="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lang w:eastAsia="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nso.icann.org/en/council/resolutions/2020" TargetMode="External"/><Relationship Id="rId26" Type="http://schemas.openxmlformats.org/officeDocument/2006/relationships/hyperlink" Target="https://www.un.org/en/ga/about/subsidiary/index.shtml" TargetMode="External"/><Relationship Id="rId21" Type="http://schemas.openxmlformats.org/officeDocument/2006/relationships/footer" Target="footer4.xml"/><Relationship Id="rId34" Type="http://schemas.openxmlformats.org/officeDocument/2006/relationships/hyperlink" Target="https://community.icann.org/display/GNSOIWT/4.+WT+Members+and+mailing+lis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gnso.icann.org/en/council/resolutions/2020" TargetMode="External"/><Relationship Id="rId25" Type="http://schemas.openxmlformats.org/officeDocument/2006/relationships/hyperlink" Target="https://www.un.org/en/about-us/un-system" TargetMode="External"/><Relationship Id="rId33" Type="http://schemas.openxmlformats.org/officeDocument/2006/relationships/hyperlink" Target="https://gnso.icann.org/sites/default/files/file/field-file-attach/rpms-charter-addendum-09jan20-en.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nso.icann.org/sites/default/files/file/field-file-attach/rpms-charter-addendum-09jan20-en.pdf" TargetMode="External"/><Relationship Id="rId20" Type="http://schemas.openxmlformats.org/officeDocument/2006/relationships/header" Target="header2.xml"/><Relationship Id="rId29" Type="http://schemas.openxmlformats.org/officeDocument/2006/relationships/hyperlink" Target="https://gnso.icann.org/en/council/resol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undocs.org/A/INF/75/3" TargetMode="External"/><Relationship Id="rId32" Type="http://schemas.openxmlformats.org/officeDocument/2006/relationships/hyperlink" Target="https://gnso.icann.org/en/council/resolutions/2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mm.icann.org/pipermail/gnso-igo-wt/2021-June/000096.html" TargetMode="External"/><Relationship Id="rId28" Type="http://schemas.openxmlformats.org/officeDocument/2006/relationships/hyperlink" Target="https://gnso.icann.org/en/issues/igo-ingo-crp-access-final-17jul18-en.pdf" TargetMode="External"/><Relationship Id="rId36" Type="http://schemas.openxmlformats.org/officeDocument/2006/relationships/hyperlink" Target="https://community.icann.org/display/GNSOIWT/1.+WT+Meetings" TargetMode="External"/><Relationship Id="rId10" Type="http://schemas.microsoft.com/office/2011/relationships/commentsExtended" Target="commentsExtended.xml"/><Relationship Id="rId19" Type="http://schemas.openxmlformats.org/officeDocument/2006/relationships/hyperlink" Target="https://gnso.icann.org/en/issues/igo-ingo-crp-access-final-17jul18-en.pdf" TargetMode="External"/><Relationship Id="rId31" Type="http://schemas.openxmlformats.org/officeDocument/2006/relationships/hyperlink" Target="https://www.icann.org/en/system/files/files/eoi-igo-work-track-chair-26oct20-en.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community.icann.org/download/attachments/155191789/IGO%20Work%20Track%20Briefing%20Paper%20-%20DRAFT%20-%2027%20Jan%202021.docx?version=1&amp;modificationDate=1628626744106&amp;api=v2" TargetMode="External"/><Relationship Id="rId27" Type="http://schemas.openxmlformats.org/officeDocument/2006/relationships/hyperlink" Target="https://gnso.icann.org/sites/default/files/filefield_45569/igo-ingo-crp-access-charter-24jun14-en.pdf" TargetMode="External"/><Relationship Id="rId30" Type="http://schemas.openxmlformats.org/officeDocument/2006/relationships/hyperlink" Target="https://gnso.icann.org/en/council/resolutions/2020" TargetMode="External"/><Relationship Id="rId35" Type="http://schemas.openxmlformats.org/officeDocument/2006/relationships/hyperlink" Target="https://gnso.icann.org/sites/default/files/filefield_45427/igo-ingo-crp-access-final-25may14-en.pdf"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annex-2-pdp-manual-24oct19-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wong/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22</Pages>
  <Words>6493</Words>
  <Characters>37015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2021-08-17T15:46:00Z</dcterms:created>
  <dcterms:modified xsi:type="dcterms:W3CDTF">2021-08-17T15:46:00Z</dcterms:modified>
</cp:coreProperties>
</file>