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41A5A" w14:textId="77777777" w:rsidR="008A2B96" w:rsidRPr="00BC35CF" w:rsidRDefault="008A2B96">
      <w:pPr>
        <w:pStyle w:val="FormOfficeMemo"/>
        <w:ind w:left="-1080" w:right="-1080"/>
        <w:rPr>
          <w:rFonts w:ascii="Arial" w:hAnsi="Arial" w:cs="Arial"/>
          <w:sz w:val="22"/>
          <w:szCs w:val="22"/>
        </w:rPr>
      </w:pPr>
    </w:p>
    <w:p w14:paraId="56E3D738" w14:textId="77777777" w:rsidR="007E3AA0" w:rsidRPr="00403D16" w:rsidRDefault="001542F8" w:rsidP="00F33449">
      <w:pPr>
        <w:pStyle w:val="FormOfficeMemo"/>
        <w:ind w:left="-1080" w:right="-1080"/>
        <w:jc w:val="center"/>
        <w:rPr>
          <w:rFonts w:ascii="Arial" w:hAnsi="Arial" w:cs="Arial"/>
          <w:sz w:val="28"/>
          <w:szCs w:val="28"/>
        </w:rPr>
      </w:pPr>
      <w:r w:rsidRPr="00403D16">
        <w:rPr>
          <w:rFonts w:ascii="Arial" w:hAnsi="Arial" w:cs="Arial"/>
          <w:sz w:val="28"/>
          <w:szCs w:val="28"/>
        </w:rPr>
        <w:t>MEMORANDUM</w:t>
      </w:r>
    </w:p>
    <w:p w14:paraId="7DC46817" w14:textId="77777777" w:rsidR="007E3AA0" w:rsidRDefault="007E3AA0">
      <w:pPr>
        <w:rPr>
          <w:rFonts w:ascii="Arial" w:hAnsi="Arial" w:cs="Arial"/>
          <w:sz w:val="22"/>
          <w:szCs w:val="22"/>
        </w:rPr>
      </w:pPr>
    </w:p>
    <w:p w14:paraId="00AC0D0F" w14:textId="77777777" w:rsidR="00403D16" w:rsidRPr="00BC35CF" w:rsidRDefault="00403D16">
      <w:pPr>
        <w:rPr>
          <w:rFonts w:ascii="Arial" w:hAnsi="Arial" w:cs="Arial"/>
          <w:sz w:val="22"/>
          <w:szCs w:val="22"/>
        </w:rPr>
      </w:pPr>
    </w:p>
    <w:p w14:paraId="72DA3802" w14:textId="681186D9" w:rsidR="007E3AA0" w:rsidRPr="00BC35CF" w:rsidRDefault="001542F8">
      <w:pPr>
        <w:pStyle w:val="InfoDate"/>
        <w:tabs>
          <w:tab w:val="clear" w:pos="720"/>
          <w:tab w:val="clear" w:pos="1080"/>
          <w:tab w:val="right" w:pos="-360"/>
          <w:tab w:val="left" w:pos="0"/>
        </w:tabs>
        <w:ind w:left="-1080"/>
        <w:rPr>
          <w:rFonts w:ascii="Arial" w:hAnsi="Arial" w:cs="Arial"/>
          <w:szCs w:val="22"/>
        </w:rPr>
      </w:pPr>
      <w:r w:rsidRPr="00BC35CF">
        <w:rPr>
          <w:rFonts w:ascii="Arial" w:hAnsi="Arial" w:cs="Arial"/>
          <w:szCs w:val="22"/>
        </w:rPr>
        <w:tab/>
        <w:t>DATE:</w:t>
      </w:r>
      <w:r w:rsidRPr="00BC35CF">
        <w:rPr>
          <w:rFonts w:ascii="Arial" w:hAnsi="Arial" w:cs="Arial"/>
          <w:szCs w:val="22"/>
        </w:rPr>
        <w:tab/>
      </w:r>
      <w:bookmarkStart w:id="0" w:name="Date"/>
      <w:bookmarkEnd w:id="0"/>
      <w:r w:rsidR="00460889" w:rsidRPr="00BC35CF">
        <w:rPr>
          <w:rFonts w:ascii="Arial" w:hAnsi="Arial" w:cs="Arial"/>
          <w:szCs w:val="22"/>
        </w:rPr>
        <w:fldChar w:fldCharType="begin"/>
      </w:r>
      <w:r w:rsidR="00460889" w:rsidRPr="00BC35CF">
        <w:rPr>
          <w:rFonts w:ascii="Arial" w:hAnsi="Arial" w:cs="Arial"/>
          <w:szCs w:val="22"/>
        </w:rPr>
        <w:instrText xml:space="preserve"> DATE \@ "MMMM d, yyyy" </w:instrText>
      </w:r>
      <w:r w:rsidR="00460889" w:rsidRPr="00BC35CF">
        <w:rPr>
          <w:rFonts w:ascii="Arial" w:hAnsi="Arial" w:cs="Arial"/>
          <w:szCs w:val="22"/>
        </w:rPr>
        <w:fldChar w:fldCharType="separate"/>
      </w:r>
      <w:r w:rsidR="00E002EE">
        <w:rPr>
          <w:rFonts w:ascii="Arial" w:hAnsi="Arial" w:cs="Arial"/>
          <w:noProof/>
          <w:szCs w:val="22"/>
        </w:rPr>
        <w:t>July 12, 2016</w:t>
      </w:r>
      <w:r w:rsidR="00460889" w:rsidRPr="00BC35CF">
        <w:rPr>
          <w:rFonts w:ascii="Arial" w:hAnsi="Arial" w:cs="Arial"/>
          <w:szCs w:val="22"/>
        </w:rPr>
        <w:fldChar w:fldCharType="end"/>
      </w:r>
    </w:p>
    <w:p w14:paraId="38A39618" w14:textId="77777777" w:rsidR="007E3AA0" w:rsidRPr="00BC35CF" w:rsidRDefault="007E3AA0">
      <w:pPr>
        <w:rPr>
          <w:rFonts w:ascii="Arial" w:hAnsi="Arial" w:cs="Arial"/>
          <w:sz w:val="22"/>
          <w:szCs w:val="22"/>
        </w:rPr>
      </w:pPr>
    </w:p>
    <w:p w14:paraId="76C1E9D0" w14:textId="77777777" w:rsidR="007E3AA0" w:rsidRPr="00BC35CF" w:rsidRDefault="001542F8">
      <w:pPr>
        <w:pStyle w:val="InfoTo"/>
        <w:tabs>
          <w:tab w:val="clear" w:pos="720"/>
          <w:tab w:val="clear" w:pos="1080"/>
          <w:tab w:val="right" w:pos="-360"/>
          <w:tab w:val="left" w:pos="0"/>
        </w:tabs>
        <w:ind w:hanging="1260"/>
        <w:rPr>
          <w:rFonts w:ascii="Arial" w:hAnsi="Arial" w:cs="Arial"/>
          <w:szCs w:val="22"/>
        </w:rPr>
      </w:pPr>
      <w:r w:rsidRPr="00BC35CF">
        <w:rPr>
          <w:rFonts w:ascii="Arial" w:hAnsi="Arial" w:cs="Arial"/>
          <w:szCs w:val="22"/>
        </w:rPr>
        <w:tab/>
        <w:t>TO:</w:t>
      </w:r>
      <w:r w:rsidRPr="00BC35CF">
        <w:rPr>
          <w:rFonts w:ascii="Arial" w:hAnsi="Arial" w:cs="Arial"/>
          <w:szCs w:val="22"/>
        </w:rPr>
        <w:tab/>
      </w:r>
      <w:r w:rsidR="00F33449" w:rsidRPr="00BC35CF">
        <w:rPr>
          <w:rFonts w:ascii="Arial" w:hAnsi="Arial" w:cs="Arial"/>
          <w:szCs w:val="22"/>
        </w:rPr>
        <w:t>Mary Wong, ICANN</w:t>
      </w:r>
    </w:p>
    <w:p w14:paraId="0833BB44" w14:textId="77777777" w:rsidR="007E3AA0" w:rsidRPr="00BC35CF" w:rsidRDefault="007E3AA0">
      <w:pPr>
        <w:rPr>
          <w:rFonts w:ascii="Arial" w:hAnsi="Arial" w:cs="Arial"/>
          <w:sz w:val="22"/>
          <w:szCs w:val="22"/>
        </w:rPr>
      </w:pPr>
    </w:p>
    <w:p w14:paraId="43A3C5FE" w14:textId="77777777" w:rsidR="007E3AA0" w:rsidRPr="00BC35CF" w:rsidRDefault="001542F8">
      <w:pPr>
        <w:pStyle w:val="InfoFrom"/>
        <w:tabs>
          <w:tab w:val="clear" w:pos="720"/>
          <w:tab w:val="clear" w:pos="1080"/>
          <w:tab w:val="right" w:pos="-360"/>
          <w:tab w:val="left" w:pos="0"/>
        </w:tabs>
        <w:ind w:left="-1440"/>
        <w:rPr>
          <w:rFonts w:ascii="Arial" w:hAnsi="Arial" w:cs="Arial"/>
          <w:szCs w:val="22"/>
        </w:rPr>
      </w:pPr>
      <w:r w:rsidRPr="00BC35CF">
        <w:rPr>
          <w:rFonts w:ascii="Arial" w:hAnsi="Arial" w:cs="Arial"/>
          <w:szCs w:val="22"/>
        </w:rPr>
        <w:tab/>
        <w:t>FROM:</w:t>
      </w:r>
      <w:r w:rsidRPr="00BC35CF">
        <w:rPr>
          <w:rFonts w:ascii="Arial" w:hAnsi="Arial" w:cs="Arial"/>
          <w:szCs w:val="22"/>
        </w:rPr>
        <w:tab/>
      </w:r>
      <w:r w:rsidR="00F33449" w:rsidRPr="00BC35CF">
        <w:rPr>
          <w:rFonts w:ascii="Arial" w:hAnsi="Arial" w:cs="Arial"/>
          <w:szCs w:val="22"/>
        </w:rPr>
        <w:t>Brian Beckham, WIPO</w:t>
      </w:r>
    </w:p>
    <w:p w14:paraId="7CEF7424" w14:textId="77777777" w:rsidR="00F33449" w:rsidRPr="00BC35CF" w:rsidRDefault="00F33449">
      <w:pPr>
        <w:pStyle w:val="InfoFrom"/>
        <w:tabs>
          <w:tab w:val="clear" w:pos="720"/>
          <w:tab w:val="clear" w:pos="1080"/>
          <w:tab w:val="right" w:pos="-360"/>
          <w:tab w:val="left" w:pos="0"/>
        </w:tabs>
        <w:ind w:left="-1440"/>
        <w:rPr>
          <w:rFonts w:ascii="Arial" w:hAnsi="Arial" w:cs="Arial"/>
          <w:szCs w:val="22"/>
        </w:rPr>
      </w:pPr>
      <w:r w:rsidRPr="00BC35CF">
        <w:rPr>
          <w:rFonts w:ascii="Arial" w:hAnsi="Arial" w:cs="Arial"/>
          <w:szCs w:val="22"/>
        </w:rPr>
        <w:tab/>
      </w:r>
      <w:r w:rsidRPr="00BC35CF">
        <w:rPr>
          <w:rFonts w:ascii="Arial" w:hAnsi="Arial" w:cs="Arial"/>
          <w:szCs w:val="22"/>
        </w:rPr>
        <w:tab/>
        <w:t>Jonathan Passaro, OECD</w:t>
      </w:r>
    </w:p>
    <w:p w14:paraId="0947853D" w14:textId="77777777" w:rsidR="00F33449" w:rsidRPr="00BC35CF" w:rsidRDefault="00F33449">
      <w:pPr>
        <w:pStyle w:val="InfoFrom"/>
        <w:tabs>
          <w:tab w:val="clear" w:pos="720"/>
          <w:tab w:val="clear" w:pos="1080"/>
          <w:tab w:val="right" w:pos="-360"/>
          <w:tab w:val="left" w:pos="0"/>
        </w:tabs>
        <w:ind w:left="-1440"/>
        <w:rPr>
          <w:rFonts w:ascii="Arial" w:hAnsi="Arial" w:cs="Arial"/>
          <w:szCs w:val="22"/>
        </w:rPr>
      </w:pPr>
      <w:r w:rsidRPr="00BC35CF">
        <w:rPr>
          <w:rFonts w:ascii="Arial" w:hAnsi="Arial" w:cs="Arial"/>
          <w:szCs w:val="22"/>
        </w:rPr>
        <w:tab/>
      </w:r>
      <w:r w:rsidRPr="00BC35CF">
        <w:rPr>
          <w:rFonts w:ascii="Arial" w:hAnsi="Arial" w:cs="Arial"/>
          <w:szCs w:val="22"/>
        </w:rPr>
        <w:tab/>
        <w:t>David Satola, World Bank</w:t>
      </w:r>
    </w:p>
    <w:p w14:paraId="17CF27E4" w14:textId="77777777" w:rsidR="007E3AA0" w:rsidRPr="00BC35CF" w:rsidRDefault="007E3AA0">
      <w:pPr>
        <w:rPr>
          <w:rFonts w:ascii="Arial" w:hAnsi="Arial" w:cs="Arial"/>
          <w:sz w:val="22"/>
          <w:szCs w:val="22"/>
        </w:rPr>
      </w:pPr>
    </w:p>
    <w:p w14:paraId="013A082F" w14:textId="2B3F0852" w:rsidR="007E3AA0" w:rsidRPr="00BC35CF" w:rsidRDefault="001542F8" w:rsidP="00F33449">
      <w:pPr>
        <w:pStyle w:val="InfoSubject"/>
        <w:tabs>
          <w:tab w:val="clear" w:pos="720"/>
          <w:tab w:val="clear" w:pos="1080"/>
          <w:tab w:val="right" w:pos="-360"/>
          <w:tab w:val="left" w:pos="0"/>
        </w:tabs>
        <w:ind w:hanging="1080"/>
        <w:rPr>
          <w:rFonts w:ascii="Arial" w:hAnsi="Arial" w:cs="Arial"/>
          <w:szCs w:val="22"/>
          <w:u w:val="none"/>
        </w:rPr>
      </w:pPr>
      <w:r w:rsidRPr="00BC35CF">
        <w:rPr>
          <w:rFonts w:ascii="Arial" w:hAnsi="Arial" w:cs="Arial"/>
          <w:b w:val="0"/>
          <w:szCs w:val="22"/>
          <w:u w:val="none"/>
        </w:rPr>
        <w:tab/>
        <w:t>SUBJECT:</w:t>
      </w:r>
      <w:r w:rsidRPr="00BC35CF">
        <w:rPr>
          <w:rFonts w:ascii="Arial" w:hAnsi="Arial" w:cs="Arial"/>
          <w:b w:val="0"/>
          <w:szCs w:val="22"/>
          <w:u w:val="none"/>
        </w:rPr>
        <w:tab/>
      </w:r>
      <w:r w:rsidR="00F33449" w:rsidRPr="00BC35CF">
        <w:rPr>
          <w:rFonts w:ascii="Arial" w:hAnsi="Arial" w:cs="Arial"/>
          <w:szCs w:val="22"/>
          <w:u w:val="none"/>
        </w:rPr>
        <w:t xml:space="preserve">Comments of Certain IGOs </w:t>
      </w:r>
      <w:r w:rsidR="00816D9D">
        <w:rPr>
          <w:rFonts w:ascii="Arial" w:hAnsi="Arial" w:cs="Arial"/>
          <w:szCs w:val="22"/>
          <w:u w:val="none"/>
        </w:rPr>
        <w:t xml:space="preserve">on </w:t>
      </w:r>
      <w:r w:rsidR="00F33449" w:rsidRPr="00BC35CF">
        <w:rPr>
          <w:rFonts w:ascii="Arial" w:hAnsi="Arial" w:cs="Arial"/>
          <w:szCs w:val="22"/>
          <w:u w:val="none"/>
        </w:rPr>
        <w:t>the memorandum of Prof. E. Swaine regarding “IGO Immunity”</w:t>
      </w:r>
    </w:p>
    <w:p w14:paraId="2A58A8F3" w14:textId="77777777" w:rsidR="00AC53A7" w:rsidRPr="00BC35CF" w:rsidRDefault="00AC53A7">
      <w:pPr>
        <w:pStyle w:val="InfoSubject"/>
        <w:rPr>
          <w:rFonts w:ascii="Arial" w:hAnsi="Arial" w:cs="Arial"/>
          <w:szCs w:val="22"/>
        </w:rPr>
      </w:pPr>
    </w:p>
    <w:p w14:paraId="26563CC2" w14:textId="425AF5C3" w:rsidR="007E3AA0" w:rsidRPr="00BC35CF" w:rsidRDefault="00AC53A7" w:rsidP="00AC53A7">
      <w:pPr>
        <w:pStyle w:val="InfoSubject"/>
        <w:jc w:val="center"/>
        <w:rPr>
          <w:rFonts w:ascii="Arial" w:hAnsi="Arial" w:cs="Arial"/>
          <w:szCs w:val="22"/>
          <w:u w:val="none"/>
        </w:rPr>
      </w:pPr>
      <w:r w:rsidRPr="00BC35CF">
        <w:rPr>
          <w:rFonts w:ascii="Arial" w:hAnsi="Arial" w:cs="Arial"/>
          <w:szCs w:val="22"/>
        </w:rPr>
        <w:t xml:space="preserve">   </w:t>
      </w:r>
      <w:bookmarkStart w:id="1" w:name="_MON_1529398896"/>
      <w:bookmarkEnd w:id="1"/>
      <w:r w:rsidRPr="00BC35CF">
        <w:rPr>
          <w:rFonts w:ascii="Arial" w:hAnsi="Arial" w:cs="Arial"/>
          <w:szCs w:val="22"/>
        </w:rPr>
        <w:object w:dxaOrig="1531" w:dyaOrig="990" w14:anchorId="51F91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8" ShapeID="_x0000_i1025" DrawAspect="Icon" ObjectID="_1529833746" r:id="rId9">
            <o:FieldCodes>\s</o:FieldCodes>
          </o:OLEObject>
        </w:object>
      </w:r>
    </w:p>
    <w:p w14:paraId="5565B295" w14:textId="77777777" w:rsidR="00F33449" w:rsidRPr="00BC35CF" w:rsidRDefault="00F33449">
      <w:pPr>
        <w:pStyle w:val="InfoSubject"/>
        <w:rPr>
          <w:rFonts w:ascii="Arial" w:hAnsi="Arial" w:cs="Arial"/>
          <w:szCs w:val="22"/>
          <w:u w:val="none"/>
        </w:rPr>
      </w:pPr>
    </w:p>
    <w:p w14:paraId="3980E6FE" w14:textId="77777777" w:rsidR="007E3AA0" w:rsidRPr="00BC35CF" w:rsidRDefault="007E3AA0">
      <w:pPr>
        <w:rPr>
          <w:rFonts w:ascii="Arial" w:hAnsi="Arial" w:cs="Arial"/>
          <w:sz w:val="22"/>
          <w:szCs w:val="22"/>
        </w:rPr>
      </w:pPr>
    </w:p>
    <w:p w14:paraId="212A6CCD" w14:textId="2C2EEAF6" w:rsidR="0027294C" w:rsidRDefault="00F33449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  <w:bookmarkStart w:id="2" w:name="Begin"/>
      <w:bookmarkEnd w:id="2"/>
      <w:r w:rsidRPr="00BC35CF">
        <w:rPr>
          <w:rFonts w:ascii="Arial" w:hAnsi="Arial" w:cs="Arial"/>
          <w:sz w:val="22"/>
          <w:szCs w:val="22"/>
        </w:rPr>
        <w:t>The authors of this memorandum attended the meeting of GNSO W</w:t>
      </w:r>
      <w:r w:rsidR="00BC35CF" w:rsidRPr="00BC35CF">
        <w:rPr>
          <w:rFonts w:ascii="Arial" w:hAnsi="Arial" w:cs="Arial"/>
          <w:sz w:val="22"/>
          <w:szCs w:val="22"/>
        </w:rPr>
        <w:t xml:space="preserve">orking </w:t>
      </w:r>
      <w:r w:rsidRPr="00BC35CF">
        <w:rPr>
          <w:rFonts w:ascii="Arial" w:hAnsi="Arial" w:cs="Arial"/>
          <w:sz w:val="22"/>
          <w:szCs w:val="22"/>
        </w:rPr>
        <w:t>G</w:t>
      </w:r>
      <w:r w:rsidR="00BC35CF" w:rsidRPr="00BC35CF">
        <w:rPr>
          <w:rFonts w:ascii="Arial" w:hAnsi="Arial" w:cs="Arial"/>
          <w:sz w:val="22"/>
          <w:szCs w:val="22"/>
        </w:rPr>
        <w:t>roup</w:t>
      </w:r>
      <w:r w:rsidRPr="00BC35CF">
        <w:rPr>
          <w:rFonts w:ascii="Arial" w:hAnsi="Arial" w:cs="Arial"/>
          <w:sz w:val="22"/>
          <w:szCs w:val="22"/>
        </w:rPr>
        <w:t xml:space="preserve"> on “IGO/INGO Curative Rights” on Tuesday June </w:t>
      </w:r>
      <w:r w:rsidR="00BC35CF" w:rsidRPr="00BC35CF">
        <w:rPr>
          <w:rFonts w:ascii="Arial" w:hAnsi="Arial" w:cs="Arial"/>
          <w:sz w:val="22"/>
          <w:szCs w:val="22"/>
        </w:rPr>
        <w:t xml:space="preserve">28, </w:t>
      </w:r>
      <w:r w:rsidRPr="00BC35CF">
        <w:rPr>
          <w:rFonts w:ascii="Arial" w:hAnsi="Arial" w:cs="Arial"/>
          <w:sz w:val="22"/>
          <w:szCs w:val="22"/>
        </w:rPr>
        <w:t>2016 at ICANN 56 in Helsinki.</w:t>
      </w:r>
      <w:r w:rsidR="00AC53A7" w:rsidRPr="00BC35CF">
        <w:rPr>
          <w:rFonts w:ascii="Arial" w:hAnsi="Arial" w:cs="Arial"/>
          <w:sz w:val="22"/>
          <w:szCs w:val="22"/>
        </w:rPr>
        <w:t xml:space="preserve"> </w:t>
      </w:r>
      <w:r w:rsidRPr="00BC35CF">
        <w:rPr>
          <w:rFonts w:ascii="Arial" w:hAnsi="Arial" w:cs="Arial"/>
          <w:sz w:val="22"/>
          <w:szCs w:val="22"/>
        </w:rPr>
        <w:t xml:space="preserve">The memorandum </w:t>
      </w:r>
      <w:r w:rsidR="00AC53A7" w:rsidRPr="00BC35CF">
        <w:rPr>
          <w:rFonts w:ascii="Arial" w:hAnsi="Arial" w:cs="Arial"/>
          <w:sz w:val="22"/>
          <w:szCs w:val="22"/>
        </w:rPr>
        <w:t xml:space="preserve">referred to in the subject line </w:t>
      </w:r>
      <w:r w:rsidRPr="00BC35CF">
        <w:rPr>
          <w:rFonts w:ascii="Arial" w:hAnsi="Arial" w:cs="Arial"/>
          <w:sz w:val="22"/>
          <w:szCs w:val="22"/>
        </w:rPr>
        <w:t xml:space="preserve">was </w:t>
      </w:r>
      <w:r w:rsidR="00AC53A7" w:rsidRPr="00BC35CF">
        <w:rPr>
          <w:rFonts w:ascii="Arial" w:hAnsi="Arial" w:cs="Arial"/>
          <w:sz w:val="22"/>
          <w:szCs w:val="22"/>
        </w:rPr>
        <w:t>discussed at that meeting and is attached</w:t>
      </w:r>
      <w:r w:rsidR="00381E89" w:rsidRPr="00BC35CF">
        <w:rPr>
          <w:rFonts w:ascii="Arial" w:hAnsi="Arial" w:cs="Arial"/>
          <w:sz w:val="22"/>
          <w:szCs w:val="22"/>
        </w:rPr>
        <w:t xml:space="preserve"> (the “</w:t>
      </w:r>
      <w:r w:rsidR="00BC35CF" w:rsidRPr="00BC35CF">
        <w:rPr>
          <w:rFonts w:ascii="Arial" w:hAnsi="Arial" w:cs="Arial"/>
          <w:sz w:val="22"/>
          <w:szCs w:val="22"/>
        </w:rPr>
        <w:t xml:space="preserve">Swaine </w:t>
      </w:r>
      <w:r w:rsidR="00381E89" w:rsidRPr="00BC35CF">
        <w:rPr>
          <w:rFonts w:ascii="Arial" w:hAnsi="Arial" w:cs="Arial"/>
          <w:sz w:val="22"/>
          <w:szCs w:val="22"/>
        </w:rPr>
        <w:t>Memo”)</w:t>
      </w:r>
      <w:r w:rsidR="00AC53A7" w:rsidRPr="00BC35CF">
        <w:rPr>
          <w:rFonts w:ascii="Arial" w:hAnsi="Arial" w:cs="Arial"/>
          <w:sz w:val="22"/>
          <w:szCs w:val="22"/>
        </w:rPr>
        <w:t xml:space="preserve">.  </w:t>
      </w:r>
      <w:r w:rsidR="0027294C" w:rsidRPr="00BC35CF">
        <w:rPr>
          <w:rFonts w:ascii="Arial" w:hAnsi="Arial" w:cs="Arial"/>
          <w:sz w:val="22"/>
          <w:szCs w:val="22"/>
        </w:rPr>
        <w:t xml:space="preserve">The views expressed here </w:t>
      </w:r>
      <w:r w:rsidR="00B6246B" w:rsidRPr="00BC35CF">
        <w:rPr>
          <w:rFonts w:ascii="Arial" w:hAnsi="Arial" w:cs="Arial"/>
          <w:sz w:val="22"/>
          <w:szCs w:val="22"/>
        </w:rPr>
        <w:t xml:space="preserve">are those of the authors and </w:t>
      </w:r>
      <w:r w:rsidR="0027294C" w:rsidRPr="00BC35CF">
        <w:rPr>
          <w:rFonts w:ascii="Arial" w:hAnsi="Arial" w:cs="Arial"/>
          <w:sz w:val="22"/>
          <w:szCs w:val="22"/>
        </w:rPr>
        <w:t xml:space="preserve">may not be shared by all IGO Observers to the GAC and are subject to confirmation by respective management of the </w:t>
      </w:r>
      <w:r w:rsidR="00AC53A7" w:rsidRPr="00BC35CF">
        <w:rPr>
          <w:rFonts w:ascii="Arial" w:hAnsi="Arial" w:cs="Arial"/>
          <w:sz w:val="22"/>
          <w:szCs w:val="22"/>
        </w:rPr>
        <w:t xml:space="preserve">authors’ </w:t>
      </w:r>
      <w:r w:rsidR="0027294C" w:rsidRPr="00BC35CF">
        <w:rPr>
          <w:rFonts w:ascii="Arial" w:hAnsi="Arial" w:cs="Arial"/>
          <w:sz w:val="22"/>
          <w:szCs w:val="22"/>
        </w:rPr>
        <w:t>organizations</w:t>
      </w:r>
      <w:r w:rsidR="00AC53A7" w:rsidRPr="00BC35CF">
        <w:rPr>
          <w:rFonts w:ascii="Arial" w:hAnsi="Arial" w:cs="Arial"/>
          <w:sz w:val="22"/>
          <w:szCs w:val="22"/>
        </w:rPr>
        <w:t>.</w:t>
      </w:r>
    </w:p>
    <w:p w14:paraId="3AFC4DC8" w14:textId="77777777" w:rsidR="00816D9D" w:rsidRPr="00BC35CF" w:rsidRDefault="00816D9D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</w:p>
    <w:p w14:paraId="739CB5BB" w14:textId="3ACEC197" w:rsidR="00AC53A7" w:rsidRDefault="00AC53A7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  <w:r w:rsidRPr="00BC35CF">
        <w:rPr>
          <w:rFonts w:ascii="Arial" w:hAnsi="Arial" w:cs="Arial"/>
          <w:sz w:val="22"/>
          <w:szCs w:val="22"/>
        </w:rPr>
        <w:t>The authors would like to thank the GNSO W</w:t>
      </w:r>
      <w:r w:rsidR="00453F6D">
        <w:rPr>
          <w:rFonts w:ascii="Arial" w:hAnsi="Arial" w:cs="Arial"/>
          <w:sz w:val="22"/>
          <w:szCs w:val="22"/>
        </w:rPr>
        <w:t xml:space="preserve">orking </w:t>
      </w:r>
      <w:r w:rsidRPr="00BC35CF">
        <w:rPr>
          <w:rFonts w:ascii="Arial" w:hAnsi="Arial" w:cs="Arial"/>
          <w:sz w:val="22"/>
          <w:szCs w:val="22"/>
        </w:rPr>
        <w:t>G</w:t>
      </w:r>
      <w:r w:rsidR="00453F6D">
        <w:rPr>
          <w:rFonts w:ascii="Arial" w:hAnsi="Arial" w:cs="Arial"/>
          <w:sz w:val="22"/>
          <w:szCs w:val="22"/>
        </w:rPr>
        <w:t>roup</w:t>
      </w:r>
      <w:r w:rsidRPr="00BC35CF">
        <w:rPr>
          <w:rFonts w:ascii="Arial" w:hAnsi="Arial" w:cs="Arial"/>
          <w:sz w:val="22"/>
          <w:szCs w:val="22"/>
        </w:rPr>
        <w:t xml:space="preserve"> for the invitation to provide</w:t>
      </w:r>
      <w:r w:rsidR="00381E89" w:rsidRPr="00BC35CF">
        <w:rPr>
          <w:rFonts w:ascii="Arial" w:hAnsi="Arial" w:cs="Arial"/>
          <w:sz w:val="22"/>
          <w:szCs w:val="22"/>
        </w:rPr>
        <w:t xml:space="preserve"> comments on the </w:t>
      </w:r>
      <w:r w:rsidR="0079710A">
        <w:rPr>
          <w:rFonts w:ascii="Arial" w:hAnsi="Arial" w:cs="Arial"/>
          <w:sz w:val="22"/>
          <w:szCs w:val="22"/>
        </w:rPr>
        <w:t xml:space="preserve">Swaine </w:t>
      </w:r>
      <w:r w:rsidR="00381E89" w:rsidRPr="00BC35CF">
        <w:rPr>
          <w:rFonts w:ascii="Arial" w:hAnsi="Arial" w:cs="Arial"/>
          <w:sz w:val="22"/>
          <w:szCs w:val="22"/>
        </w:rPr>
        <w:t>M</w:t>
      </w:r>
      <w:r w:rsidRPr="00BC35CF">
        <w:rPr>
          <w:rFonts w:ascii="Arial" w:hAnsi="Arial" w:cs="Arial"/>
          <w:sz w:val="22"/>
          <w:szCs w:val="22"/>
        </w:rPr>
        <w:t xml:space="preserve">emo.  </w:t>
      </w:r>
    </w:p>
    <w:p w14:paraId="7C40B829" w14:textId="77777777" w:rsidR="00816D9D" w:rsidRPr="00BC35CF" w:rsidRDefault="00816D9D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</w:p>
    <w:p w14:paraId="5DF4CF27" w14:textId="693DD0FC" w:rsidR="00381E89" w:rsidRDefault="00381E89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  <w:r w:rsidRPr="00BC35CF">
        <w:rPr>
          <w:rFonts w:ascii="Arial" w:hAnsi="Arial" w:cs="Arial"/>
          <w:sz w:val="22"/>
          <w:szCs w:val="22"/>
        </w:rPr>
        <w:t xml:space="preserve">We would take the opportunity to reiterate that the analysis in the </w:t>
      </w:r>
      <w:r w:rsidR="0079710A">
        <w:rPr>
          <w:rFonts w:ascii="Arial" w:hAnsi="Arial" w:cs="Arial"/>
          <w:sz w:val="22"/>
          <w:szCs w:val="22"/>
        </w:rPr>
        <w:t xml:space="preserve">Swaine </w:t>
      </w:r>
      <w:r w:rsidRPr="00BC35CF">
        <w:rPr>
          <w:rFonts w:ascii="Arial" w:hAnsi="Arial" w:cs="Arial"/>
          <w:sz w:val="22"/>
          <w:szCs w:val="22"/>
        </w:rPr>
        <w:t xml:space="preserve">Memo </w:t>
      </w:r>
      <w:r w:rsidR="00212767" w:rsidRPr="00BC35CF">
        <w:rPr>
          <w:rFonts w:ascii="Arial" w:hAnsi="Arial" w:cs="Arial"/>
          <w:sz w:val="22"/>
          <w:szCs w:val="22"/>
        </w:rPr>
        <w:t xml:space="preserve">of IGO immunities </w:t>
      </w:r>
      <w:r w:rsidRPr="00BC35CF">
        <w:rPr>
          <w:rFonts w:ascii="Arial" w:hAnsi="Arial" w:cs="Arial"/>
          <w:sz w:val="22"/>
          <w:szCs w:val="22"/>
        </w:rPr>
        <w:t>was not requested by the IGOs.  As indicated by the Chair of the W</w:t>
      </w:r>
      <w:r w:rsidR="00453F6D">
        <w:rPr>
          <w:rFonts w:ascii="Arial" w:hAnsi="Arial" w:cs="Arial"/>
          <w:sz w:val="22"/>
          <w:szCs w:val="22"/>
        </w:rPr>
        <w:t xml:space="preserve">orking </w:t>
      </w:r>
      <w:r w:rsidRPr="00BC35CF">
        <w:rPr>
          <w:rFonts w:ascii="Arial" w:hAnsi="Arial" w:cs="Arial"/>
          <w:sz w:val="22"/>
          <w:szCs w:val="22"/>
        </w:rPr>
        <w:t>G</w:t>
      </w:r>
      <w:r w:rsidR="00453F6D">
        <w:rPr>
          <w:rFonts w:ascii="Arial" w:hAnsi="Arial" w:cs="Arial"/>
          <w:sz w:val="22"/>
          <w:szCs w:val="22"/>
        </w:rPr>
        <w:t>roup</w:t>
      </w:r>
      <w:r w:rsidRPr="00BC35CF">
        <w:rPr>
          <w:rFonts w:ascii="Arial" w:hAnsi="Arial" w:cs="Arial"/>
          <w:sz w:val="22"/>
          <w:szCs w:val="22"/>
        </w:rPr>
        <w:t xml:space="preserve"> and in other commentary during the meeting, the context in which the </w:t>
      </w:r>
      <w:r w:rsidR="0079710A">
        <w:rPr>
          <w:rFonts w:ascii="Arial" w:hAnsi="Arial" w:cs="Arial"/>
          <w:sz w:val="22"/>
          <w:szCs w:val="22"/>
        </w:rPr>
        <w:t xml:space="preserve">Swaine </w:t>
      </w:r>
      <w:r w:rsidRPr="00BC35CF">
        <w:rPr>
          <w:rFonts w:ascii="Arial" w:hAnsi="Arial" w:cs="Arial"/>
          <w:sz w:val="22"/>
          <w:szCs w:val="22"/>
        </w:rPr>
        <w:t>Memo was produced was with respect to “curative” rights that IGOs might have in a</w:t>
      </w:r>
      <w:r w:rsidR="00BC35CF" w:rsidRPr="00BC35CF">
        <w:rPr>
          <w:rFonts w:ascii="Arial" w:hAnsi="Arial" w:cs="Arial"/>
          <w:sz w:val="22"/>
          <w:szCs w:val="22"/>
        </w:rPr>
        <w:t>n administrative dispute resolution</w:t>
      </w:r>
      <w:r w:rsidRPr="00BC35CF">
        <w:rPr>
          <w:rFonts w:ascii="Arial" w:hAnsi="Arial" w:cs="Arial"/>
          <w:sz w:val="22"/>
          <w:szCs w:val="22"/>
        </w:rPr>
        <w:t xml:space="preserve"> </w:t>
      </w:r>
      <w:r w:rsidR="00BC35CF" w:rsidRPr="00BC35CF">
        <w:rPr>
          <w:rFonts w:ascii="Arial" w:hAnsi="Arial" w:cs="Arial"/>
          <w:sz w:val="22"/>
          <w:szCs w:val="22"/>
        </w:rPr>
        <w:t>(</w:t>
      </w:r>
      <w:r w:rsidRPr="00BC35CF">
        <w:rPr>
          <w:rFonts w:ascii="Arial" w:hAnsi="Arial" w:cs="Arial"/>
          <w:sz w:val="22"/>
          <w:szCs w:val="22"/>
        </w:rPr>
        <w:t>UDRP</w:t>
      </w:r>
      <w:r w:rsidR="00BC35CF" w:rsidRPr="00BC35CF">
        <w:rPr>
          <w:rFonts w:ascii="Arial" w:hAnsi="Arial" w:cs="Arial"/>
          <w:sz w:val="22"/>
          <w:szCs w:val="22"/>
        </w:rPr>
        <w:t>-like)</w:t>
      </w:r>
      <w:r w:rsidRPr="00BC35CF">
        <w:rPr>
          <w:rFonts w:ascii="Arial" w:hAnsi="Arial" w:cs="Arial"/>
          <w:sz w:val="22"/>
          <w:szCs w:val="22"/>
        </w:rPr>
        <w:t xml:space="preserve"> process.  However, we think it is important to remind the GNSO, in particular, and the wider ICANN community in general, </w:t>
      </w:r>
      <w:r w:rsidR="00F05F6B" w:rsidRPr="00BC35CF">
        <w:rPr>
          <w:rFonts w:ascii="Arial" w:hAnsi="Arial" w:cs="Arial"/>
          <w:sz w:val="22"/>
          <w:szCs w:val="22"/>
        </w:rPr>
        <w:t xml:space="preserve">of </w:t>
      </w:r>
      <w:r w:rsidRPr="00BC35CF">
        <w:rPr>
          <w:rFonts w:ascii="Arial" w:hAnsi="Arial" w:cs="Arial"/>
          <w:sz w:val="22"/>
          <w:szCs w:val="22"/>
        </w:rPr>
        <w:t xml:space="preserve">the broader context of the IGOs’ request for protections of their names and acronyms at the </w:t>
      </w:r>
      <w:r w:rsidR="00792331" w:rsidRPr="00BC35CF">
        <w:rPr>
          <w:rFonts w:ascii="Arial" w:hAnsi="Arial" w:cs="Arial"/>
          <w:sz w:val="22"/>
          <w:szCs w:val="22"/>
        </w:rPr>
        <w:t xml:space="preserve">top </w:t>
      </w:r>
      <w:r w:rsidRPr="00BC35CF">
        <w:rPr>
          <w:rFonts w:ascii="Arial" w:hAnsi="Arial" w:cs="Arial"/>
          <w:sz w:val="22"/>
          <w:szCs w:val="22"/>
        </w:rPr>
        <w:t>and second levels.</w:t>
      </w:r>
    </w:p>
    <w:p w14:paraId="59E5FA2C" w14:textId="77777777" w:rsidR="00816D9D" w:rsidRPr="00BC35CF" w:rsidRDefault="00816D9D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</w:p>
    <w:p w14:paraId="73BBCAD3" w14:textId="6D2E977E" w:rsidR="00BF4381" w:rsidRPr="00BC35CF" w:rsidRDefault="00381E89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  <w:r w:rsidRPr="00BC35CF">
        <w:rPr>
          <w:rFonts w:ascii="Arial" w:hAnsi="Arial" w:cs="Arial"/>
          <w:sz w:val="22"/>
          <w:szCs w:val="22"/>
        </w:rPr>
        <w:t>The IGOs present at the meeting reminded participants that the question of IGO protections first arose out of the “new gTLD” process launched in 2012.</w:t>
      </w:r>
      <w:r w:rsidR="00BC35CF" w:rsidRPr="00BC35CF">
        <w:rPr>
          <w:rFonts w:ascii="Arial" w:hAnsi="Arial" w:cs="Arial"/>
          <w:sz w:val="22"/>
          <w:szCs w:val="22"/>
        </w:rPr>
        <w:t xml:space="preserve"> </w:t>
      </w:r>
      <w:r w:rsidR="00304285" w:rsidRPr="00BC35CF">
        <w:rPr>
          <w:rFonts w:ascii="Arial" w:hAnsi="Arial" w:cs="Arial"/>
          <w:sz w:val="22"/>
          <w:szCs w:val="22"/>
        </w:rPr>
        <w:t xml:space="preserve"> From the outset, the IGOs requested that their names and acronyms be </w:t>
      </w:r>
      <w:r w:rsidR="00CB4AC3">
        <w:rPr>
          <w:rFonts w:ascii="Arial" w:hAnsi="Arial" w:cs="Arial"/>
          <w:sz w:val="22"/>
          <w:szCs w:val="22"/>
        </w:rPr>
        <w:t xml:space="preserve">protected against </w:t>
      </w:r>
      <w:r w:rsidR="00304285" w:rsidRPr="00BC35CF">
        <w:rPr>
          <w:rFonts w:ascii="Arial" w:hAnsi="Arial" w:cs="Arial"/>
          <w:sz w:val="22"/>
          <w:szCs w:val="22"/>
        </w:rPr>
        <w:t xml:space="preserve">their unauthorized use in the domain name system. </w:t>
      </w:r>
      <w:r w:rsidR="00BC35CF" w:rsidRPr="00BC35CF">
        <w:rPr>
          <w:rFonts w:ascii="Arial" w:hAnsi="Arial" w:cs="Arial"/>
          <w:sz w:val="22"/>
          <w:szCs w:val="22"/>
        </w:rPr>
        <w:t xml:space="preserve"> </w:t>
      </w:r>
      <w:r w:rsidR="00304285" w:rsidRPr="00BC35CF">
        <w:rPr>
          <w:rFonts w:ascii="Arial" w:hAnsi="Arial" w:cs="Arial"/>
          <w:sz w:val="22"/>
          <w:szCs w:val="22"/>
        </w:rPr>
        <w:t xml:space="preserve">Governmental Advisory Committee </w:t>
      </w:r>
      <w:r w:rsidR="000F5E59" w:rsidRPr="00BC35CF">
        <w:rPr>
          <w:rFonts w:ascii="Arial" w:hAnsi="Arial" w:cs="Arial"/>
          <w:sz w:val="22"/>
          <w:szCs w:val="22"/>
        </w:rPr>
        <w:t>(</w:t>
      </w:r>
      <w:r w:rsidR="00453F6D">
        <w:rPr>
          <w:rFonts w:ascii="Arial" w:hAnsi="Arial" w:cs="Arial"/>
          <w:sz w:val="22"/>
          <w:szCs w:val="22"/>
        </w:rPr>
        <w:t>“</w:t>
      </w:r>
      <w:r w:rsidR="000F5E59" w:rsidRPr="00BC35CF">
        <w:rPr>
          <w:rFonts w:ascii="Arial" w:hAnsi="Arial" w:cs="Arial"/>
          <w:sz w:val="22"/>
          <w:szCs w:val="22"/>
        </w:rPr>
        <w:t>GAC</w:t>
      </w:r>
      <w:r w:rsidR="00453F6D">
        <w:rPr>
          <w:rFonts w:ascii="Arial" w:hAnsi="Arial" w:cs="Arial"/>
          <w:sz w:val="22"/>
          <w:szCs w:val="22"/>
        </w:rPr>
        <w:t>”</w:t>
      </w:r>
      <w:r w:rsidR="000F5E59" w:rsidRPr="00BC35CF">
        <w:rPr>
          <w:rFonts w:ascii="Arial" w:hAnsi="Arial" w:cs="Arial"/>
          <w:sz w:val="22"/>
          <w:szCs w:val="22"/>
        </w:rPr>
        <w:t xml:space="preserve">) </w:t>
      </w:r>
      <w:r w:rsidR="00BC35CF" w:rsidRPr="00BC35CF">
        <w:rPr>
          <w:rFonts w:ascii="Arial" w:hAnsi="Arial" w:cs="Arial"/>
          <w:sz w:val="22"/>
          <w:szCs w:val="22"/>
        </w:rPr>
        <w:t>A</w:t>
      </w:r>
      <w:r w:rsidR="00304285" w:rsidRPr="00BC35CF">
        <w:rPr>
          <w:rFonts w:ascii="Arial" w:hAnsi="Arial" w:cs="Arial"/>
          <w:sz w:val="22"/>
          <w:szCs w:val="22"/>
        </w:rPr>
        <w:t xml:space="preserve">dvice to the Board endorsed this </w:t>
      </w:r>
      <w:r w:rsidR="00CB4AC3">
        <w:rPr>
          <w:rFonts w:ascii="Arial" w:hAnsi="Arial" w:cs="Arial"/>
          <w:sz w:val="22"/>
          <w:szCs w:val="22"/>
        </w:rPr>
        <w:t xml:space="preserve">policy </w:t>
      </w:r>
      <w:r w:rsidR="00304285" w:rsidRPr="00BC35CF">
        <w:rPr>
          <w:rFonts w:ascii="Arial" w:hAnsi="Arial" w:cs="Arial"/>
          <w:sz w:val="22"/>
          <w:szCs w:val="22"/>
        </w:rPr>
        <w:t>approach</w:t>
      </w:r>
      <w:r w:rsidR="00CB4AC3">
        <w:rPr>
          <w:rFonts w:ascii="Arial" w:hAnsi="Arial" w:cs="Arial"/>
          <w:sz w:val="22"/>
          <w:szCs w:val="22"/>
        </w:rPr>
        <w:t xml:space="preserve"> in part by</w:t>
      </w:r>
      <w:r w:rsidR="00BC35CF" w:rsidRPr="00BC35CF">
        <w:rPr>
          <w:rFonts w:ascii="Arial" w:hAnsi="Arial" w:cs="Arial"/>
          <w:sz w:val="22"/>
          <w:szCs w:val="22"/>
        </w:rPr>
        <w:t xml:space="preserve"> calling for independent third party review of potential conflicts between IGO acronyms and domain name registrations</w:t>
      </w:r>
      <w:r w:rsidR="00304285" w:rsidRPr="00BC35CF">
        <w:rPr>
          <w:rFonts w:ascii="Arial" w:hAnsi="Arial" w:cs="Arial"/>
          <w:sz w:val="22"/>
          <w:szCs w:val="22"/>
        </w:rPr>
        <w:t xml:space="preserve">. </w:t>
      </w:r>
      <w:r w:rsidR="00BC35CF" w:rsidRPr="00BC35CF">
        <w:rPr>
          <w:rFonts w:ascii="Arial" w:hAnsi="Arial" w:cs="Arial"/>
          <w:sz w:val="22"/>
          <w:szCs w:val="22"/>
        </w:rPr>
        <w:t xml:space="preserve"> </w:t>
      </w:r>
      <w:r w:rsidR="00304285" w:rsidRPr="00BC35CF">
        <w:rPr>
          <w:rFonts w:ascii="Arial" w:hAnsi="Arial" w:cs="Arial"/>
          <w:sz w:val="22"/>
          <w:szCs w:val="22"/>
        </w:rPr>
        <w:t>The Board</w:t>
      </w:r>
      <w:r w:rsidR="00CB4AC3">
        <w:rPr>
          <w:rFonts w:ascii="Arial" w:hAnsi="Arial" w:cs="Arial"/>
          <w:sz w:val="22"/>
          <w:szCs w:val="22"/>
        </w:rPr>
        <w:t xml:space="preserve"> agreed to a permanent reserve list for full IGO names in April 2014;</w:t>
      </w:r>
      <w:r w:rsidR="00304285" w:rsidRPr="00BC35CF">
        <w:rPr>
          <w:rFonts w:ascii="Arial" w:hAnsi="Arial" w:cs="Arial"/>
          <w:sz w:val="22"/>
          <w:szCs w:val="22"/>
        </w:rPr>
        <w:t xml:space="preserve"> temporary </w:t>
      </w:r>
      <w:r w:rsidR="00CB4AC3">
        <w:rPr>
          <w:rFonts w:ascii="Arial" w:hAnsi="Arial" w:cs="Arial"/>
          <w:sz w:val="22"/>
          <w:szCs w:val="22"/>
        </w:rPr>
        <w:t xml:space="preserve">reserve list </w:t>
      </w:r>
      <w:r w:rsidR="00304285" w:rsidRPr="00BC35CF">
        <w:rPr>
          <w:rFonts w:ascii="Arial" w:hAnsi="Arial" w:cs="Arial"/>
          <w:sz w:val="22"/>
          <w:szCs w:val="22"/>
        </w:rPr>
        <w:t xml:space="preserve">protections remain in place for </w:t>
      </w:r>
      <w:r w:rsidR="00CB4AC3">
        <w:rPr>
          <w:rFonts w:ascii="Arial" w:hAnsi="Arial" w:cs="Arial"/>
          <w:sz w:val="22"/>
          <w:szCs w:val="22"/>
        </w:rPr>
        <w:t xml:space="preserve">IGO </w:t>
      </w:r>
      <w:r w:rsidR="00304285" w:rsidRPr="00BC35CF">
        <w:rPr>
          <w:rFonts w:ascii="Arial" w:hAnsi="Arial" w:cs="Arial"/>
          <w:sz w:val="22"/>
          <w:szCs w:val="22"/>
        </w:rPr>
        <w:t xml:space="preserve">acronyms. </w:t>
      </w:r>
      <w:r w:rsidR="00BC35CF" w:rsidRPr="00BC35CF">
        <w:rPr>
          <w:rFonts w:ascii="Arial" w:hAnsi="Arial" w:cs="Arial"/>
          <w:sz w:val="22"/>
          <w:szCs w:val="22"/>
        </w:rPr>
        <w:t xml:space="preserve"> </w:t>
      </w:r>
      <w:r w:rsidR="00304285" w:rsidRPr="00BC35CF">
        <w:rPr>
          <w:rFonts w:ascii="Arial" w:hAnsi="Arial" w:cs="Arial"/>
          <w:sz w:val="22"/>
          <w:szCs w:val="22"/>
        </w:rPr>
        <w:t xml:space="preserve">These protections have worked well. </w:t>
      </w:r>
    </w:p>
    <w:p w14:paraId="2B9AC066" w14:textId="6A9032F4" w:rsidR="00212767" w:rsidRPr="00BC35CF" w:rsidRDefault="00212767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</w:p>
    <w:p w14:paraId="6AD3D0C2" w14:textId="17FBD653" w:rsidR="001B1E1C" w:rsidRDefault="00212767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  <w:r w:rsidRPr="00BC35CF">
        <w:rPr>
          <w:rFonts w:ascii="Arial" w:hAnsi="Arial" w:cs="Arial"/>
          <w:sz w:val="22"/>
          <w:szCs w:val="22"/>
        </w:rPr>
        <w:t xml:space="preserve">Subsequent to the GAC’s </w:t>
      </w:r>
      <w:r w:rsidR="00BC35CF" w:rsidRPr="00BC35CF">
        <w:rPr>
          <w:rFonts w:ascii="Arial" w:hAnsi="Arial" w:cs="Arial"/>
          <w:sz w:val="22"/>
          <w:szCs w:val="22"/>
        </w:rPr>
        <w:t>A</w:t>
      </w:r>
      <w:r w:rsidRPr="00BC35CF">
        <w:rPr>
          <w:rFonts w:ascii="Arial" w:hAnsi="Arial" w:cs="Arial"/>
          <w:sz w:val="22"/>
          <w:szCs w:val="22"/>
        </w:rPr>
        <w:t>dvice to the Board, the GNSO commenced two PDPs on the issue</w:t>
      </w:r>
      <w:r w:rsidR="001B1E1C" w:rsidRPr="00BC35CF">
        <w:rPr>
          <w:rFonts w:ascii="Arial" w:hAnsi="Arial" w:cs="Arial"/>
          <w:sz w:val="22"/>
          <w:szCs w:val="22"/>
        </w:rPr>
        <w:t xml:space="preserve"> generally</w:t>
      </w:r>
      <w:r w:rsidRPr="00BC35CF">
        <w:rPr>
          <w:rFonts w:ascii="Arial" w:hAnsi="Arial" w:cs="Arial"/>
          <w:sz w:val="22"/>
          <w:szCs w:val="22"/>
        </w:rPr>
        <w:t xml:space="preserve">, suggesting that the IGOs should </w:t>
      </w:r>
      <w:r w:rsidR="002A4094">
        <w:rPr>
          <w:rFonts w:ascii="Arial" w:hAnsi="Arial" w:cs="Arial"/>
          <w:sz w:val="22"/>
          <w:szCs w:val="22"/>
        </w:rPr>
        <w:t>enjoy only limited</w:t>
      </w:r>
      <w:r w:rsidR="002A4094" w:rsidRPr="00BC35CF">
        <w:rPr>
          <w:rFonts w:ascii="Arial" w:hAnsi="Arial" w:cs="Arial"/>
          <w:sz w:val="22"/>
          <w:szCs w:val="22"/>
        </w:rPr>
        <w:t xml:space="preserve"> </w:t>
      </w:r>
      <w:r w:rsidRPr="00BC35CF">
        <w:rPr>
          <w:rFonts w:ascii="Arial" w:hAnsi="Arial" w:cs="Arial"/>
          <w:sz w:val="22"/>
          <w:szCs w:val="22"/>
        </w:rPr>
        <w:t xml:space="preserve">preventative rights, </w:t>
      </w:r>
      <w:r w:rsidR="002A4094">
        <w:rPr>
          <w:rFonts w:ascii="Arial" w:hAnsi="Arial" w:cs="Arial"/>
          <w:sz w:val="22"/>
          <w:szCs w:val="22"/>
        </w:rPr>
        <w:lastRenderedPageBreak/>
        <w:t xml:space="preserve">with possible resort to </w:t>
      </w:r>
      <w:r w:rsidRPr="00BC35CF">
        <w:rPr>
          <w:rFonts w:ascii="Arial" w:hAnsi="Arial" w:cs="Arial"/>
          <w:sz w:val="22"/>
          <w:szCs w:val="22"/>
        </w:rPr>
        <w:t>“curative” rights through a</w:t>
      </w:r>
      <w:r w:rsidR="002A4094" w:rsidRPr="00BC35CF">
        <w:rPr>
          <w:rFonts w:ascii="Arial" w:hAnsi="Arial" w:cs="Arial"/>
          <w:sz w:val="22"/>
          <w:szCs w:val="22"/>
        </w:rPr>
        <w:t>n administrative dispute reso</w:t>
      </w:r>
      <w:bookmarkStart w:id="3" w:name="_GoBack"/>
      <w:bookmarkEnd w:id="3"/>
      <w:r w:rsidR="002A4094" w:rsidRPr="00BC35CF">
        <w:rPr>
          <w:rFonts w:ascii="Arial" w:hAnsi="Arial" w:cs="Arial"/>
          <w:sz w:val="22"/>
          <w:szCs w:val="22"/>
        </w:rPr>
        <w:t>lution (</w:t>
      </w:r>
      <w:r w:rsidRPr="00BC35CF">
        <w:rPr>
          <w:rFonts w:ascii="Arial" w:hAnsi="Arial" w:cs="Arial"/>
          <w:sz w:val="22"/>
          <w:szCs w:val="22"/>
        </w:rPr>
        <w:t>UDRP-like</w:t>
      </w:r>
      <w:r w:rsidR="002A4094">
        <w:rPr>
          <w:rFonts w:ascii="Arial" w:hAnsi="Arial" w:cs="Arial"/>
          <w:sz w:val="22"/>
          <w:szCs w:val="22"/>
        </w:rPr>
        <w:t>)</w:t>
      </w:r>
      <w:r w:rsidRPr="00BC35CF">
        <w:rPr>
          <w:rFonts w:ascii="Arial" w:hAnsi="Arial" w:cs="Arial"/>
          <w:sz w:val="22"/>
          <w:szCs w:val="22"/>
        </w:rPr>
        <w:t xml:space="preserve"> process.</w:t>
      </w:r>
      <w:r w:rsidR="001B1E1C" w:rsidRPr="00BC35CF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1B1E1C" w:rsidRPr="00BC35CF">
        <w:rPr>
          <w:rFonts w:ascii="Arial" w:hAnsi="Arial" w:cs="Arial"/>
          <w:sz w:val="22"/>
          <w:szCs w:val="22"/>
        </w:rPr>
        <w:t xml:space="preserve">  </w:t>
      </w:r>
    </w:p>
    <w:p w14:paraId="66BB5ECC" w14:textId="77777777" w:rsidR="00816D9D" w:rsidRPr="00BC35CF" w:rsidRDefault="00816D9D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</w:p>
    <w:p w14:paraId="27FFAA23" w14:textId="552BCB32" w:rsidR="00381E89" w:rsidRDefault="00381E89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  <w:r w:rsidRPr="00BC35CF">
        <w:rPr>
          <w:rFonts w:ascii="Arial" w:hAnsi="Arial" w:cs="Arial"/>
          <w:sz w:val="22"/>
          <w:szCs w:val="22"/>
        </w:rPr>
        <w:t xml:space="preserve">In terms of the subject matter of the </w:t>
      </w:r>
      <w:r w:rsidR="0079710A">
        <w:rPr>
          <w:rFonts w:ascii="Arial" w:hAnsi="Arial" w:cs="Arial"/>
          <w:sz w:val="22"/>
          <w:szCs w:val="22"/>
        </w:rPr>
        <w:t xml:space="preserve">Swaine </w:t>
      </w:r>
      <w:r w:rsidRPr="00BC35CF">
        <w:rPr>
          <w:rFonts w:ascii="Arial" w:hAnsi="Arial" w:cs="Arial"/>
          <w:sz w:val="22"/>
          <w:szCs w:val="22"/>
        </w:rPr>
        <w:t xml:space="preserve">Memo, we </w:t>
      </w:r>
      <w:r w:rsidR="00B6246B" w:rsidRPr="00BC35CF">
        <w:rPr>
          <w:rFonts w:ascii="Arial" w:hAnsi="Arial" w:cs="Arial"/>
          <w:sz w:val="22"/>
          <w:szCs w:val="22"/>
        </w:rPr>
        <w:t>agree with Prof. Swaine’s view that the Paris Convention applies to IGOs</w:t>
      </w:r>
      <w:r w:rsidR="00D7380B" w:rsidRPr="00BC35CF">
        <w:rPr>
          <w:rFonts w:ascii="Arial" w:hAnsi="Arial" w:cs="Arial"/>
          <w:sz w:val="22"/>
          <w:szCs w:val="22"/>
        </w:rPr>
        <w:t>’</w:t>
      </w:r>
      <w:r w:rsidR="00B6246B" w:rsidRPr="00BC35CF">
        <w:rPr>
          <w:rFonts w:ascii="Arial" w:hAnsi="Arial" w:cs="Arial"/>
          <w:sz w:val="22"/>
          <w:szCs w:val="22"/>
        </w:rPr>
        <w:t xml:space="preserve"> rights </w:t>
      </w:r>
      <w:r w:rsidR="00453F6D">
        <w:rPr>
          <w:rFonts w:ascii="Arial" w:hAnsi="Arial" w:cs="Arial"/>
          <w:sz w:val="22"/>
          <w:szCs w:val="22"/>
        </w:rPr>
        <w:t xml:space="preserve">to confer standing </w:t>
      </w:r>
      <w:r w:rsidR="00B6246B" w:rsidRPr="00BC35CF">
        <w:rPr>
          <w:rFonts w:ascii="Arial" w:hAnsi="Arial" w:cs="Arial"/>
          <w:sz w:val="22"/>
          <w:szCs w:val="22"/>
        </w:rPr>
        <w:t xml:space="preserve">in </w:t>
      </w:r>
      <w:r w:rsidR="00453F6D">
        <w:rPr>
          <w:rFonts w:ascii="Arial" w:hAnsi="Arial" w:cs="Arial"/>
          <w:sz w:val="22"/>
          <w:szCs w:val="22"/>
        </w:rPr>
        <w:t xml:space="preserve">a </w:t>
      </w:r>
      <w:r w:rsidR="00B6246B" w:rsidRPr="00BC35CF">
        <w:rPr>
          <w:rFonts w:ascii="Arial" w:hAnsi="Arial" w:cs="Arial"/>
          <w:sz w:val="22"/>
          <w:szCs w:val="22"/>
        </w:rPr>
        <w:t xml:space="preserve">curative processes.  We also </w:t>
      </w:r>
      <w:r w:rsidRPr="00BC35CF">
        <w:rPr>
          <w:rFonts w:ascii="Arial" w:hAnsi="Arial" w:cs="Arial"/>
          <w:sz w:val="22"/>
          <w:szCs w:val="22"/>
        </w:rPr>
        <w:t>largely agree with Prof</w:t>
      </w:r>
      <w:r w:rsidR="00B6246B" w:rsidRPr="00BC35CF">
        <w:rPr>
          <w:rFonts w:ascii="Arial" w:hAnsi="Arial" w:cs="Arial"/>
          <w:sz w:val="22"/>
          <w:szCs w:val="22"/>
        </w:rPr>
        <w:t>.</w:t>
      </w:r>
      <w:r w:rsidRPr="00BC35CF">
        <w:rPr>
          <w:rFonts w:ascii="Arial" w:hAnsi="Arial" w:cs="Arial"/>
          <w:sz w:val="22"/>
          <w:szCs w:val="22"/>
        </w:rPr>
        <w:t xml:space="preserve"> Swaine’s conclusion that construction of immunities is fact-specific and contextual.</w:t>
      </w:r>
      <w:r w:rsidR="001B1E1C" w:rsidRPr="00BC35CF">
        <w:rPr>
          <w:rFonts w:ascii="Arial" w:hAnsi="Arial" w:cs="Arial"/>
          <w:sz w:val="22"/>
          <w:szCs w:val="22"/>
        </w:rPr>
        <w:t xml:space="preserve"> </w:t>
      </w:r>
      <w:r w:rsidR="00453F6D">
        <w:rPr>
          <w:rFonts w:ascii="Arial" w:hAnsi="Arial" w:cs="Arial"/>
          <w:sz w:val="22"/>
          <w:szCs w:val="22"/>
        </w:rPr>
        <w:t xml:space="preserve"> </w:t>
      </w:r>
      <w:r w:rsidR="00340700" w:rsidRPr="00BC35CF">
        <w:rPr>
          <w:rFonts w:ascii="Arial" w:hAnsi="Arial" w:cs="Arial"/>
          <w:sz w:val="22"/>
          <w:szCs w:val="22"/>
        </w:rPr>
        <w:t xml:space="preserve">Nonetheless, the object of the Working Group’s inquiry is not IGO immunities </w:t>
      </w:r>
      <w:r w:rsidR="00B7246B" w:rsidRPr="00BC35CF">
        <w:rPr>
          <w:rFonts w:ascii="Arial" w:hAnsi="Arial" w:cs="Arial"/>
          <w:sz w:val="22"/>
          <w:szCs w:val="22"/>
        </w:rPr>
        <w:t>in general</w:t>
      </w:r>
      <w:r w:rsidR="00340700" w:rsidRPr="00BC35CF">
        <w:rPr>
          <w:rFonts w:ascii="Arial" w:hAnsi="Arial" w:cs="Arial"/>
          <w:sz w:val="22"/>
          <w:szCs w:val="22"/>
        </w:rPr>
        <w:t xml:space="preserve">, but rather IGO immunities in the specific context of disputes involving IGO identifiers in the domain name system. </w:t>
      </w:r>
      <w:r w:rsidR="00453F6D">
        <w:rPr>
          <w:rFonts w:ascii="Arial" w:hAnsi="Arial" w:cs="Arial"/>
          <w:sz w:val="22"/>
          <w:szCs w:val="22"/>
        </w:rPr>
        <w:t xml:space="preserve"> </w:t>
      </w:r>
      <w:r w:rsidR="00340700" w:rsidRPr="00BC35CF">
        <w:rPr>
          <w:rFonts w:ascii="Arial" w:hAnsi="Arial" w:cs="Arial"/>
          <w:sz w:val="22"/>
          <w:szCs w:val="22"/>
        </w:rPr>
        <w:t>In this context, Prof. Swain</w:t>
      </w:r>
      <w:r w:rsidR="00CC7759" w:rsidRPr="00BC35CF">
        <w:rPr>
          <w:rFonts w:ascii="Arial" w:hAnsi="Arial" w:cs="Arial"/>
          <w:sz w:val="22"/>
          <w:szCs w:val="22"/>
        </w:rPr>
        <w:t>e</w:t>
      </w:r>
      <w:r w:rsidR="00340700" w:rsidRPr="00BC35CF">
        <w:rPr>
          <w:rFonts w:ascii="Arial" w:hAnsi="Arial" w:cs="Arial"/>
          <w:sz w:val="22"/>
          <w:szCs w:val="22"/>
        </w:rPr>
        <w:t xml:space="preserve"> concludes that a court will likely </w:t>
      </w:r>
      <w:r w:rsidR="00B7246B" w:rsidRPr="00BC35CF">
        <w:rPr>
          <w:rFonts w:ascii="Arial" w:hAnsi="Arial" w:cs="Arial"/>
          <w:sz w:val="22"/>
          <w:szCs w:val="22"/>
        </w:rPr>
        <w:t>find</w:t>
      </w:r>
      <w:r w:rsidR="00340700" w:rsidRPr="00BC35CF">
        <w:rPr>
          <w:rFonts w:ascii="Arial" w:hAnsi="Arial" w:cs="Arial"/>
          <w:sz w:val="22"/>
          <w:szCs w:val="22"/>
        </w:rPr>
        <w:t xml:space="preserve"> that an IGO is entitled to exercise its immunities.</w:t>
      </w:r>
      <w:r w:rsidR="00340700" w:rsidRPr="00BC35CF">
        <w:rPr>
          <w:rStyle w:val="FootnoteReference"/>
          <w:rFonts w:ascii="Arial" w:hAnsi="Arial" w:cs="Arial"/>
          <w:sz w:val="22"/>
          <w:szCs w:val="22"/>
        </w:rPr>
        <w:footnoteReference w:id="3"/>
      </w:r>
      <w:r w:rsidR="001B1E1C" w:rsidRPr="00BC35CF">
        <w:rPr>
          <w:rFonts w:ascii="Arial" w:hAnsi="Arial" w:cs="Arial"/>
          <w:sz w:val="22"/>
          <w:szCs w:val="22"/>
        </w:rPr>
        <w:t xml:space="preserve"> Having said that, however, no inference should be drawn as to the applicability of the questions posed in the </w:t>
      </w:r>
      <w:r w:rsidR="0079710A">
        <w:rPr>
          <w:rFonts w:ascii="Arial" w:hAnsi="Arial" w:cs="Arial"/>
          <w:sz w:val="22"/>
          <w:szCs w:val="22"/>
        </w:rPr>
        <w:t xml:space="preserve">Swaine </w:t>
      </w:r>
      <w:r w:rsidR="001B1E1C" w:rsidRPr="00BC35CF">
        <w:rPr>
          <w:rFonts w:ascii="Arial" w:hAnsi="Arial" w:cs="Arial"/>
          <w:sz w:val="22"/>
          <w:szCs w:val="22"/>
        </w:rPr>
        <w:t xml:space="preserve">Memo, or the adequacy, correctness or completeness of the analysis in the </w:t>
      </w:r>
      <w:r w:rsidR="0079710A">
        <w:rPr>
          <w:rFonts w:ascii="Arial" w:hAnsi="Arial" w:cs="Arial"/>
          <w:sz w:val="22"/>
          <w:szCs w:val="22"/>
        </w:rPr>
        <w:t xml:space="preserve">Swaine </w:t>
      </w:r>
      <w:r w:rsidR="001B1E1C" w:rsidRPr="00BC35CF">
        <w:rPr>
          <w:rFonts w:ascii="Arial" w:hAnsi="Arial" w:cs="Arial"/>
          <w:sz w:val="22"/>
          <w:szCs w:val="22"/>
        </w:rPr>
        <w:t>Memo in general or as applied or to be applied to any particular set of circumstances.</w:t>
      </w:r>
    </w:p>
    <w:p w14:paraId="637D9F1C" w14:textId="77777777" w:rsidR="00403D16" w:rsidRPr="00BC35CF" w:rsidRDefault="00403D16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</w:p>
    <w:p w14:paraId="162EC102" w14:textId="1303982F" w:rsidR="00116C6C" w:rsidRDefault="00D7380B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  <w:r w:rsidRPr="00BC35CF">
        <w:rPr>
          <w:rFonts w:ascii="Arial" w:hAnsi="Arial" w:cs="Arial"/>
          <w:sz w:val="22"/>
          <w:szCs w:val="22"/>
        </w:rPr>
        <w:t>Prof. Swain</w:t>
      </w:r>
      <w:r w:rsidR="00CC7759" w:rsidRPr="00BC35CF">
        <w:rPr>
          <w:rFonts w:ascii="Arial" w:hAnsi="Arial" w:cs="Arial"/>
          <w:sz w:val="22"/>
          <w:szCs w:val="22"/>
        </w:rPr>
        <w:t>e</w:t>
      </w:r>
      <w:r w:rsidRPr="00BC35CF">
        <w:rPr>
          <w:rFonts w:ascii="Arial" w:hAnsi="Arial" w:cs="Arial"/>
          <w:sz w:val="22"/>
          <w:szCs w:val="22"/>
        </w:rPr>
        <w:t>’s statements regarding the</w:t>
      </w:r>
      <w:r w:rsidR="0026606B" w:rsidRPr="00BC35CF">
        <w:rPr>
          <w:rFonts w:ascii="Arial" w:hAnsi="Arial" w:cs="Arial"/>
          <w:sz w:val="22"/>
          <w:szCs w:val="22"/>
        </w:rPr>
        <w:t xml:space="preserve"> differences between the sovereign imm</w:t>
      </w:r>
      <w:r w:rsidR="00116C6C" w:rsidRPr="00BC35CF">
        <w:rPr>
          <w:rFonts w:ascii="Arial" w:hAnsi="Arial" w:cs="Arial"/>
          <w:sz w:val="22"/>
          <w:szCs w:val="22"/>
        </w:rPr>
        <w:t xml:space="preserve">unity enjoyed by </w:t>
      </w:r>
      <w:r w:rsidR="00453F6D">
        <w:rPr>
          <w:rFonts w:ascii="Arial" w:hAnsi="Arial" w:cs="Arial"/>
          <w:sz w:val="22"/>
          <w:szCs w:val="22"/>
        </w:rPr>
        <w:t>S</w:t>
      </w:r>
      <w:r w:rsidR="0026606B" w:rsidRPr="00BC35CF">
        <w:rPr>
          <w:rFonts w:ascii="Arial" w:hAnsi="Arial" w:cs="Arial"/>
          <w:sz w:val="22"/>
          <w:szCs w:val="22"/>
        </w:rPr>
        <w:t xml:space="preserve">tates and </w:t>
      </w:r>
      <w:r w:rsidR="00C4638B" w:rsidRPr="00BC35CF">
        <w:rPr>
          <w:rFonts w:ascii="Arial" w:hAnsi="Arial" w:cs="Arial"/>
          <w:sz w:val="22"/>
          <w:szCs w:val="22"/>
        </w:rPr>
        <w:t xml:space="preserve">the </w:t>
      </w:r>
      <w:r w:rsidR="0026606B" w:rsidRPr="00BC35CF">
        <w:rPr>
          <w:rFonts w:ascii="Arial" w:hAnsi="Arial" w:cs="Arial"/>
          <w:sz w:val="22"/>
          <w:szCs w:val="22"/>
        </w:rPr>
        <w:t xml:space="preserve">immunities enjoyed by IGOs </w:t>
      </w:r>
      <w:r w:rsidR="00C4638B" w:rsidRPr="00BC35CF">
        <w:rPr>
          <w:rFonts w:ascii="Arial" w:hAnsi="Arial" w:cs="Arial"/>
          <w:sz w:val="22"/>
          <w:szCs w:val="22"/>
        </w:rPr>
        <w:t>underline their central role in IGOs’ fulfilment of their missions</w:t>
      </w:r>
      <w:r w:rsidRPr="00BC35CF">
        <w:rPr>
          <w:rFonts w:ascii="Arial" w:hAnsi="Arial" w:cs="Arial"/>
          <w:sz w:val="22"/>
          <w:szCs w:val="22"/>
        </w:rPr>
        <w:t>.</w:t>
      </w:r>
      <w:r w:rsidR="00B7246B" w:rsidRPr="00BC35CF">
        <w:rPr>
          <w:rFonts w:ascii="Arial" w:hAnsi="Arial" w:cs="Arial"/>
          <w:sz w:val="22"/>
          <w:szCs w:val="22"/>
        </w:rPr>
        <w:t xml:space="preserve"> </w:t>
      </w:r>
      <w:r w:rsidR="00453F6D">
        <w:rPr>
          <w:rFonts w:ascii="Arial" w:hAnsi="Arial" w:cs="Arial"/>
          <w:sz w:val="22"/>
          <w:szCs w:val="22"/>
        </w:rPr>
        <w:t xml:space="preserve"> </w:t>
      </w:r>
      <w:r w:rsidR="00B7246B" w:rsidRPr="00BC35CF">
        <w:rPr>
          <w:rFonts w:ascii="Arial" w:hAnsi="Arial" w:cs="Arial"/>
          <w:sz w:val="22"/>
          <w:szCs w:val="22"/>
        </w:rPr>
        <w:t>For example</w:t>
      </w:r>
      <w:r w:rsidRPr="00BC35CF">
        <w:rPr>
          <w:rFonts w:ascii="Arial" w:hAnsi="Arial" w:cs="Arial"/>
          <w:sz w:val="22"/>
          <w:szCs w:val="22"/>
        </w:rPr>
        <w:t>, Prof. Swain</w:t>
      </w:r>
      <w:r w:rsidR="00453F6D">
        <w:rPr>
          <w:rFonts w:ascii="Arial" w:hAnsi="Arial" w:cs="Arial"/>
          <w:sz w:val="22"/>
          <w:szCs w:val="22"/>
        </w:rPr>
        <w:t>’s</w:t>
      </w:r>
      <w:r w:rsidR="00B7246B" w:rsidRPr="00BC35CF">
        <w:rPr>
          <w:rFonts w:ascii="Arial" w:hAnsi="Arial" w:cs="Arial"/>
          <w:sz w:val="22"/>
          <w:szCs w:val="22"/>
        </w:rPr>
        <w:t xml:space="preserve"> observ</w:t>
      </w:r>
      <w:r w:rsidR="00453F6D">
        <w:rPr>
          <w:rFonts w:ascii="Arial" w:hAnsi="Arial" w:cs="Arial"/>
          <w:sz w:val="22"/>
          <w:szCs w:val="22"/>
        </w:rPr>
        <w:t>ation</w:t>
      </w:r>
      <w:r w:rsidR="0026606B" w:rsidRPr="00BC35CF">
        <w:rPr>
          <w:rFonts w:ascii="Arial" w:hAnsi="Arial" w:cs="Arial"/>
          <w:sz w:val="22"/>
          <w:szCs w:val="22"/>
        </w:rPr>
        <w:t xml:space="preserve"> that “IGOs are considered more vulnerable than states, since they have no territory or population, and must conduct their affairs in jurisdictions and through persons not their own”</w:t>
      </w:r>
      <w:r w:rsidR="002B0B09" w:rsidRPr="00BC35CF">
        <w:rPr>
          <w:rStyle w:val="FootnoteReference"/>
          <w:rFonts w:ascii="Arial" w:hAnsi="Arial" w:cs="Arial"/>
          <w:sz w:val="22"/>
          <w:szCs w:val="22"/>
        </w:rPr>
        <w:footnoteReference w:id="4"/>
      </w:r>
      <w:r w:rsidR="0026606B" w:rsidRPr="00BC35CF">
        <w:rPr>
          <w:rFonts w:ascii="Arial" w:hAnsi="Arial" w:cs="Arial"/>
          <w:sz w:val="22"/>
          <w:szCs w:val="22"/>
        </w:rPr>
        <w:t xml:space="preserve"> is instructive. </w:t>
      </w:r>
      <w:r w:rsidR="00453F6D">
        <w:rPr>
          <w:rFonts w:ascii="Arial" w:hAnsi="Arial" w:cs="Arial"/>
          <w:sz w:val="22"/>
          <w:szCs w:val="22"/>
        </w:rPr>
        <w:t xml:space="preserve"> </w:t>
      </w:r>
      <w:r w:rsidR="00116C6C" w:rsidRPr="00BC35CF">
        <w:rPr>
          <w:rFonts w:ascii="Arial" w:hAnsi="Arial" w:cs="Arial"/>
          <w:sz w:val="22"/>
          <w:szCs w:val="22"/>
        </w:rPr>
        <w:t xml:space="preserve">The broad immunities IGOs enjoy ensure that </w:t>
      </w:r>
      <w:r w:rsidR="00B7246B" w:rsidRPr="00BC35CF">
        <w:rPr>
          <w:rFonts w:ascii="Arial" w:hAnsi="Arial" w:cs="Arial"/>
          <w:sz w:val="22"/>
          <w:szCs w:val="22"/>
        </w:rPr>
        <w:t>they</w:t>
      </w:r>
      <w:r w:rsidR="00116C6C" w:rsidRPr="00BC35CF">
        <w:rPr>
          <w:rFonts w:ascii="Arial" w:hAnsi="Arial" w:cs="Arial"/>
          <w:sz w:val="22"/>
          <w:szCs w:val="22"/>
        </w:rPr>
        <w:t xml:space="preserve"> can avoid interference from national courts. </w:t>
      </w:r>
      <w:r w:rsidR="00453F6D">
        <w:rPr>
          <w:rFonts w:ascii="Arial" w:hAnsi="Arial" w:cs="Arial"/>
          <w:sz w:val="22"/>
          <w:szCs w:val="22"/>
        </w:rPr>
        <w:t xml:space="preserve"> </w:t>
      </w:r>
      <w:r w:rsidR="00116C6C" w:rsidRPr="00BC35CF">
        <w:rPr>
          <w:rFonts w:ascii="Arial" w:hAnsi="Arial" w:cs="Arial"/>
          <w:sz w:val="22"/>
          <w:szCs w:val="22"/>
        </w:rPr>
        <w:t xml:space="preserve">In this way, immunities shield IGOs from the undue influence of a single </w:t>
      </w:r>
      <w:r w:rsidR="00453F6D">
        <w:rPr>
          <w:rFonts w:ascii="Arial" w:hAnsi="Arial" w:cs="Arial"/>
          <w:sz w:val="22"/>
          <w:szCs w:val="22"/>
        </w:rPr>
        <w:t>State</w:t>
      </w:r>
      <w:r w:rsidR="00453F6D" w:rsidRPr="00BC35CF">
        <w:rPr>
          <w:rFonts w:ascii="Arial" w:hAnsi="Arial" w:cs="Arial"/>
          <w:sz w:val="22"/>
          <w:szCs w:val="22"/>
        </w:rPr>
        <w:t xml:space="preserve"> </w:t>
      </w:r>
      <w:r w:rsidR="00116C6C" w:rsidRPr="00BC35CF">
        <w:rPr>
          <w:rFonts w:ascii="Arial" w:hAnsi="Arial" w:cs="Arial"/>
          <w:sz w:val="22"/>
          <w:szCs w:val="22"/>
        </w:rPr>
        <w:t>and protect their independent character.</w:t>
      </w:r>
      <w:r w:rsidR="00BA2F28" w:rsidRPr="00BC35CF">
        <w:rPr>
          <w:rFonts w:ascii="Arial" w:hAnsi="Arial" w:cs="Arial"/>
          <w:sz w:val="22"/>
          <w:szCs w:val="22"/>
        </w:rPr>
        <w:t xml:space="preserve"> </w:t>
      </w:r>
      <w:r w:rsidR="00453F6D">
        <w:rPr>
          <w:rFonts w:ascii="Arial" w:hAnsi="Arial" w:cs="Arial"/>
          <w:sz w:val="22"/>
          <w:szCs w:val="22"/>
        </w:rPr>
        <w:t xml:space="preserve"> </w:t>
      </w:r>
      <w:r w:rsidR="00BA2F28" w:rsidRPr="00BC35CF">
        <w:rPr>
          <w:rFonts w:ascii="Arial" w:hAnsi="Arial" w:cs="Arial"/>
          <w:sz w:val="22"/>
          <w:szCs w:val="22"/>
        </w:rPr>
        <w:t xml:space="preserve">This rationale </w:t>
      </w:r>
      <w:r w:rsidR="00235764" w:rsidRPr="00BC35CF">
        <w:rPr>
          <w:rFonts w:ascii="Arial" w:hAnsi="Arial" w:cs="Arial"/>
          <w:sz w:val="22"/>
          <w:szCs w:val="22"/>
        </w:rPr>
        <w:t>was</w:t>
      </w:r>
      <w:r w:rsidR="00BA2F28" w:rsidRPr="00BC35CF">
        <w:rPr>
          <w:rFonts w:ascii="Arial" w:hAnsi="Arial" w:cs="Arial"/>
          <w:sz w:val="22"/>
          <w:szCs w:val="22"/>
        </w:rPr>
        <w:t xml:space="preserve"> recently reaffirmed by the Supreme Court of Canada in the </w:t>
      </w:r>
      <w:r w:rsidR="00BA2F28" w:rsidRPr="00306319">
        <w:rPr>
          <w:rFonts w:ascii="Arial" w:hAnsi="Arial" w:cs="Arial"/>
          <w:i/>
          <w:sz w:val="22"/>
          <w:szCs w:val="22"/>
        </w:rPr>
        <w:t>World Bank vs Wallace</w:t>
      </w:r>
      <w:r w:rsidR="00BA2F28" w:rsidRPr="00BC35CF">
        <w:rPr>
          <w:rFonts w:ascii="Arial" w:hAnsi="Arial" w:cs="Arial"/>
          <w:sz w:val="22"/>
          <w:szCs w:val="22"/>
        </w:rPr>
        <w:t xml:space="preserve"> case in which the Court expre</w:t>
      </w:r>
      <w:r w:rsidR="00ED2537" w:rsidRPr="00BC35CF">
        <w:rPr>
          <w:rFonts w:ascii="Arial" w:hAnsi="Arial" w:cs="Arial"/>
          <w:sz w:val="22"/>
          <w:szCs w:val="22"/>
        </w:rPr>
        <w:t>ss</w:t>
      </w:r>
      <w:r w:rsidR="00BA2F28" w:rsidRPr="00BC35CF">
        <w:rPr>
          <w:rFonts w:ascii="Arial" w:hAnsi="Arial" w:cs="Arial"/>
          <w:sz w:val="22"/>
          <w:szCs w:val="22"/>
        </w:rPr>
        <w:t>ly noted that “without any sovereign territory of their own, international organizations are vulnerable to state interference.</w:t>
      </w:r>
      <w:r w:rsidR="00453F6D">
        <w:rPr>
          <w:rFonts w:ascii="Arial" w:hAnsi="Arial" w:cs="Arial"/>
          <w:sz w:val="22"/>
          <w:szCs w:val="22"/>
        </w:rPr>
        <w:t xml:space="preserve"> </w:t>
      </w:r>
      <w:r w:rsidR="00BA2F28" w:rsidRPr="00BC35CF">
        <w:rPr>
          <w:rFonts w:ascii="Arial" w:hAnsi="Arial" w:cs="Arial"/>
          <w:sz w:val="22"/>
          <w:szCs w:val="22"/>
        </w:rPr>
        <w:t xml:space="preserve"> In light of this, member states often agree to grant international organizations various immunities and privileges to preserve their orderly, independent operation”</w:t>
      </w:r>
      <w:r w:rsidR="000F5E59" w:rsidRPr="00BC35CF">
        <w:rPr>
          <w:rFonts w:ascii="Arial" w:hAnsi="Arial" w:cs="Arial"/>
          <w:sz w:val="22"/>
          <w:szCs w:val="22"/>
        </w:rPr>
        <w:t>.</w:t>
      </w:r>
    </w:p>
    <w:p w14:paraId="6C2EBF6F" w14:textId="77777777" w:rsidR="00403D16" w:rsidRPr="00BC35CF" w:rsidRDefault="00403D16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</w:p>
    <w:p w14:paraId="1AAF175C" w14:textId="4FD8E60F" w:rsidR="00340700" w:rsidRPr="00BC35CF" w:rsidRDefault="00340700" w:rsidP="00816D9D">
      <w:pPr>
        <w:pStyle w:val="BankNormal"/>
        <w:spacing w:after="0"/>
        <w:rPr>
          <w:rFonts w:ascii="Arial" w:hAnsi="Arial" w:cs="Arial"/>
          <w:sz w:val="22"/>
          <w:szCs w:val="22"/>
        </w:rPr>
      </w:pPr>
      <w:r w:rsidRPr="00BC35CF">
        <w:rPr>
          <w:rFonts w:ascii="Arial" w:hAnsi="Arial" w:cs="Arial"/>
          <w:sz w:val="22"/>
          <w:szCs w:val="22"/>
        </w:rPr>
        <w:t xml:space="preserve">We also confirm Prof. Swain’s observation that IGOs regularly provide for arbitration in commercial contracts in order to protect </w:t>
      </w:r>
      <w:r w:rsidR="00B7246B" w:rsidRPr="00BC35CF">
        <w:rPr>
          <w:rFonts w:ascii="Arial" w:hAnsi="Arial" w:cs="Arial"/>
          <w:sz w:val="22"/>
          <w:szCs w:val="22"/>
        </w:rPr>
        <w:t>their</w:t>
      </w:r>
      <w:r w:rsidRPr="00BC35CF">
        <w:rPr>
          <w:rFonts w:ascii="Arial" w:hAnsi="Arial" w:cs="Arial"/>
          <w:sz w:val="22"/>
          <w:szCs w:val="22"/>
        </w:rPr>
        <w:t xml:space="preserve"> immunities.</w:t>
      </w:r>
      <w:r w:rsidRPr="00BC35CF">
        <w:rPr>
          <w:rStyle w:val="FootnoteReference"/>
          <w:rFonts w:ascii="Arial" w:hAnsi="Arial" w:cs="Arial"/>
          <w:sz w:val="22"/>
          <w:szCs w:val="22"/>
        </w:rPr>
        <w:footnoteReference w:id="5"/>
      </w:r>
      <w:r w:rsidRPr="00BC35CF">
        <w:rPr>
          <w:rFonts w:ascii="Arial" w:hAnsi="Arial" w:cs="Arial"/>
          <w:sz w:val="22"/>
          <w:szCs w:val="22"/>
        </w:rPr>
        <w:t xml:space="preserve"> </w:t>
      </w:r>
      <w:r w:rsidR="00453F6D">
        <w:rPr>
          <w:rFonts w:ascii="Arial" w:hAnsi="Arial" w:cs="Arial"/>
          <w:sz w:val="22"/>
          <w:szCs w:val="22"/>
        </w:rPr>
        <w:t xml:space="preserve"> </w:t>
      </w:r>
      <w:r w:rsidRPr="00BC35CF">
        <w:rPr>
          <w:rFonts w:ascii="Arial" w:hAnsi="Arial" w:cs="Arial"/>
          <w:sz w:val="22"/>
          <w:szCs w:val="22"/>
        </w:rPr>
        <w:t>Commercial entities, in turn, recognize this fact and</w:t>
      </w:r>
      <w:r w:rsidR="00B7246B" w:rsidRPr="00BC35CF">
        <w:rPr>
          <w:rFonts w:ascii="Arial" w:hAnsi="Arial" w:cs="Arial"/>
          <w:sz w:val="22"/>
          <w:szCs w:val="22"/>
        </w:rPr>
        <w:t>,</w:t>
      </w:r>
      <w:r w:rsidRPr="00BC35CF">
        <w:rPr>
          <w:rFonts w:ascii="Arial" w:hAnsi="Arial" w:cs="Arial"/>
          <w:sz w:val="22"/>
          <w:szCs w:val="22"/>
        </w:rPr>
        <w:t xml:space="preserve"> in light of the consistency of this practice, some commercial </w:t>
      </w:r>
      <w:r w:rsidRPr="00BC35CF">
        <w:rPr>
          <w:rFonts w:ascii="Arial" w:hAnsi="Arial" w:cs="Arial"/>
          <w:sz w:val="22"/>
          <w:szCs w:val="22"/>
        </w:rPr>
        <w:lastRenderedPageBreak/>
        <w:t xml:space="preserve">actors like Apple have introduced boilerplate </w:t>
      </w:r>
      <w:r w:rsidR="001E6998" w:rsidRPr="00BC35CF">
        <w:rPr>
          <w:rFonts w:ascii="Arial" w:hAnsi="Arial" w:cs="Arial"/>
          <w:sz w:val="22"/>
          <w:szCs w:val="22"/>
        </w:rPr>
        <w:t>arbitration clauses</w:t>
      </w:r>
      <w:r w:rsidRPr="00BC35CF">
        <w:rPr>
          <w:rFonts w:ascii="Arial" w:hAnsi="Arial" w:cs="Arial"/>
          <w:sz w:val="22"/>
          <w:szCs w:val="22"/>
        </w:rPr>
        <w:t xml:space="preserve"> into their standard contracts to account for alternative dispute resolution where the counterparty is an IGO.</w:t>
      </w:r>
      <w:r w:rsidRPr="00BC35CF">
        <w:rPr>
          <w:rStyle w:val="FootnoteReference"/>
          <w:rFonts w:ascii="Arial" w:hAnsi="Arial" w:cs="Arial"/>
          <w:sz w:val="22"/>
          <w:szCs w:val="22"/>
        </w:rPr>
        <w:footnoteReference w:id="6"/>
      </w:r>
    </w:p>
    <w:p w14:paraId="00B9E60E" w14:textId="77777777" w:rsidR="00FA00F9" w:rsidRDefault="00FA00F9" w:rsidP="00FA00F9">
      <w:pPr>
        <w:pStyle w:val="BankNormal"/>
        <w:spacing w:after="0"/>
        <w:rPr>
          <w:rFonts w:ascii="Arial" w:hAnsi="Arial" w:cs="Arial"/>
          <w:sz w:val="22"/>
          <w:szCs w:val="22"/>
        </w:rPr>
      </w:pPr>
    </w:p>
    <w:p w14:paraId="4A1FEFA6" w14:textId="0BF205D7" w:rsidR="0027294C" w:rsidRDefault="001E6998" w:rsidP="00FA00F9">
      <w:pPr>
        <w:pStyle w:val="BankNormal"/>
        <w:spacing w:after="0"/>
        <w:rPr>
          <w:rFonts w:ascii="Arial" w:hAnsi="Arial" w:cs="Arial"/>
          <w:sz w:val="22"/>
          <w:szCs w:val="22"/>
        </w:rPr>
      </w:pPr>
      <w:r w:rsidRPr="00BC35CF">
        <w:rPr>
          <w:rFonts w:ascii="Arial" w:hAnsi="Arial" w:cs="Arial"/>
          <w:sz w:val="22"/>
          <w:szCs w:val="22"/>
        </w:rPr>
        <w:t>Prof. Swain</w:t>
      </w:r>
      <w:r w:rsidR="00CC7759" w:rsidRPr="00BC35CF">
        <w:rPr>
          <w:rFonts w:ascii="Arial" w:hAnsi="Arial" w:cs="Arial"/>
          <w:sz w:val="22"/>
          <w:szCs w:val="22"/>
        </w:rPr>
        <w:t>e</w:t>
      </w:r>
      <w:r w:rsidRPr="00BC35CF">
        <w:rPr>
          <w:rFonts w:ascii="Arial" w:hAnsi="Arial" w:cs="Arial"/>
          <w:sz w:val="22"/>
          <w:szCs w:val="22"/>
        </w:rPr>
        <w:t xml:space="preserve"> has </w:t>
      </w:r>
      <w:r w:rsidR="00B7246B" w:rsidRPr="00BC35CF">
        <w:rPr>
          <w:rFonts w:ascii="Arial" w:hAnsi="Arial" w:cs="Arial"/>
          <w:sz w:val="22"/>
          <w:szCs w:val="22"/>
        </w:rPr>
        <w:t>confirmed longstanding statements of the IGOs regarding</w:t>
      </w:r>
      <w:r w:rsidRPr="00BC35CF">
        <w:rPr>
          <w:rFonts w:ascii="Arial" w:hAnsi="Arial" w:cs="Arial"/>
          <w:sz w:val="22"/>
          <w:szCs w:val="22"/>
        </w:rPr>
        <w:t xml:space="preserve"> the basic facts </w:t>
      </w:r>
      <w:r w:rsidR="00031A2B" w:rsidRPr="00BC35CF">
        <w:rPr>
          <w:rFonts w:ascii="Arial" w:hAnsi="Arial" w:cs="Arial"/>
          <w:sz w:val="22"/>
          <w:szCs w:val="22"/>
        </w:rPr>
        <w:t xml:space="preserve">that </w:t>
      </w:r>
      <w:r w:rsidR="00B7246B" w:rsidRPr="00BC35CF">
        <w:rPr>
          <w:rFonts w:ascii="Arial" w:hAnsi="Arial" w:cs="Arial"/>
          <w:sz w:val="22"/>
          <w:szCs w:val="22"/>
        </w:rPr>
        <w:t>preclude IGO recourse to the UDRP</w:t>
      </w:r>
      <w:r w:rsidR="00031A2B" w:rsidRPr="00BC35CF">
        <w:rPr>
          <w:rFonts w:ascii="Arial" w:hAnsi="Arial" w:cs="Arial"/>
          <w:sz w:val="22"/>
          <w:szCs w:val="22"/>
        </w:rPr>
        <w:t xml:space="preserve">. </w:t>
      </w:r>
      <w:r w:rsidR="00011D7F">
        <w:rPr>
          <w:rFonts w:ascii="Arial" w:hAnsi="Arial" w:cs="Arial"/>
          <w:sz w:val="22"/>
          <w:szCs w:val="22"/>
        </w:rPr>
        <w:t xml:space="preserve"> </w:t>
      </w:r>
      <w:r w:rsidR="00031A2B" w:rsidRPr="00BC35CF">
        <w:rPr>
          <w:rFonts w:ascii="Arial" w:hAnsi="Arial" w:cs="Arial"/>
          <w:sz w:val="22"/>
          <w:szCs w:val="22"/>
        </w:rPr>
        <w:t xml:space="preserve">IGOs enjoy certain immunities which </w:t>
      </w:r>
      <w:r w:rsidR="00B7246B" w:rsidRPr="00BC35CF">
        <w:rPr>
          <w:rFonts w:ascii="Arial" w:hAnsi="Arial" w:cs="Arial"/>
          <w:sz w:val="22"/>
          <w:szCs w:val="22"/>
        </w:rPr>
        <w:t>they</w:t>
      </w:r>
      <w:r w:rsidR="00031A2B" w:rsidRPr="00BC35CF">
        <w:rPr>
          <w:rFonts w:ascii="Arial" w:hAnsi="Arial" w:cs="Arial"/>
          <w:sz w:val="22"/>
          <w:szCs w:val="22"/>
        </w:rPr>
        <w:t xml:space="preserve"> depend upon to carry out </w:t>
      </w:r>
      <w:r w:rsidR="00B7246B" w:rsidRPr="00BC35CF">
        <w:rPr>
          <w:rFonts w:ascii="Arial" w:hAnsi="Arial" w:cs="Arial"/>
          <w:sz w:val="22"/>
          <w:szCs w:val="22"/>
        </w:rPr>
        <w:t>their</w:t>
      </w:r>
      <w:r w:rsidR="00031A2B" w:rsidRPr="00BC35CF">
        <w:rPr>
          <w:rFonts w:ascii="Arial" w:hAnsi="Arial" w:cs="Arial"/>
          <w:sz w:val="22"/>
          <w:szCs w:val="22"/>
        </w:rPr>
        <w:t xml:space="preserve"> missions. These immunities extend to the subject matter in question, </w:t>
      </w:r>
      <w:r w:rsidR="00031A2B" w:rsidRPr="00BC35CF">
        <w:rPr>
          <w:rFonts w:ascii="Arial" w:hAnsi="Arial" w:cs="Arial"/>
          <w:i/>
          <w:sz w:val="22"/>
          <w:szCs w:val="22"/>
        </w:rPr>
        <w:t>i.e.</w:t>
      </w:r>
      <w:r w:rsidR="00011D7F">
        <w:rPr>
          <w:rFonts w:ascii="Arial" w:hAnsi="Arial" w:cs="Arial"/>
          <w:sz w:val="22"/>
          <w:szCs w:val="22"/>
        </w:rPr>
        <w:t>,</w:t>
      </w:r>
      <w:r w:rsidR="00031A2B" w:rsidRPr="00BC35CF">
        <w:rPr>
          <w:rFonts w:ascii="Arial" w:hAnsi="Arial" w:cs="Arial"/>
          <w:sz w:val="22"/>
          <w:szCs w:val="22"/>
        </w:rPr>
        <w:t xml:space="preserve"> disputes related to the use of </w:t>
      </w:r>
      <w:r w:rsidR="00B7246B" w:rsidRPr="00BC35CF">
        <w:rPr>
          <w:rFonts w:ascii="Arial" w:hAnsi="Arial" w:cs="Arial"/>
          <w:sz w:val="22"/>
          <w:szCs w:val="22"/>
        </w:rPr>
        <w:t>their</w:t>
      </w:r>
      <w:r w:rsidR="00031A2B" w:rsidRPr="00BC35CF">
        <w:rPr>
          <w:rFonts w:ascii="Arial" w:hAnsi="Arial" w:cs="Arial"/>
          <w:sz w:val="22"/>
          <w:szCs w:val="22"/>
        </w:rPr>
        <w:t xml:space="preserve"> names and acronyms in domain</w:t>
      </w:r>
      <w:r w:rsidR="00011D7F">
        <w:rPr>
          <w:rFonts w:ascii="Arial" w:hAnsi="Arial" w:cs="Arial"/>
          <w:sz w:val="22"/>
          <w:szCs w:val="22"/>
        </w:rPr>
        <w:t xml:space="preserve"> </w:t>
      </w:r>
      <w:r w:rsidR="00031A2B" w:rsidRPr="00BC35CF">
        <w:rPr>
          <w:rFonts w:ascii="Arial" w:hAnsi="Arial" w:cs="Arial"/>
          <w:sz w:val="22"/>
          <w:szCs w:val="22"/>
        </w:rPr>
        <w:t xml:space="preserve">name disputes. The mutual jurisdiction provision of the UDRP means that IGOs cannot use this mechanism </w:t>
      </w:r>
      <w:r w:rsidR="00011D7F">
        <w:rPr>
          <w:rFonts w:ascii="Arial" w:hAnsi="Arial" w:cs="Arial"/>
          <w:sz w:val="22"/>
          <w:szCs w:val="22"/>
        </w:rPr>
        <w:t xml:space="preserve">– at least </w:t>
      </w:r>
      <w:r w:rsidR="00031A2B" w:rsidRPr="00BC35CF">
        <w:rPr>
          <w:rFonts w:ascii="Arial" w:hAnsi="Arial" w:cs="Arial"/>
          <w:sz w:val="22"/>
          <w:szCs w:val="22"/>
        </w:rPr>
        <w:t xml:space="preserve">without waiving immunities. </w:t>
      </w:r>
      <w:r w:rsidR="00011D7F">
        <w:rPr>
          <w:rFonts w:ascii="Arial" w:hAnsi="Arial" w:cs="Arial"/>
          <w:sz w:val="22"/>
          <w:szCs w:val="22"/>
        </w:rPr>
        <w:t xml:space="preserve"> </w:t>
      </w:r>
      <w:r w:rsidR="00031A2B" w:rsidRPr="00BC35CF">
        <w:rPr>
          <w:rFonts w:ascii="Arial" w:hAnsi="Arial" w:cs="Arial"/>
          <w:sz w:val="22"/>
          <w:szCs w:val="22"/>
        </w:rPr>
        <w:t>One solution would be to create a mechanism with allows for “appeal” through arbitration, a mechanism which parties who contract with IGOs widely accept as an acceptable means for resolving disputes without compromising IGO immunities.</w:t>
      </w:r>
    </w:p>
    <w:p w14:paraId="630BC356" w14:textId="77777777" w:rsidR="00403D16" w:rsidRDefault="00403D16" w:rsidP="00FA00F9">
      <w:pPr>
        <w:pStyle w:val="BankNormal"/>
        <w:spacing w:after="0"/>
        <w:rPr>
          <w:rFonts w:ascii="Arial" w:hAnsi="Arial" w:cs="Arial"/>
          <w:sz w:val="22"/>
          <w:szCs w:val="22"/>
        </w:rPr>
      </w:pPr>
    </w:p>
    <w:p w14:paraId="627D7D86" w14:textId="77777777" w:rsidR="00FA00F9" w:rsidRDefault="00FA00F9" w:rsidP="00FA00F9">
      <w:pPr>
        <w:pStyle w:val="BankNormal"/>
        <w:spacing w:after="0"/>
        <w:rPr>
          <w:rFonts w:ascii="Arial" w:hAnsi="Arial" w:cs="Arial"/>
          <w:sz w:val="22"/>
          <w:szCs w:val="22"/>
        </w:rPr>
      </w:pPr>
      <w:r w:rsidRPr="00FA00F9">
        <w:rPr>
          <w:rFonts w:ascii="Arial" w:hAnsi="Arial" w:cs="Arial"/>
          <w:sz w:val="22"/>
          <w:szCs w:val="22"/>
        </w:rPr>
        <w:t>Turning to the present effort by the GNSO Working Group, three key points covered in the Swaine Memo in the context of a curative rights protection mechanism should be dispositive in the Working Group’s deliberations:</w:t>
      </w:r>
    </w:p>
    <w:p w14:paraId="3408B52C" w14:textId="77777777" w:rsidR="00FA00F9" w:rsidRPr="00FA00F9" w:rsidRDefault="00FA00F9" w:rsidP="00FA00F9">
      <w:pPr>
        <w:pStyle w:val="BankNormal"/>
        <w:spacing w:after="0"/>
        <w:rPr>
          <w:rFonts w:ascii="Arial" w:hAnsi="Arial" w:cs="Arial"/>
          <w:sz w:val="22"/>
          <w:szCs w:val="22"/>
        </w:rPr>
      </w:pPr>
    </w:p>
    <w:p w14:paraId="19A253CE" w14:textId="77777777" w:rsidR="00FA00F9" w:rsidRDefault="00FA00F9" w:rsidP="00FA00F9">
      <w:pPr>
        <w:pStyle w:val="BankNormal"/>
        <w:spacing w:after="0"/>
        <w:ind w:left="720"/>
        <w:rPr>
          <w:rFonts w:ascii="Arial" w:hAnsi="Arial" w:cs="Arial"/>
          <w:sz w:val="22"/>
          <w:szCs w:val="22"/>
        </w:rPr>
      </w:pPr>
      <w:r w:rsidRPr="00FA00F9">
        <w:rPr>
          <w:rFonts w:ascii="Arial" w:hAnsi="Arial" w:cs="Arial"/>
          <w:sz w:val="22"/>
          <w:szCs w:val="22"/>
        </w:rPr>
        <w:t xml:space="preserve">(1) the acknowledgement of the existence of IGO “standing” rights under the Paris Convention should avoid any barriers to entry for IGOs, </w:t>
      </w:r>
    </w:p>
    <w:p w14:paraId="4D1B3226" w14:textId="77777777" w:rsidR="00FA00F9" w:rsidRPr="00FA00F9" w:rsidRDefault="00FA00F9" w:rsidP="00FA00F9">
      <w:pPr>
        <w:pStyle w:val="BankNormal"/>
        <w:spacing w:after="0"/>
        <w:ind w:left="720"/>
        <w:rPr>
          <w:rFonts w:ascii="Arial" w:hAnsi="Arial" w:cs="Arial"/>
          <w:sz w:val="22"/>
          <w:szCs w:val="22"/>
        </w:rPr>
      </w:pPr>
    </w:p>
    <w:p w14:paraId="58D9DDA3" w14:textId="5EA0948E" w:rsidR="00FA00F9" w:rsidRDefault="00FA00F9" w:rsidP="00FA00F9">
      <w:pPr>
        <w:pStyle w:val="BankNormal"/>
        <w:spacing w:after="0"/>
        <w:ind w:left="720"/>
        <w:rPr>
          <w:rFonts w:ascii="Arial" w:hAnsi="Arial" w:cs="Arial"/>
          <w:sz w:val="22"/>
          <w:szCs w:val="22"/>
        </w:rPr>
      </w:pPr>
      <w:r w:rsidRPr="00FA00F9">
        <w:rPr>
          <w:rFonts w:ascii="Arial" w:hAnsi="Arial" w:cs="Arial"/>
          <w:sz w:val="22"/>
          <w:szCs w:val="22"/>
        </w:rPr>
        <w:t xml:space="preserve">(2) the </w:t>
      </w:r>
      <w:r>
        <w:rPr>
          <w:rFonts w:ascii="Arial" w:hAnsi="Arial" w:cs="Arial"/>
          <w:sz w:val="22"/>
          <w:szCs w:val="22"/>
        </w:rPr>
        <w:t xml:space="preserve">fact-specific nature </w:t>
      </w:r>
      <w:r w:rsidRPr="00FA00F9">
        <w:rPr>
          <w:rFonts w:ascii="Arial" w:hAnsi="Arial" w:cs="Arial"/>
          <w:sz w:val="22"/>
          <w:szCs w:val="22"/>
        </w:rPr>
        <w:t xml:space="preserve">of Privileges and Immunities of treaty-based IGOs suggests that in the context of disputes involving IGO identifiers in the DNS, a court will likely find that an IGO </w:t>
      </w:r>
      <w:r w:rsidRPr="00FA00F9">
        <w:rPr>
          <w:rFonts w:ascii="Arial" w:hAnsi="Arial" w:cs="Arial"/>
          <w:i/>
          <w:sz w:val="22"/>
          <w:szCs w:val="22"/>
        </w:rPr>
        <w:t>is</w:t>
      </w:r>
      <w:r w:rsidRPr="00FA00F9">
        <w:rPr>
          <w:rFonts w:ascii="Arial" w:hAnsi="Arial" w:cs="Arial"/>
          <w:sz w:val="22"/>
          <w:szCs w:val="22"/>
        </w:rPr>
        <w:t xml:space="preserve"> entitled to the exercise of immunities,</w:t>
      </w:r>
    </w:p>
    <w:p w14:paraId="5E2E29BE" w14:textId="77777777" w:rsidR="00FA00F9" w:rsidRPr="00FA00F9" w:rsidRDefault="00FA00F9" w:rsidP="00FA00F9">
      <w:pPr>
        <w:pStyle w:val="BankNormal"/>
        <w:spacing w:after="0"/>
        <w:ind w:left="720"/>
        <w:rPr>
          <w:rFonts w:ascii="Arial" w:hAnsi="Arial" w:cs="Arial"/>
          <w:sz w:val="22"/>
          <w:szCs w:val="22"/>
        </w:rPr>
      </w:pPr>
    </w:p>
    <w:p w14:paraId="01B3D439" w14:textId="3AD43F53" w:rsidR="00FA00F9" w:rsidRDefault="00FA00F9" w:rsidP="00FA00F9">
      <w:pPr>
        <w:pStyle w:val="BankNormal"/>
        <w:spacing w:after="0"/>
        <w:ind w:left="720"/>
        <w:rPr>
          <w:rFonts w:ascii="Arial" w:hAnsi="Arial" w:cs="Arial"/>
          <w:sz w:val="22"/>
          <w:szCs w:val="22"/>
        </w:rPr>
      </w:pPr>
      <w:r w:rsidRPr="00FA00F9">
        <w:rPr>
          <w:rFonts w:ascii="Arial" w:hAnsi="Arial" w:cs="Arial"/>
          <w:sz w:val="22"/>
          <w:szCs w:val="22"/>
        </w:rPr>
        <w:t xml:space="preserve">(3) the viability of a non-judicial substitute such as arbitration – following a determination under a curative administrative dispute resolution mechanism. </w:t>
      </w:r>
    </w:p>
    <w:p w14:paraId="2C04407B" w14:textId="77777777" w:rsidR="00FA00F9" w:rsidRPr="00FA00F9" w:rsidRDefault="00FA00F9" w:rsidP="00FA00F9">
      <w:pPr>
        <w:pStyle w:val="BankNormal"/>
        <w:spacing w:after="0"/>
        <w:rPr>
          <w:rFonts w:ascii="Arial" w:hAnsi="Arial" w:cs="Arial"/>
          <w:sz w:val="22"/>
          <w:szCs w:val="22"/>
        </w:rPr>
      </w:pPr>
    </w:p>
    <w:p w14:paraId="5E92584C" w14:textId="05F0C4C8" w:rsidR="00FA00F9" w:rsidRPr="00FA00F9" w:rsidRDefault="00FA00F9" w:rsidP="00FA00F9">
      <w:pPr>
        <w:pStyle w:val="BankNormal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A00F9">
        <w:rPr>
          <w:rFonts w:ascii="Arial" w:hAnsi="Arial" w:cs="Arial"/>
          <w:sz w:val="22"/>
          <w:szCs w:val="22"/>
        </w:rPr>
        <w:t xml:space="preserve">e hope the above is a useful contribution to the GNSO Working Group’s consideration of a dispute resolution mechanism that appropriately reflects the concerns raised by IGOs </w:t>
      </w:r>
      <w:r>
        <w:rPr>
          <w:rFonts w:ascii="Arial" w:hAnsi="Arial" w:cs="Arial"/>
          <w:sz w:val="22"/>
          <w:szCs w:val="22"/>
        </w:rPr>
        <w:t>and governments</w:t>
      </w:r>
      <w:r w:rsidRPr="00FA00F9">
        <w:rPr>
          <w:rFonts w:ascii="Arial" w:hAnsi="Arial" w:cs="Arial"/>
          <w:sz w:val="22"/>
          <w:szCs w:val="22"/>
        </w:rPr>
        <w:t>.</w:t>
      </w:r>
    </w:p>
    <w:p w14:paraId="5551A90F" w14:textId="77777777" w:rsidR="00403D16" w:rsidRPr="00BC35CF" w:rsidRDefault="00403D16" w:rsidP="00FA00F9">
      <w:pPr>
        <w:pStyle w:val="BankNormal"/>
        <w:spacing w:after="0"/>
        <w:rPr>
          <w:rFonts w:ascii="Arial" w:hAnsi="Arial" w:cs="Arial"/>
          <w:sz w:val="22"/>
          <w:szCs w:val="22"/>
        </w:rPr>
      </w:pPr>
    </w:p>
    <w:sectPr w:rsidR="00403D16" w:rsidRPr="00BC35CF" w:rsidSect="007E3AA0">
      <w:headerReference w:type="default" r:id="rId10"/>
      <w:type w:val="continuous"/>
      <w:pgSz w:w="12240" w:h="15840" w:code="1"/>
      <w:pgMar w:top="72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EFE13" w14:textId="77777777" w:rsidR="005674C9" w:rsidRDefault="005674C9">
      <w:r>
        <w:separator/>
      </w:r>
    </w:p>
  </w:endnote>
  <w:endnote w:type="continuationSeparator" w:id="0">
    <w:p w14:paraId="4120E73D" w14:textId="77777777" w:rsidR="005674C9" w:rsidRDefault="005674C9">
      <w:r>
        <w:continuationSeparator/>
      </w:r>
    </w:p>
  </w:endnote>
  <w:endnote w:type="continuationNotice" w:id="1">
    <w:p w14:paraId="7BAB7BD7" w14:textId="77777777" w:rsidR="005674C9" w:rsidRDefault="00567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5AB4E" w14:textId="77777777" w:rsidR="005674C9" w:rsidRDefault="005674C9">
      <w:r>
        <w:separator/>
      </w:r>
    </w:p>
  </w:footnote>
  <w:footnote w:type="continuationSeparator" w:id="0">
    <w:p w14:paraId="08AA352B" w14:textId="77777777" w:rsidR="005674C9" w:rsidRDefault="005674C9">
      <w:r>
        <w:continuationSeparator/>
      </w:r>
    </w:p>
  </w:footnote>
  <w:footnote w:type="continuationNotice" w:id="1">
    <w:p w14:paraId="4BD44CE8" w14:textId="77777777" w:rsidR="005674C9" w:rsidRDefault="005674C9"/>
  </w:footnote>
  <w:footnote w:id="2">
    <w:p w14:paraId="2389EEAC" w14:textId="7EA98577" w:rsidR="001B1E1C" w:rsidRDefault="001B1E1C" w:rsidP="00FA00F9">
      <w:pPr>
        <w:pStyle w:val="BankNormal"/>
        <w:spacing w:after="0"/>
        <w:rPr>
          <w:rFonts w:ascii="Arial" w:hAnsi="Arial" w:cs="Arial"/>
          <w:sz w:val="20"/>
        </w:rPr>
      </w:pPr>
      <w:r w:rsidRPr="00453F6D">
        <w:rPr>
          <w:rStyle w:val="FootnoteReference"/>
          <w:rFonts w:ascii="Arial" w:hAnsi="Arial" w:cs="Arial"/>
          <w:sz w:val="20"/>
        </w:rPr>
        <w:footnoteRef/>
      </w:r>
      <w:r w:rsidRPr="00453F6D">
        <w:rPr>
          <w:rFonts w:ascii="Arial" w:hAnsi="Arial" w:cs="Arial"/>
          <w:sz w:val="20"/>
        </w:rPr>
        <w:t xml:space="preserve"> We are not commenting here on the issue of preventative or curative rights.  We raise the issue only to put the motivation behind the </w:t>
      </w:r>
      <w:r w:rsidR="0079710A" w:rsidRPr="00453F6D">
        <w:rPr>
          <w:rFonts w:ascii="Arial" w:hAnsi="Arial" w:cs="Arial"/>
          <w:sz w:val="20"/>
        </w:rPr>
        <w:t xml:space="preserve">Swaine </w:t>
      </w:r>
      <w:r w:rsidRPr="00453F6D">
        <w:rPr>
          <w:rFonts w:ascii="Arial" w:hAnsi="Arial" w:cs="Arial"/>
          <w:sz w:val="20"/>
        </w:rPr>
        <w:t>Memo in the broader context.</w:t>
      </w:r>
    </w:p>
    <w:p w14:paraId="76BB5FCE" w14:textId="77777777" w:rsidR="00FA00F9" w:rsidRPr="00453F6D" w:rsidRDefault="00FA00F9" w:rsidP="00FA00F9">
      <w:pPr>
        <w:pStyle w:val="BankNormal"/>
        <w:spacing w:after="0"/>
        <w:rPr>
          <w:rFonts w:ascii="Arial" w:hAnsi="Arial" w:cs="Arial"/>
          <w:sz w:val="20"/>
        </w:rPr>
      </w:pPr>
    </w:p>
  </w:footnote>
  <w:footnote w:id="3">
    <w:p w14:paraId="7D95FDE5" w14:textId="44BEBB0C" w:rsidR="00340700" w:rsidRDefault="00340700" w:rsidP="00FA00F9">
      <w:pPr>
        <w:pStyle w:val="BankNormal"/>
        <w:spacing w:after="0"/>
        <w:rPr>
          <w:rFonts w:ascii="Arial" w:hAnsi="Arial" w:cs="Arial"/>
          <w:sz w:val="20"/>
        </w:rPr>
      </w:pPr>
      <w:r w:rsidRPr="00453F6D">
        <w:rPr>
          <w:rStyle w:val="FootnoteReference"/>
          <w:rFonts w:ascii="Arial" w:hAnsi="Arial" w:cs="Arial"/>
          <w:sz w:val="20"/>
        </w:rPr>
        <w:footnoteRef/>
      </w:r>
      <w:r w:rsidRPr="00453F6D">
        <w:rPr>
          <w:rFonts w:ascii="Arial" w:hAnsi="Arial" w:cs="Arial"/>
          <w:sz w:val="20"/>
        </w:rPr>
        <w:t xml:space="preserve"> </w:t>
      </w:r>
      <w:r w:rsidR="00B7246B" w:rsidRPr="00453F6D">
        <w:rPr>
          <w:rFonts w:ascii="Arial" w:hAnsi="Arial" w:cs="Arial"/>
          <w:sz w:val="20"/>
        </w:rPr>
        <w:t>“</w:t>
      </w:r>
      <w:r w:rsidR="000F5E59" w:rsidRPr="00453F6D">
        <w:rPr>
          <w:rFonts w:ascii="Arial" w:hAnsi="Arial" w:cs="Arial"/>
          <w:sz w:val="20"/>
        </w:rPr>
        <w:t>L</w:t>
      </w:r>
      <w:r w:rsidRPr="00453F6D">
        <w:rPr>
          <w:rFonts w:ascii="Arial" w:hAnsi="Arial" w:cs="Arial"/>
          <w:sz w:val="20"/>
        </w:rPr>
        <w:t>ittle may ride on the distinction between absolute and functional immunity, and ultimately little may depend on the potential scope of immunity at all</w:t>
      </w:r>
      <w:r w:rsidR="00B7246B" w:rsidRPr="00453F6D">
        <w:rPr>
          <w:rFonts w:ascii="Arial" w:hAnsi="Arial" w:cs="Arial"/>
          <w:sz w:val="20"/>
        </w:rPr>
        <w:t>”</w:t>
      </w:r>
      <w:r w:rsidRPr="00453F6D">
        <w:rPr>
          <w:rFonts w:ascii="Arial" w:hAnsi="Arial" w:cs="Arial"/>
          <w:sz w:val="20"/>
        </w:rPr>
        <w:t>.</w:t>
      </w:r>
      <w:r w:rsidR="009027C6">
        <w:rPr>
          <w:rFonts w:ascii="Arial" w:hAnsi="Arial" w:cs="Arial"/>
          <w:sz w:val="20"/>
        </w:rPr>
        <w:t xml:space="preserve"> </w:t>
      </w:r>
      <w:r w:rsidRPr="00453F6D">
        <w:rPr>
          <w:rFonts w:ascii="Arial" w:hAnsi="Arial" w:cs="Arial"/>
          <w:sz w:val="20"/>
        </w:rPr>
        <w:t xml:space="preserve"> Swain</w:t>
      </w:r>
      <w:r w:rsidR="00011D7F">
        <w:rPr>
          <w:rFonts w:ascii="Arial" w:hAnsi="Arial" w:cs="Arial"/>
          <w:sz w:val="20"/>
        </w:rPr>
        <w:t>e Memo,</w:t>
      </w:r>
      <w:r w:rsidRPr="00453F6D">
        <w:rPr>
          <w:rFonts w:ascii="Arial" w:hAnsi="Arial" w:cs="Arial"/>
          <w:sz w:val="20"/>
        </w:rPr>
        <w:t xml:space="preserve"> p. 15. </w:t>
      </w:r>
      <w:r w:rsidR="009027C6">
        <w:rPr>
          <w:rFonts w:ascii="Arial" w:hAnsi="Arial" w:cs="Arial"/>
          <w:sz w:val="20"/>
        </w:rPr>
        <w:t xml:space="preserve"> </w:t>
      </w:r>
      <w:r w:rsidRPr="00453F6D">
        <w:rPr>
          <w:rFonts w:ascii="Arial" w:hAnsi="Arial" w:cs="Arial"/>
          <w:sz w:val="20"/>
        </w:rPr>
        <w:t xml:space="preserve">Regarding a functional test: “an argument that it is part of an IGO’s mission to maintain the distinctive character of its name, and avoid confusing domain-name registration, and thus deserving of </w:t>
      </w:r>
      <w:r w:rsidR="00B7246B" w:rsidRPr="00453F6D">
        <w:rPr>
          <w:rFonts w:ascii="Arial" w:hAnsi="Arial" w:cs="Arial"/>
          <w:sz w:val="20"/>
        </w:rPr>
        <w:t>immunity</w:t>
      </w:r>
      <w:r w:rsidRPr="00453F6D">
        <w:rPr>
          <w:rFonts w:ascii="Arial" w:hAnsi="Arial" w:cs="Arial"/>
          <w:sz w:val="20"/>
        </w:rPr>
        <w:t xml:space="preserve">, seems </w:t>
      </w:r>
      <w:r w:rsidR="00B7246B" w:rsidRPr="00453F6D">
        <w:rPr>
          <w:rFonts w:ascii="Arial" w:hAnsi="Arial" w:cs="Arial"/>
          <w:sz w:val="20"/>
        </w:rPr>
        <w:t>colo</w:t>
      </w:r>
      <w:r w:rsidRPr="00453F6D">
        <w:rPr>
          <w:rFonts w:ascii="Arial" w:hAnsi="Arial" w:cs="Arial"/>
          <w:sz w:val="20"/>
        </w:rPr>
        <w:t xml:space="preserve">rable or even likely to prevail.” </w:t>
      </w:r>
      <w:r w:rsidR="00011D7F">
        <w:rPr>
          <w:rFonts w:ascii="Arial" w:hAnsi="Arial" w:cs="Arial"/>
          <w:sz w:val="20"/>
        </w:rPr>
        <w:t xml:space="preserve"> </w:t>
      </w:r>
      <w:r w:rsidRPr="00453F6D">
        <w:rPr>
          <w:rFonts w:ascii="Arial" w:hAnsi="Arial" w:cs="Arial"/>
          <w:sz w:val="20"/>
        </w:rPr>
        <w:t>Swain</w:t>
      </w:r>
      <w:r w:rsidR="00011D7F">
        <w:rPr>
          <w:rFonts w:ascii="Arial" w:hAnsi="Arial" w:cs="Arial"/>
          <w:sz w:val="20"/>
        </w:rPr>
        <w:t>e Memo,</w:t>
      </w:r>
      <w:r w:rsidRPr="00453F6D">
        <w:rPr>
          <w:rFonts w:ascii="Arial" w:hAnsi="Arial" w:cs="Arial"/>
          <w:sz w:val="20"/>
        </w:rPr>
        <w:t xml:space="preserve"> p. 21.</w:t>
      </w:r>
    </w:p>
    <w:p w14:paraId="0D574EF0" w14:textId="77777777" w:rsidR="00FA00F9" w:rsidRPr="00453F6D" w:rsidRDefault="00FA00F9" w:rsidP="00FA00F9">
      <w:pPr>
        <w:pStyle w:val="BankNormal"/>
        <w:spacing w:after="0"/>
        <w:rPr>
          <w:rFonts w:ascii="Arial" w:hAnsi="Arial" w:cs="Arial"/>
          <w:sz w:val="20"/>
          <w:lang w:val="en-GB"/>
        </w:rPr>
      </w:pPr>
    </w:p>
  </w:footnote>
  <w:footnote w:id="4">
    <w:p w14:paraId="7E3A29FB" w14:textId="4DCA9E70" w:rsidR="002B0B09" w:rsidRDefault="002B0B09" w:rsidP="00FA00F9">
      <w:pPr>
        <w:pStyle w:val="FootnoteText"/>
        <w:spacing w:after="0"/>
        <w:ind w:left="0" w:firstLine="0"/>
        <w:rPr>
          <w:rFonts w:ascii="Arial" w:hAnsi="Arial" w:cs="Arial"/>
        </w:rPr>
      </w:pPr>
      <w:r w:rsidRPr="00453F6D">
        <w:rPr>
          <w:rStyle w:val="FootnoteReference"/>
          <w:rFonts w:ascii="Arial" w:hAnsi="Arial" w:cs="Arial"/>
          <w:sz w:val="20"/>
        </w:rPr>
        <w:footnoteRef/>
      </w:r>
      <w:r w:rsidRPr="00453F6D">
        <w:rPr>
          <w:rFonts w:ascii="Arial" w:hAnsi="Arial" w:cs="Arial"/>
        </w:rPr>
        <w:t xml:space="preserve"> Swain</w:t>
      </w:r>
      <w:r w:rsidR="00011D7F">
        <w:rPr>
          <w:rFonts w:ascii="Arial" w:hAnsi="Arial" w:cs="Arial"/>
        </w:rPr>
        <w:t>e Memo</w:t>
      </w:r>
      <w:r w:rsidRPr="00453F6D">
        <w:rPr>
          <w:rFonts w:ascii="Arial" w:hAnsi="Arial" w:cs="Arial"/>
        </w:rPr>
        <w:t>, p. 9.</w:t>
      </w:r>
    </w:p>
    <w:p w14:paraId="641A8BE8" w14:textId="77777777" w:rsidR="009027C6" w:rsidRPr="00453F6D" w:rsidRDefault="009027C6" w:rsidP="00FA00F9">
      <w:pPr>
        <w:pStyle w:val="FootnoteText"/>
        <w:spacing w:after="0"/>
        <w:ind w:left="0" w:firstLine="0"/>
        <w:rPr>
          <w:rFonts w:ascii="Arial" w:hAnsi="Arial" w:cs="Arial"/>
        </w:rPr>
      </w:pPr>
    </w:p>
  </w:footnote>
  <w:footnote w:id="5">
    <w:p w14:paraId="186982B0" w14:textId="12B36DE8" w:rsidR="00340700" w:rsidRPr="00453F6D" w:rsidRDefault="00340700" w:rsidP="00FA00F9">
      <w:pPr>
        <w:pStyle w:val="BankNormal"/>
        <w:spacing w:after="0"/>
        <w:rPr>
          <w:rFonts w:ascii="Arial" w:hAnsi="Arial" w:cs="Arial"/>
          <w:sz w:val="20"/>
        </w:rPr>
      </w:pPr>
      <w:r w:rsidRPr="00453F6D">
        <w:rPr>
          <w:rStyle w:val="FootnoteReference"/>
          <w:rFonts w:ascii="Arial" w:hAnsi="Arial" w:cs="Arial"/>
          <w:sz w:val="20"/>
        </w:rPr>
        <w:footnoteRef/>
      </w:r>
      <w:r w:rsidRPr="00453F6D">
        <w:rPr>
          <w:rFonts w:ascii="Arial" w:hAnsi="Arial" w:cs="Arial"/>
          <w:sz w:val="20"/>
        </w:rPr>
        <w:t xml:space="preserve"> “The way that IGOs typically resolve the tension between immunity and judicial processes is to establish a non-judicial dispute resolution process, usually consisting of some form of arbitration” Swain</w:t>
      </w:r>
      <w:r w:rsidR="00011D7F">
        <w:rPr>
          <w:rFonts w:ascii="Arial" w:hAnsi="Arial" w:cs="Arial"/>
          <w:sz w:val="20"/>
        </w:rPr>
        <w:t>e Memo</w:t>
      </w:r>
      <w:r w:rsidRPr="00453F6D">
        <w:rPr>
          <w:rFonts w:ascii="Arial" w:hAnsi="Arial" w:cs="Arial"/>
          <w:sz w:val="20"/>
        </w:rPr>
        <w:t>, p. 28.</w:t>
      </w:r>
    </w:p>
  </w:footnote>
  <w:footnote w:id="6">
    <w:p w14:paraId="6EF1F9F1" w14:textId="77777777" w:rsidR="00FA00F9" w:rsidRDefault="00FA00F9" w:rsidP="00FA00F9">
      <w:pPr>
        <w:pStyle w:val="FootnoteText"/>
        <w:spacing w:after="0"/>
        <w:rPr>
          <w:rFonts w:ascii="Arial" w:hAnsi="Arial" w:cs="Arial"/>
        </w:rPr>
      </w:pPr>
    </w:p>
    <w:p w14:paraId="22C76132" w14:textId="4AE234AE" w:rsidR="00340700" w:rsidRPr="00453F6D" w:rsidRDefault="00340700" w:rsidP="00FA00F9">
      <w:pPr>
        <w:pStyle w:val="FootnoteText"/>
        <w:spacing w:after="0"/>
        <w:rPr>
          <w:rFonts w:ascii="Arial" w:hAnsi="Arial" w:cs="Arial"/>
        </w:rPr>
      </w:pPr>
      <w:r w:rsidRPr="00453F6D">
        <w:rPr>
          <w:rStyle w:val="FootnoteReference"/>
          <w:rFonts w:ascii="Arial" w:hAnsi="Arial" w:cs="Arial"/>
          <w:sz w:val="20"/>
        </w:rPr>
        <w:footnoteRef/>
      </w:r>
      <w:r w:rsidRPr="00453F6D">
        <w:rPr>
          <w:rFonts w:ascii="Arial" w:hAnsi="Arial" w:cs="Arial"/>
        </w:rPr>
        <w:t xml:space="preserve"> Swain</w:t>
      </w:r>
      <w:r w:rsidR="00403D16">
        <w:rPr>
          <w:rFonts w:ascii="Arial" w:hAnsi="Arial" w:cs="Arial"/>
        </w:rPr>
        <w:t>e Memo,</w:t>
      </w:r>
      <w:r w:rsidRPr="00453F6D">
        <w:rPr>
          <w:rFonts w:ascii="Arial" w:hAnsi="Arial" w:cs="Arial"/>
        </w:rPr>
        <w:t xml:space="preserve"> p. 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88B09" w14:textId="0842B67C" w:rsidR="007E3AA0" w:rsidRPr="00816D9D" w:rsidRDefault="00212767">
    <w:pPr>
      <w:pStyle w:val="Header"/>
      <w:tabs>
        <w:tab w:val="clear" w:pos="7200"/>
        <w:tab w:val="right" w:pos="8640"/>
      </w:tabs>
      <w:rPr>
        <w:rFonts w:ascii="Arial" w:hAnsi="Arial" w:cs="Arial"/>
        <w:sz w:val="20"/>
      </w:rPr>
    </w:pPr>
    <w:r w:rsidRPr="00816D9D">
      <w:rPr>
        <w:rFonts w:ascii="Arial" w:hAnsi="Arial" w:cs="Arial"/>
        <w:sz w:val="20"/>
      </w:rPr>
      <w:t>GNSO W</w:t>
    </w:r>
    <w:r w:rsidR="00167BDD">
      <w:rPr>
        <w:rFonts w:ascii="Arial" w:hAnsi="Arial" w:cs="Arial"/>
        <w:sz w:val="20"/>
      </w:rPr>
      <w:t xml:space="preserve">orking </w:t>
    </w:r>
    <w:r w:rsidRPr="00816D9D">
      <w:rPr>
        <w:rFonts w:ascii="Arial" w:hAnsi="Arial" w:cs="Arial"/>
        <w:sz w:val="20"/>
      </w:rPr>
      <w:t>G</w:t>
    </w:r>
    <w:r w:rsidR="00167BDD">
      <w:rPr>
        <w:rFonts w:ascii="Arial" w:hAnsi="Arial" w:cs="Arial"/>
        <w:sz w:val="20"/>
      </w:rPr>
      <w:t>roup</w:t>
    </w:r>
    <w:r w:rsidRPr="00816D9D">
      <w:rPr>
        <w:rFonts w:ascii="Arial" w:hAnsi="Arial" w:cs="Arial"/>
        <w:sz w:val="20"/>
      </w:rPr>
      <w:t>, ICANN</w:t>
    </w:r>
    <w:r w:rsidR="001542F8" w:rsidRPr="00816D9D">
      <w:rPr>
        <w:rFonts w:ascii="Arial" w:hAnsi="Arial" w:cs="Arial"/>
        <w:sz w:val="20"/>
      </w:rPr>
      <w:tab/>
      <w:t>-</w:t>
    </w:r>
    <w:r w:rsidR="007E3AA0" w:rsidRPr="00816D9D">
      <w:rPr>
        <w:rFonts w:ascii="Arial" w:hAnsi="Arial" w:cs="Arial"/>
        <w:sz w:val="20"/>
      </w:rPr>
      <w:fldChar w:fldCharType="begin"/>
    </w:r>
    <w:r w:rsidR="001542F8" w:rsidRPr="00816D9D">
      <w:rPr>
        <w:rFonts w:ascii="Arial" w:hAnsi="Arial" w:cs="Arial"/>
        <w:sz w:val="20"/>
      </w:rPr>
      <w:instrText>PAGE</w:instrText>
    </w:r>
    <w:r w:rsidR="007E3AA0" w:rsidRPr="00816D9D">
      <w:rPr>
        <w:rFonts w:ascii="Arial" w:hAnsi="Arial" w:cs="Arial"/>
        <w:sz w:val="20"/>
      </w:rPr>
      <w:fldChar w:fldCharType="separate"/>
    </w:r>
    <w:r w:rsidR="00E002EE">
      <w:rPr>
        <w:rFonts w:ascii="Arial" w:hAnsi="Arial" w:cs="Arial"/>
        <w:noProof/>
        <w:sz w:val="20"/>
      </w:rPr>
      <w:t>2</w:t>
    </w:r>
    <w:r w:rsidR="007E3AA0" w:rsidRPr="00816D9D">
      <w:rPr>
        <w:rFonts w:ascii="Arial" w:hAnsi="Arial" w:cs="Arial"/>
        <w:sz w:val="20"/>
      </w:rPr>
      <w:fldChar w:fldCharType="end"/>
    </w:r>
    <w:r w:rsidR="001542F8" w:rsidRPr="00816D9D">
      <w:rPr>
        <w:rFonts w:ascii="Arial" w:hAnsi="Arial" w:cs="Arial"/>
        <w:sz w:val="20"/>
      </w:rPr>
      <w:t>-</w:t>
    </w:r>
    <w:r w:rsidR="001542F8" w:rsidRPr="00816D9D">
      <w:rPr>
        <w:rFonts w:ascii="Arial" w:hAnsi="Arial" w:cs="Arial"/>
        <w:sz w:val="20"/>
      </w:rPr>
      <w:tab/>
    </w:r>
    <w:r w:rsidR="007E3AA0" w:rsidRPr="00816D9D">
      <w:rPr>
        <w:rFonts w:ascii="Arial" w:hAnsi="Arial" w:cs="Arial"/>
        <w:sz w:val="20"/>
      </w:rPr>
      <w:fldChar w:fldCharType="begin"/>
    </w:r>
    <w:r w:rsidR="001542F8" w:rsidRPr="00816D9D">
      <w:rPr>
        <w:rFonts w:ascii="Arial" w:hAnsi="Arial" w:cs="Arial"/>
        <w:sz w:val="20"/>
      </w:rPr>
      <w:instrText xml:space="preserve"> CREATEDATE \@ "MMMM d, yyyy" \* MERGEFORMAT </w:instrText>
    </w:r>
    <w:r w:rsidR="007E3AA0" w:rsidRPr="00816D9D">
      <w:rPr>
        <w:rFonts w:ascii="Arial" w:hAnsi="Arial" w:cs="Arial"/>
        <w:sz w:val="20"/>
      </w:rPr>
      <w:fldChar w:fldCharType="separate"/>
    </w:r>
    <w:r w:rsidR="00E002EE">
      <w:rPr>
        <w:rFonts w:ascii="Arial" w:hAnsi="Arial" w:cs="Arial"/>
        <w:noProof/>
        <w:sz w:val="20"/>
      </w:rPr>
      <w:t>July 12, 2016</w:t>
    </w:r>
    <w:r w:rsidR="007E3AA0" w:rsidRPr="00816D9D">
      <w:rPr>
        <w:rFonts w:ascii="Arial" w:hAnsi="Arial" w:cs="Arial"/>
        <w:sz w:val="20"/>
      </w:rPr>
      <w:fldChar w:fldCharType="end"/>
    </w:r>
  </w:p>
  <w:p w14:paraId="552ACA3C" w14:textId="77777777" w:rsidR="007E3AA0" w:rsidRPr="00816D9D" w:rsidRDefault="007E3AA0">
    <w:pPr>
      <w:pStyle w:val="Header"/>
      <w:rPr>
        <w:rFonts w:ascii="Arial" w:hAnsi="Arial" w:cs="Arial"/>
        <w:sz w:val="20"/>
      </w:rPr>
    </w:pPr>
  </w:p>
  <w:p w14:paraId="6F9B1923" w14:textId="41CCA5B0" w:rsidR="00816D9D" w:rsidRDefault="00816D9D">
    <w:pPr>
      <w:pStyle w:val="Header"/>
      <w:rPr>
        <w:rFonts w:ascii="Arial" w:hAnsi="Arial" w:cs="Arial"/>
        <w:sz w:val="20"/>
      </w:rPr>
    </w:pPr>
    <w:r w:rsidRPr="00816D9D">
      <w:rPr>
        <w:rFonts w:ascii="Arial" w:hAnsi="Arial" w:cs="Arial"/>
        <w:sz w:val="20"/>
      </w:rPr>
      <w:t xml:space="preserve">Comments of </w:t>
    </w:r>
    <w:r>
      <w:rPr>
        <w:rFonts w:ascii="Arial" w:hAnsi="Arial" w:cs="Arial"/>
        <w:sz w:val="20"/>
      </w:rPr>
      <w:t>c</w:t>
    </w:r>
    <w:r w:rsidRPr="00816D9D">
      <w:rPr>
        <w:rFonts w:ascii="Arial" w:hAnsi="Arial" w:cs="Arial"/>
        <w:sz w:val="20"/>
      </w:rPr>
      <w:t xml:space="preserve">ertain IGOs </w:t>
    </w:r>
    <w:r>
      <w:rPr>
        <w:rFonts w:ascii="Arial" w:hAnsi="Arial" w:cs="Arial"/>
        <w:sz w:val="20"/>
      </w:rPr>
      <w:t>on</w:t>
    </w:r>
    <w:r w:rsidRPr="00816D9D">
      <w:rPr>
        <w:rFonts w:ascii="Arial" w:hAnsi="Arial" w:cs="Arial"/>
        <w:sz w:val="20"/>
      </w:rPr>
      <w:t xml:space="preserve"> the memorandum of Prof. E. Swaine regarding “IGO Immunity”</w:t>
    </w:r>
  </w:p>
  <w:p w14:paraId="7157ACE8" w14:textId="77777777" w:rsidR="00816D9D" w:rsidRDefault="00816D9D">
    <w:pPr>
      <w:pStyle w:val="Header"/>
      <w:pBdr>
        <w:bottom w:val="single" w:sz="6" w:space="1" w:color="auto"/>
      </w:pBdr>
      <w:rPr>
        <w:rFonts w:ascii="Arial" w:hAnsi="Arial" w:cs="Arial"/>
        <w:sz w:val="20"/>
      </w:rPr>
    </w:pPr>
  </w:p>
  <w:p w14:paraId="1EB9E2EB" w14:textId="77777777" w:rsidR="00816D9D" w:rsidRPr="00816D9D" w:rsidRDefault="00816D9D">
    <w:pPr>
      <w:pStyle w:val="Header"/>
      <w:rPr>
        <w:rFonts w:ascii="Arial" w:hAnsi="Arial" w:cs="Arial"/>
        <w:sz w:val="20"/>
      </w:rPr>
    </w:pPr>
  </w:p>
  <w:p w14:paraId="659D4433" w14:textId="77777777" w:rsidR="007E3AA0" w:rsidRPr="00816D9D" w:rsidRDefault="007E3AA0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0" w:hanging="72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hanging="72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hanging="720"/>
      </w:pPr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14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2160" w:hanging="720"/>
      </w:pPr>
    </w:lvl>
    <w:lvl w:ilvl="7">
      <w:start w:val="1"/>
      <w:numFmt w:val="lowerLetter"/>
      <w:pStyle w:val="Heading8"/>
      <w:lvlText w:val="%8."/>
      <w:legacy w:legacy="1" w:legacySpace="0" w:legacyIndent="720"/>
      <w:lvlJc w:val="left"/>
      <w:pPr>
        <w:ind w:left="2880" w:hanging="720"/>
      </w:pPr>
    </w:lvl>
    <w:lvl w:ilvl="8">
      <w:start w:val="1"/>
      <w:numFmt w:val="lowerRoman"/>
      <w:pStyle w:val="Heading9"/>
      <w:lvlText w:val="%9."/>
      <w:legacy w:legacy="1" w:legacySpace="0" w:legacyIndent="720"/>
      <w:lvlJc w:val="left"/>
      <w:pPr>
        <w:ind w:left="36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49"/>
    <w:rsid w:val="00011D7F"/>
    <w:rsid w:val="00031A2B"/>
    <w:rsid w:val="000704F8"/>
    <w:rsid w:val="000C1047"/>
    <w:rsid w:val="000D1BF5"/>
    <w:rsid w:val="000F49AF"/>
    <w:rsid w:val="000F5E59"/>
    <w:rsid w:val="00116C6C"/>
    <w:rsid w:val="001542F8"/>
    <w:rsid w:val="00167BDD"/>
    <w:rsid w:val="001B1E1C"/>
    <w:rsid w:val="001E6998"/>
    <w:rsid w:val="001E78C0"/>
    <w:rsid w:val="00212767"/>
    <w:rsid w:val="002140A5"/>
    <w:rsid w:val="00235764"/>
    <w:rsid w:val="00240FFD"/>
    <w:rsid w:val="002453C7"/>
    <w:rsid w:val="00255261"/>
    <w:rsid w:val="002608A4"/>
    <w:rsid w:val="0026606B"/>
    <w:rsid w:val="0027294C"/>
    <w:rsid w:val="002A4094"/>
    <w:rsid w:val="002A7337"/>
    <w:rsid w:val="002B0B09"/>
    <w:rsid w:val="00304285"/>
    <w:rsid w:val="00306319"/>
    <w:rsid w:val="00337679"/>
    <w:rsid w:val="00340700"/>
    <w:rsid w:val="00381E89"/>
    <w:rsid w:val="003C2C2B"/>
    <w:rsid w:val="003E2C92"/>
    <w:rsid w:val="00403D16"/>
    <w:rsid w:val="00453F6D"/>
    <w:rsid w:val="00455AAD"/>
    <w:rsid w:val="00460889"/>
    <w:rsid w:val="005472A4"/>
    <w:rsid w:val="0056518B"/>
    <w:rsid w:val="005674C9"/>
    <w:rsid w:val="00573674"/>
    <w:rsid w:val="006052BD"/>
    <w:rsid w:val="00616B22"/>
    <w:rsid w:val="006318F8"/>
    <w:rsid w:val="00687316"/>
    <w:rsid w:val="0074469B"/>
    <w:rsid w:val="00781124"/>
    <w:rsid w:val="00792331"/>
    <w:rsid w:val="0079710A"/>
    <w:rsid w:val="007E3374"/>
    <w:rsid w:val="007E3AA0"/>
    <w:rsid w:val="00816D9D"/>
    <w:rsid w:val="008657E3"/>
    <w:rsid w:val="008A2B96"/>
    <w:rsid w:val="008C535C"/>
    <w:rsid w:val="008F133B"/>
    <w:rsid w:val="009027C6"/>
    <w:rsid w:val="00905CC2"/>
    <w:rsid w:val="00A70777"/>
    <w:rsid w:val="00A76AC2"/>
    <w:rsid w:val="00AC53A7"/>
    <w:rsid w:val="00B6246B"/>
    <w:rsid w:val="00B7246B"/>
    <w:rsid w:val="00BA2F28"/>
    <w:rsid w:val="00BC35CF"/>
    <w:rsid w:val="00BF4381"/>
    <w:rsid w:val="00C4638B"/>
    <w:rsid w:val="00C761D4"/>
    <w:rsid w:val="00CB4AC3"/>
    <w:rsid w:val="00CC7759"/>
    <w:rsid w:val="00CD5AAF"/>
    <w:rsid w:val="00D7380B"/>
    <w:rsid w:val="00D82ECB"/>
    <w:rsid w:val="00E002EE"/>
    <w:rsid w:val="00E2082C"/>
    <w:rsid w:val="00EB7AA4"/>
    <w:rsid w:val="00ED2537"/>
    <w:rsid w:val="00EF30AE"/>
    <w:rsid w:val="00F05F6B"/>
    <w:rsid w:val="00F33449"/>
    <w:rsid w:val="00F739C8"/>
    <w:rsid w:val="00FA00F9"/>
    <w:rsid w:val="00FB1540"/>
    <w:rsid w:val="00FC4CC7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B37EAC6-F6EA-42E9-AADA-043CB067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AA0"/>
    <w:rPr>
      <w:sz w:val="24"/>
    </w:rPr>
  </w:style>
  <w:style w:type="paragraph" w:styleId="Heading1">
    <w:name w:val="heading 1"/>
    <w:basedOn w:val="Normal"/>
    <w:next w:val="BankNormal"/>
    <w:qFormat/>
    <w:rsid w:val="007E3AA0"/>
    <w:pPr>
      <w:keepNext/>
      <w:keepLines/>
      <w:numPr>
        <w:numId w:val="1"/>
      </w:numPr>
      <w:spacing w:before="360" w:after="240"/>
      <w:ind w:firstLine="0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BankNormal"/>
    <w:qFormat/>
    <w:rsid w:val="007E3AA0"/>
    <w:pPr>
      <w:keepNext/>
      <w:keepLines/>
      <w:numPr>
        <w:ilvl w:val="1"/>
        <w:numId w:val="1"/>
      </w:numPr>
      <w:spacing w:before="120" w:after="240"/>
      <w:ind w:firstLine="0"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BankNormal"/>
    <w:qFormat/>
    <w:rsid w:val="007E3AA0"/>
    <w:pPr>
      <w:keepNext/>
      <w:keepLines/>
      <w:numPr>
        <w:ilvl w:val="2"/>
        <w:numId w:val="1"/>
      </w:numPr>
      <w:spacing w:before="120" w:after="240"/>
      <w:ind w:firstLine="0"/>
      <w:outlineLvl w:val="2"/>
    </w:pPr>
    <w:rPr>
      <w:b/>
    </w:rPr>
  </w:style>
  <w:style w:type="paragraph" w:styleId="Heading4">
    <w:name w:val="heading 4"/>
    <w:basedOn w:val="Normal"/>
    <w:next w:val="BankNormal"/>
    <w:qFormat/>
    <w:rsid w:val="007E3AA0"/>
    <w:pPr>
      <w:keepNext/>
      <w:keepLines/>
      <w:numPr>
        <w:ilvl w:val="3"/>
        <w:numId w:val="1"/>
      </w:numPr>
      <w:spacing w:before="120" w:after="240"/>
      <w:ind w:firstLine="0"/>
      <w:outlineLvl w:val="3"/>
    </w:pPr>
    <w:rPr>
      <w:b/>
      <w:i/>
    </w:rPr>
  </w:style>
  <w:style w:type="paragraph" w:styleId="Heading5">
    <w:name w:val="heading 5"/>
    <w:basedOn w:val="Normal"/>
    <w:next w:val="BankNormal"/>
    <w:qFormat/>
    <w:rsid w:val="007E3AA0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BankNormal"/>
    <w:qFormat/>
    <w:rsid w:val="007E3AA0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BankNormal"/>
    <w:qFormat/>
    <w:rsid w:val="007E3AA0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ankNormal"/>
    <w:qFormat/>
    <w:rsid w:val="007E3AA0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BankNormal"/>
    <w:qFormat/>
    <w:rsid w:val="007E3AA0"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7E3AA0"/>
    <w:pPr>
      <w:spacing w:after="240"/>
    </w:pPr>
  </w:style>
  <w:style w:type="paragraph" w:customStyle="1" w:styleId="ChapterNumber">
    <w:name w:val="ChapterNumber"/>
    <w:basedOn w:val="Normal"/>
    <w:next w:val="Normal"/>
    <w:rsid w:val="007E3AA0"/>
    <w:pPr>
      <w:spacing w:after="360"/>
    </w:pPr>
  </w:style>
  <w:style w:type="paragraph" w:styleId="Footer">
    <w:name w:val="footer"/>
    <w:basedOn w:val="Normal"/>
    <w:semiHidden/>
    <w:rsid w:val="007E3AA0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7E3AA0"/>
    <w:rPr>
      <w:rFonts w:ascii="Times New Roman" w:hAnsi="Times New Roman"/>
      <w:position w:val="0"/>
      <w:sz w:val="24"/>
      <w:vertAlign w:val="superscript"/>
    </w:rPr>
  </w:style>
  <w:style w:type="paragraph" w:styleId="FootnoteText">
    <w:name w:val="footnote text"/>
    <w:basedOn w:val="Normal"/>
    <w:semiHidden/>
    <w:rsid w:val="007E3AA0"/>
    <w:pPr>
      <w:spacing w:after="120"/>
      <w:ind w:left="432" w:hanging="432"/>
    </w:pPr>
    <w:rPr>
      <w:sz w:val="20"/>
    </w:rPr>
  </w:style>
  <w:style w:type="paragraph" w:styleId="Header">
    <w:name w:val="header"/>
    <w:basedOn w:val="Normal"/>
    <w:semiHidden/>
    <w:rsid w:val="007E3AA0"/>
    <w:pPr>
      <w:tabs>
        <w:tab w:val="center" w:pos="4320"/>
        <w:tab w:val="left" w:pos="7200"/>
      </w:tabs>
    </w:pPr>
    <w:rPr>
      <w:sz w:val="22"/>
    </w:rPr>
  </w:style>
  <w:style w:type="paragraph" w:styleId="NormalIndent">
    <w:name w:val="Normal Indent"/>
    <w:basedOn w:val="Normal"/>
    <w:semiHidden/>
    <w:rsid w:val="007E3AA0"/>
    <w:pPr>
      <w:ind w:left="720"/>
    </w:pPr>
  </w:style>
  <w:style w:type="paragraph" w:customStyle="1" w:styleId="TextBox">
    <w:name w:val="Text Box"/>
    <w:basedOn w:val="Normal"/>
    <w:rsid w:val="007E3AA0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paragraph" w:customStyle="1" w:styleId="TextBoxdots">
    <w:name w:val="Text Box (dots)"/>
    <w:basedOn w:val="Normal"/>
    <w:rsid w:val="007E3AA0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</w:rPr>
  </w:style>
  <w:style w:type="paragraph" w:customStyle="1" w:styleId="TextBoxFramed">
    <w:name w:val="Text Box Framed"/>
    <w:basedOn w:val="Normal"/>
    <w:rsid w:val="007E3AA0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customStyle="1" w:styleId="TextBoxUnframed">
    <w:name w:val="Text Box Unframed"/>
    <w:basedOn w:val="Normal"/>
    <w:rsid w:val="007E3AA0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styleId="TOC1">
    <w:name w:val="toc 1"/>
    <w:basedOn w:val="Normal"/>
    <w:next w:val="Normal"/>
    <w:semiHidden/>
    <w:rsid w:val="007E3AA0"/>
    <w:pPr>
      <w:tabs>
        <w:tab w:val="right" w:pos="8280"/>
        <w:tab w:val="right" w:pos="8640"/>
      </w:tabs>
      <w:spacing w:before="360" w:after="120"/>
      <w:ind w:right="720"/>
    </w:pPr>
    <w:rPr>
      <w:b/>
      <w:caps/>
      <w:sz w:val="32"/>
    </w:rPr>
  </w:style>
  <w:style w:type="paragraph" w:styleId="TOC2">
    <w:name w:val="toc 2"/>
    <w:basedOn w:val="Normal"/>
    <w:next w:val="Normal"/>
    <w:semiHidden/>
    <w:rsid w:val="007E3AA0"/>
    <w:pPr>
      <w:tabs>
        <w:tab w:val="right" w:leader="dot" w:pos="8280"/>
        <w:tab w:val="right" w:pos="8640"/>
      </w:tabs>
      <w:spacing w:before="120"/>
      <w:ind w:left="720" w:right="720"/>
    </w:pPr>
  </w:style>
  <w:style w:type="paragraph" w:styleId="TOC3">
    <w:name w:val="toc 3"/>
    <w:basedOn w:val="Normal"/>
    <w:next w:val="Normal"/>
    <w:semiHidden/>
    <w:rsid w:val="007E3AA0"/>
    <w:pPr>
      <w:tabs>
        <w:tab w:val="right" w:leader="dot" w:pos="8280"/>
        <w:tab w:val="right" w:pos="8640"/>
      </w:tabs>
      <w:spacing w:before="120"/>
      <w:ind w:left="1440" w:right="720"/>
    </w:pPr>
  </w:style>
  <w:style w:type="paragraph" w:styleId="TOC4">
    <w:name w:val="toc 4"/>
    <w:basedOn w:val="Normal"/>
    <w:next w:val="Normal"/>
    <w:semiHidden/>
    <w:rsid w:val="007E3AA0"/>
    <w:pPr>
      <w:tabs>
        <w:tab w:val="right" w:leader="dot" w:pos="8280"/>
        <w:tab w:val="right" w:pos="8640"/>
      </w:tabs>
      <w:spacing w:before="120"/>
      <w:ind w:left="2160" w:right="720"/>
    </w:pPr>
  </w:style>
  <w:style w:type="paragraph" w:customStyle="1" w:styleId="Heading1a">
    <w:name w:val="Heading 1a"/>
    <w:basedOn w:val="Heading1"/>
    <w:next w:val="BankNormal"/>
    <w:rsid w:val="007E3AA0"/>
    <w:pPr>
      <w:outlineLvl w:val="9"/>
    </w:pPr>
  </w:style>
  <w:style w:type="paragraph" w:customStyle="1" w:styleId="FormWorldBank">
    <w:name w:val="Form: World Bank"/>
    <w:basedOn w:val="ReferenceStyle"/>
    <w:rsid w:val="007E3AA0"/>
  </w:style>
  <w:style w:type="paragraph" w:customStyle="1" w:styleId="ReferenceStyle">
    <w:name w:val="Reference Style"/>
    <w:rsid w:val="007E3AA0"/>
  </w:style>
  <w:style w:type="paragraph" w:customStyle="1" w:styleId="FormOfficeMemo">
    <w:name w:val="Form: Office Memo"/>
    <w:basedOn w:val="ReferenceStyle"/>
    <w:rsid w:val="007E3AA0"/>
    <w:rPr>
      <w:sz w:val="46"/>
    </w:rPr>
  </w:style>
  <w:style w:type="paragraph" w:customStyle="1" w:styleId="InfoDate">
    <w:name w:val="Info: Date"/>
    <w:basedOn w:val="ReferenceStyle"/>
    <w:rsid w:val="007E3AA0"/>
    <w:pPr>
      <w:tabs>
        <w:tab w:val="right" w:pos="720"/>
        <w:tab w:val="left" w:pos="1080"/>
      </w:tabs>
    </w:pPr>
    <w:rPr>
      <w:sz w:val="22"/>
    </w:rPr>
  </w:style>
  <w:style w:type="paragraph" w:customStyle="1" w:styleId="InfoTo">
    <w:name w:val="Info: To"/>
    <w:basedOn w:val="ReferenceStyle"/>
    <w:rsid w:val="007E3AA0"/>
    <w:pPr>
      <w:tabs>
        <w:tab w:val="right" w:pos="720"/>
        <w:tab w:val="left" w:pos="1080"/>
      </w:tabs>
    </w:pPr>
    <w:rPr>
      <w:sz w:val="22"/>
    </w:rPr>
  </w:style>
  <w:style w:type="paragraph" w:customStyle="1" w:styleId="InfoFrom">
    <w:name w:val="Info: From"/>
    <w:basedOn w:val="ReferenceStyle"/>
    <w:rsid w:val="007E3AA0"/>
    <w:pPr>
      <w:tabs>
        <w:tab w:val="right" w:pos="720"/>
        <w:tab w:val="left" w:pos="1080"/>
      </w:tabs>
    </w:pPr>
    <w:rPr>
      <w:sz w:val="22"/>
    </w:rPr>
  </w:style>
  <w:style w:type="paragraph" w:customStyle="1" w:styleId="InfoExtension">
    <w:name w:val="Info: Extension"/>
    <w:basedOn w:val="ReferenceStyle"/>
    <w:rsid w:val="007E3AA0"/>
    <w:rPr>
      <w:sz w:val="22"/>
    </w:rPr>
  </w:style>
  <w:style w:type="paragraph" w:customStyle="1" w:styleId="InfoSubject">
    <w:name w:val="Info: Subject"/>
    <w:basedOn w:val="ReferenceStyle"/>
    <w:rsid w:val="007E3AA0"/>
    <w:pPr>
      <w:tabs>
        <w:tab w:val="right" w:pos="720"/>
        <w:tab w:val="left" w:pos="1080"/>
      </w:tabs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5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2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2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160702\AppData\Roaming\Microsoft\Templates\Forms\WB_Office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9ED6F142E4FAFA48AB568456ED164C21" ma:contentTypeVersion="21" ma:contentTypeDescription="" ma:contentTypeScope="" ma:versionID="596a09364573792c82061c9bbdfc501e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73a679ea272f5026a0180d43419e0dc4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e497d774-c48d-4065-9c49-8b9db899485c}" ma:internalName="TaxCatchAll" ma:showField="CatchAllData" ma:web="04f8516f-8db8-4b8d-9182-a890f6f28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e497d774-c48d-4065-9c49-8b9db899485c}" ma:internalName="TaxCatchAllLabel" ma:readOnly="true" ma:showField="CatchAllDataLabel" ma:web="04f8516f-8db8-4b8d-9182-a890f6f28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LEGOP - Legal - Operations|ab566126-acaf-4b57-aac8-2a3ae16e3081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2020-09-19T03:43:29+00:00</WBDocs_Document_Date>
    <TaxCatchAll xmlns="3e02667f-0271-471b-bd6e-11a2e16def1d">
      <Value>5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LEGOP - Legal - Operations</TermName>
          <TermId xmlns="http://schemas.microsoft.com/office/infopath/2007/PartnerControls">ab566126-acaf-4b57-aac8-2a3ae16e3081</TermId>
        </TermInfo>
      </Terms>
    </i008215bacac45029ee8cafff4c8e93b>
    <WBDocs_Information_Classification xmlns="3e02667f-0271-471b-bd6e-11a2e16def1d">Official Use Only</WBDocs_Information_Classification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C573CA0A-5127-4532-8EC2-7F6D3E285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3A707-BEBD-4502-8946-FF0EEDCE9479}"/>
</file>

<file path=customXml/itemProps3.xml><?xml version="1.0" encoding="utf-8"?>
<ds:datastoreItem xmlns:ds="http://schemas.openxmlformats.org/officeDocument/2006/customXml" ds:itemID="{D79A0106-6BB0-422B-B79D-A04CEB0074C5}"/>
</file>

<file path=customXml/itemProps4.xml><?xml version="1.0" encoding="utf-8"?>
<ds:datastoreItem xmlns:ds="http://schemas.openxmlformats.org/officeDocument/2006/customXml" ds:itemID="{BD326172-8197-4D3E-9DDF-DD165E77277B}"/>
</file>

<file path=customXml/itemProps5.xml><?xml version="1.0" encoding="utf-8"?>
<ds:datastoreItem xmlns:ds="http://schemas.openxmlformats.org/officeDocument/2006/customXml" ds:itemID="{79FE9C57-54BA-49E4-B43C-C5887B61FD61}"/>
</file>

<file path=customXml/itemProps6.xml><?xml version="1.0" encoding="utf-8"?>
<ds:datastoreItem xmlns:ds="http://schemas.openxmlformats.org/officeDocument/2006/customXml" ds:itemID="{A550F437-0D06-44B7-8294-4FC2E761EE9B}"/>
</file>

<file path=docProps/app.xml><?xml version="1.0" encoding="utf-8"?>
<Properties xmlns="http://schemas.openxmlformats.org/officeDocument/2006/extended-properties" xmlns:vt="http://schemas.openxmlformats.org/officeDocument/2006/docPropsVTypes">
  <Template>WB_Office Memo.dotx</Template>
  <TotalTime>1</TotalTime>
  <Pages>3</Pages>
  <Words>984</Words>
  <Characters>5611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Memorandum Form</vt:lpstr>
    </vt:vector>
  </TitlesOfParts>
  <Company>World Bank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Memorandum Form</dc:title>
  <dc:creator>David Satola</dc:creator>
  <cp:lastModifiedBy>David Satola</cp:lastModifiedBy>
  <cp:revision>2</cp:revision>
  <cp:lastPrinted>2016-07-12T17:02:00Z</cp:lastPrinted>
  <dcterms:created xsi:type="dcterms:W3CDTF">2016-07-12T17:03:00Z</dcterms:created>
  <dcterms:modified xsi:type="dcterms:W3CDTF">2016-07-12T17:03:00Z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0x010100F4C63C3BD852AE468EAEFD0E6C57C64F02009ED6F142E4FAFA48AB568456ED164C21</vt:lpwstr>
  </property>
  <property fmtid="{D5CDD505-2E9C-101B-9397-08002B2CF9AE}" pid="3" name="Order">
    <vt:r8>4700</vt:r8>
  </property>
  <property fmtid="{D5CDD505-2E9C-101B-9397-08002B2CF9AE}" pid="4" name="WBDocs_Originating_Unit">
    <vt:lpwstr>5;#LEGOP - Legal - Operations|ab566126-acaf-4b57-aac8-2a3ae16e3081</vt:lpwstr>
  </property>
  <property fmtid="{D5CDD505-2E9C-101B-9397-08002B2CF9AE}" pid="5" name="WBDocs_Local_Document_Type">
    <vt:lpwstr/>
  </property>
</Properties>
</file>