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33B0" w14:textId="77777777" w:rsidR="009106F4" w:rsidRPr="006E592F" w:rsidRDefault="009106F4" w:rsidP="009106F4">
      <w:pPr>
        <w:rPr>
          <w:rFonts w:asciiTheme="minorHAnsi" w:hAnsiTheme="minorHAnsi" w:cstheme="minorHAnsi"/>
          <w:bCs/>
          <w:sz w:val="22"/>
          <w:szCs w:val="22"/>
        </w:rPr>
      </w:pPr>
      <w:r w:rsidRPr="006E592F">
        <w:rPr>
          <w:rFonts w:asciiTheme="minorHAnsi" w:hAnsiTheme="minorHAnsi" w:cstheme="minorHAnsi"/>
          <w:b/>
          <w:bCs/>
          <w:sz w:val="22"/>
          <w:szCs w:val="22"/>
        </w:rPr>
        <w:t>Recommendation #4: Arbitral Review following a UDRP Proceeding</w:t>
      </w:r>
      <w:r w:rsidRPr="006E592F">
        <w:rPr>
          <w:rFonts w:asciiTheme="minorHAnsi" w:hAnsiTheme="minorHAnsi" w:cstheme="minorHAnsi"/>
          <w:bCs/>
          <w:sz w:val="22"/>
          <w:szCs w:val="22"/>
        </w:rPr>
        <w:br/>
        <w:t>The EPDP team recommends that the following provisions be added to the UDRP to accommodate the possibility of binding arbitration to review an initial panel decision issued under the UDRP:</w:t>
      </w:r>
    </w:p>
    <w:p w14:paraId="66A8B11D" w14:textId="116BA55F" w:rsidR="009106F4" w:rsidRPr="006E592F" w:rsidRDefault="009106F4" w:rsidP="009106F4">
      <w:pPr>
        <w:numPr>
          <w:ilvl w:val="0"/>
          <w:numId w:val="2"/>
        </w:numPr>
        <w:rPr>
          <w:rFonts w:asciiTheme="minorHAnsi" w:hAnsiTheme="minorHAnsi" w:cstheme="minorHAnsi"/>
          <w:bCs/>
          <w:sz w:val="22"/>
          <w:szCs w:val="22"/>
        </w:rPr>
      </w:pPr>
      <w:r w:rsidRPr="006E592F">
        <w:rPr>
          <w:rFonts w:asciiTheme="minorHAnsi" w:hAnsiTheme="minorHAnsi" w:cstheme="minorHAnsi"/>
          <w:bCs/>
          <w:sz w:val="22"/>
          <w:szCs w:val="22"/>
        </w:rPr>
        <w:t xml:space="preserve">When submitting its complaint, an IGO Complainant shall </w:t>
      </w:r>
      <w:del w:id="0" w:author="Mary Wong" w:date="2022-02-01T11:14:00Z">
        <w:r w:rsidRPr="006E592F" w:rsidDel="00B27CCD">
          <w:rPr>
            <w:rFonts w:asciiTheme="minorHAnsi" w:hAnsiTheme="minorHAnsi" w:cstheme="minorHAnsi"/>
            <w:bCs/>
            <w:sz w:val="22"/>
            <w:szCs w:val="22"/>
          </w:rPr>
          <w:delText>also</w:delText>
        </w:r>
      </w:del>
      <w:r w:rsidRPr="006E592F">
        <w:rPr>
          <w:rFonts w:asciiTheme="minorHAnsi" w:hAnsiTheme="minorHAnsi" w:cstheme="minorHAnsi"/>
          <w:bCs/>
          <w:sz w:val="22"/>
          <w:szCs w:val="22"/>
        </w:rPr>
        <w:t xml:space="preserve"> indicate </w:t>
      </w:r>
      <w:del w:id="1" w:author="Mary Wong" w:date="2022-02-01T11:12:00Z">
        <w:r w:rsidRPr="006E592F" w:rsidDel="00B27CCD">
          <w:rPr>
            <w:rFonts w:asciiTheme="minorHAnsi" w:hAnsiTheme="minorHAnsi" w:cstheme="minorHAnsi"/>
            <w:bCs/>
            <w:sz w:val="22"/>
            <w:szCs w:val="22"/>
          </w:rPr>
          <w:delText xml:space="preserve">whether </w:delText>
        </w:r>
      </w:del>
      <w:ins w:id="2" w:author="Mary Wong" w:date="2022-02-01T11:12:00Z">
        <w:r w:rsidR="00B27CCD" w:rsidRPr="006E592F">
          <w:rPr>
            <w:rFonts w:asciiTheme="minorHAnsi" w:hAnsiTheme="minorHAnsi" w:cstheme="minorHAnsi"/>
            <w:bCs/>
            <w:sz w:val="22"/>
            <w:szCs w:val="22"/>
          </w:rPr>
          <w:t xml:space="preserve">that </w:t>
        </w:r>
      </w:ins>
      <w:r w:rsidRPr="006E592F">
        <w:rPr>
          <w:rFonts w:asciiTheme="minorHAnsi" w:hAnsiTheme="minorHAnsi" w:cstheme="minorHAnsi"/>
          <w:bCs/>
          <w:sz w:val="22"/>
          <w:szCs w:val="22"/>
        </w:rPr>
        <w:t>it agrees</w:t>
      </w:r>
      <w:del w:id="3" w:author="Mary Wong" w:date="2022-02-01T11:13:00Z">
        <w:r w:rsidRPr="006E592F" w:rsidDel="00B27CCD">
          <w:rPr>
            <w:rFonts w:asciiTheme="minorHAnsi" w:hAnsiTheme="minorHAnsi" w:cstheme="minorHAnsi"/>
            <w:bCs/>
            <w:sz w:val="22"/>
            <w:szCs w:val="22"/>
          </w:rPr>
          <w:delText xml:space="preserve"> that</w:delText>
        </w:r>
      </w:del>
      <w:ins w:id="4" w:author="Berry Cobb" w:date="2022-01-31T11:57:00Z">
        <w:r w:rsidR="005D4490" w:rsidRPr="006E592F">
          <w:rPr>
            <w:rFonts w:asciiTheme="minorHAnsi" w:hAnsiTheme="minorHAnsi" w:cstheme="minorHAnsi"/>
            <w:bCs/>
            <w:sz w:val="22"/>
            <w:szCs w:val="22"/>
          </w:rPr>
          <w:t xml:space="preserve">, in the event the registrant </w:t>
        </w:r>
      </w:ins>
      <w:ins w:id="5" w:author="Mary Wong" w:date="2022-02-01T11:15:00Z">
        <w:r w:rsidR="00B27CCD" w:rsidRPr="006E592F">
          <w:rPr>
            <w:rFonts w:asciiTheme="minorHAnsi" w:hAnsiTheme="minorHAnsi" w:cstheme="minorHAnsi"/>
            <w:bCs/>
            <w:sz w:val="22"/>
            <w:szCs w:val="22"/>
          </w:rPr>
          <w:t xml:space="preserve">also </w:t>
        </w:r>
      </w:ins>
      <w:ins w:id="6" w:author="Mary Wong" w:date="2022-02-01T11:25:00Z">
        <w:r w:rsidR="00DE08F4" w:rsidRPr="006E592F">
          <w:rPr>
            <w:rFonts w:asciiTheme="minorHAnsi" w:hAnsiTheme="minorHAnsi" w:cstheme="minorHAnsi"/>
            <w:bCs/>
            <w:sz w:val="22"/>
            <w:szCs w:val="22"/>
          </w:rPr>
          <w:t>agrees</w:t>
        </w:r>
      </w:ins>
      <w:ins w:id="7" w:author="Berry Cobb" w:date="2022-01-31T11:57:00Z">
        <w:del w:id="8" w:author="Mary Wong" w:date="2022-02-01T11:25:00Z">
          <w:r w:rsidR="005D4490" w:rsidRPr="006E592F" w:rsidDel="00DE08F4">
            <w:rPr>
              <w:rFonts w:asciiTheme="minorHAnsi" w:hAnsiTheme="minorHAnsi" w:cstheme="minorHAnsi"/>
              <w:bCs/>
              <w:sz w:val="22"/>
              <w:szCs w:val="22"/>
            </w:rPr>
            <w:delText>elects to have the dispute sent to arbitration</w:delText>
          </w:r>
        </w:del>
        <w:r w:rsidR="005D4490" w:rsidRPr="006E592F">
          <w:rPr>
            <w:rFonts w:asciiTheme="minorHAnsi" w:hAnsiTheme="minorHAnsi" w:cstheme="minorHAnsi"/>
            <w:bCs/>
            <w:sz w:val="22"/>
            <w:szCs w:val="22"/>
          </w:rPr>
          <w:t>,</w:t>
        </w:r>
      </w:ins>
      <w:r w:rsidRPr="006E592F">
        <w:rPr>
          <w:rFonts w:asciiTheme="minorHAnsi" w:hAnsiTheme="minorHAnsi" w:cstheme="minorHAnsi"/>
          <w:bCs/>
          <w:sz w:val="22"/>
          <w:szCs w:val="22"/>
        </w:rPr>
        <w:t xml:space="preserve"> </w:t>
      </w:r>
      <w:ins w:id="9" w:author="Mary Wong" w:date="2022-02-01T11:13:00Z">
        <w:r w:rsidR="00B27CCD" w:rsidRPr="006E592F">
          <w:rPr>
            <w:rFonts w:asciiTheme="minorHAnsi" w:hAnsiTheme="minorHAnsi" w:cstheme="minorHAnsi"/>
            <w:bCs/>
            <w:sz w:val="22"/>
            <w:szCs w:val="22"/>
          </w:rPr>
          <w:t xml:space="preserve">to have the </w:t>
        </w:r>
      </w:ins>
      <w:r w:rsidRPr="006E592F">
        <w:rPr>
          <w:rFonts w:asciiTheme="minorHAnsi" w:hAnsiTheme="minorHAnsi" w:cstheme="minorHAnsi"/>
          <w:bCs/>
          <w:sz w:val="22"/>
          <w:szCs w:val="22"/>
        </w:rPr>
        <w:t xml:space="preserve">final determination of the outcome of the UDRP proceeding </w:t>
      </w:r>
      <w:del w:id="10" w:author="Mary Wong" w:date="2022-02-01T11:13:00Z">
        <w:r w:rsidRPr="006E592F" w:rsidDel="00B27CCD">
          <w:rPr>
            <w:rFonts w:asciiTheme="minorHAnsi" w:hAnsiTheme="minorHAnsi" w:cstheme="minorHAnsi"/>
            <w:bCs/>
            <w:sz w:val="22"/>
            <w:szCs w:val="22"/>
          </w:rPr>
          <w:delText>shall be</w:delText>
        </w:r>
      </w:del>
      <w:ins w:id="11" w:author="Mary Wong" w:date="2022-02-01T11:13:00Z">
        <w:r w:rsidR="00B27CCD" w:rsidRPr="006E592F">
          <w:rPr>
            <w:rFonts w:asciiTheme="minorHAnsi" w:hAnsiTheme="minorHAnsi" w:cstheme="minorHAnsi"/>
            <w:bCs/>
            <w:sz w:val="22"/>
            <w:szCs w:val="22"/>
          </w:rPr>
          <w:t>settled</w:t>
        </w:r>
      </w:ins>
      <w:r w:rsidRPr="006E592F">
        <w:rPr>
          <w:rFonts w:asciiTheme="minorHAnsi" w:hAnsiTheme="minorHAnsi" w:cstheme="minorHAnsi"/>
          <w:bCs/>
          <w:sz w:val="22"/>
          <w:szCs w:val="22"/>
        </w:rPr>
        <w:t xml:space="preserve"> through binding arbitration</w:t>
      </w:r>
      <w:del w:id="12" w:author="Berry Cobb" w:date="2022-01-31T11:58:00Z">
        <w:r w:rsidRPr="006E592F" w:rsidDel="005D4490">
          <w:rPr>
            <w:rFonts w:asciiTheme="minorHAnsi" w:hAnsiTheme="minorHAnsi" w:cstheme="minorHAnsi"/>
            <w:bCs/>
            <w:sz w:val="22"/>
            <w:szCs w:val="22"/>
          </w:rPr>
          <w:delText>, in the event that the registrant also agrees to binding arbitration</w:delText>
        </w:r>
      </w:del>
      <w:r w:rsidRPr="006E592F">
        <w:rPr>
          <w:rFonts w:asciiTheme="minorHAnsi" w:hAnsiTheme="minorHAnsi" w:cstheme="minorHAnsi"/>
          <w:bCs/>
          <w:sz w:val="22"/>
          <w:szCs w:val="22"/>
        </w:rPr>
        <w:t>.</w:t>
      </w:r>
      <w:ins w:id="13" w:author="Berry Cobb" w:date="2022-01-31T11:58:00Z">
        <w:r w:rsidR="005D4490" w:rsidRPr="006E592F">
          <w:rPr>
            <w:rFonts w:asciiTheme="minorHAnsi" w:hAnsiTheme="minorHAnsi" w:cstheme="minorHAnsi"/>
            <w:bCs/>
            <w:sz w:val="22"/>
            <w:szCs w:val="22"/>
          </w:rPr>
          <w:t xml:space="preserve"> </w:t>
        </w:r>
        <w:del w:id="14" w:author="Mary Wong" w:date="2022-02-01T11:15:00Z">
          <w:r w:rsidR="005D4490" w:rsidRPr="006E592F" w:rsidDel="00B27CCD">
            <w:rPr>
              <w:rFonts w:asciiTheme="minorHAnsi" w:hAnsiTheme="minorHAnsi" w:cstheme="minorHAnsi"/>
              <w:bCs/>
              <w:sz w:val="22"/>
              <w:szCs w:val="22"/>
            </w:rPr>
            <w:delText xml:space="preserve">Where </w:delText>
          </w:r>
        </w:del>
        <w:del w:id="15" w:author="Mary Wong" w:date="2022-02-01T11:13:00Z">
          <w:r w:rsidR="005D4490" w:rsidRPr="006E592F" w:rsidDel="00B27CCD">
            <w:rPr>
              <w:rFonts w:asciiTheme="minorHAnsi" w:hAnsiTheme="minorHAnsi" w:cstheme="minorHAnsi"/>
              <w:bCs/>
              <w:sz w:val="22"/>
              <w:szCs w:val="22"/>
            </w:rPr>
            <w:delText>an</w:delText>
          </w:r>
        </w:del>
        <w:del w:id="16" w:author="Mary Wong" w:date="2022-02-01T11:15:00Z">
          <w:r w:rsidR="005D4490" w:rsidRPr="006E592F" w:rsidDel="00B27CCD">
            <w:rPr>
              <w:rFonts w:asciiTheme="minorHAnsi" w:hAnsiTheme="minorHAnsi" w:cstheme="minorHAnsi"/>
              <w:bCs/>
              <w:sz w:val="22"/>
              <w:szCs w:val="22"/>
            </w:rPr>
            <w:delText xml:space="preserve"> IGO Complainant indicates such agreement, the following provisions in this Recommendation #4 shall apply. Where an IGO Complainant does not agree to binding arbitration, none of the following provisions in this Recommendation #4 will be applicable, and the case will proceed under the current UDRP Policy and Rules as applied to all complainants.</w:delText>
          </w:r>
        </w:del>
      </w:ins>
      <w:del w:id="17" w:author="Mary Wong" w:date="2022-02-01T11:15:00Z">
        <w:r w:rsidRPr="006E592F" w:rsidDel="00B27CCD">
          <w:rPr>
            <w:rFonts w:asciiTheme="minorHAnsi" w:hAnsiTheme="minorHAnsi" w:cstheme="minorHAnsi"/>
            <w:bCs/>
            <w:sz w:val="22"/>
            <w:szCs w:val="22"/>
          </w:rPr>
          <w:delText xml:space="preserve"> </w:delText>
        </w:r>
      </w:del>
    </w:p>
    <w:p w14:paraId="709F9EFE" w14:textId="6E450A6A" w:rsidR="009106F4" w:rsidRPr="006E592F" w:rsidRDefault="009106F4" w:rsidP="009106F4">
      <w:pPr>
        <w:numPr>
          <w:ilvl w:val="0"/>
          <w:numId w:val="2"/>
        </w:numPr>
        <w:rPr>
          <w:rFonts w:asciiTheme="minorHAnsi" w:hAnsiTheme="minorHAnsi" w:cstheme="minorHAnsi"/>
          <w:bCs/>
          <w:sz w:val="22"/>
          <w:szCs w:val="22"/>
        </w:rPr>
      </w:pPr>
      <w:r w:rsidRPr="006E592F">
        <w:rPr>
          <w:rFonts w:asciiTheme="minorHAnsi" w:hAnsiTheme="minorHAnsi" w:cstheme="minorHAnsi"/>
          <w:bCs/>
          <w:sz w:val="22"/>
          <w:szCs w:val="22"/>
        </w:rPr>
        <w:t>In communicating a UDRP panel decision to the parties where the complainant is an IGO Complainant</w:t>
      </w:r>
      <w:ins w:id="18" w:author="Berry Cobb" w:date="2022-01-31T12:01:00Z">
        <w:del w:id="19" w:author="Mary Wong" w:date="2022-02-01T11:16:00Z">
          <w:r w:rsidR="005D4490" w:rsidRPr="006E592F" w:rsidDel="00B27CCD">
            <w:rPr>
              <w:rFonts w:asciiTheme="minorHAnsi" w:hAnsiTheme="minorHAnsi" w:cstheme="minorHAnsi"/>
              <w:bCs/>
              <w:sz w:val="22"/>
              <w:szCs w:val="22"/>
            </w:rPr>
            <w:delText xml:space="preserve"> that has agreed to binding arbitration</w:delText>
          </w:r>
        </w:del>
      </w:ins>
      <w:r w:rsidRPr="006E592F">
        <w:rPr>
          <w:rFonts w:asciiTheme="minorHAnsi" w:hAnsiTheme="minorHAnsi" w:cstheme="minorHAnsi"/>
          <w:bCs/>
          <w:sz w:val="22"/>
          <w:szCs w:val="22"/>
        </w:rPr>
        <w:t xml:space="preserve">, the UDRP provider shall </w:t>
      </w:r>
      <w:del w:id="20" w:author="Mary Wong" w:date="2022-02-01T11:28:00Z">
        <w:r w:rsidRPr="006E592F" w:rsidDel="00617B0E">
          <w:rPr>
            <w:rFonts w:asciiTheme="minorHAnsi" w:hAnsiTheme="minorHAnsi" w:cstheme="minorHAnsi"/>
            <w:bCs/>
            <w:sz w:val="22"/>
            <w:szCs w:val="22"/>
          </w:rPr>
          <w:delText xml:space="preserve">also </w:delText>
        </w:r>
      </w:del>
      <w:r w:rsidRPr="006E592F">
        <w:rPr>
          <w:rFonts w:asciiTheme="minorHAnsi" w:hAnsiTheme="minorHAnsi" w:cstheme="minorHAnsi"/>
          <w:bCs/>
          <w:sz w:val="22"/>
          <w:szCs w:val="22"/>
        </w:rPr>
        <w:t xml:space="preserve">request that the registrant indicate whether it agrees that </w:t>
      </w:r>
      <w:del w:id="21" w:author="Mary Wong" w:date="2022-02-01T11:27:00Z">
        <w:r w:rsidRPr="006E592F" w:rsidDel="00DE08F4">
          <w:rPr>
            <w:rFonts w:asciiTheme="minorHAnsi" w:hAnsiTheme="minorHAnsi" w:cstheme="minorHAnsi"/>
            <w:bCs/>
            <w:sz w:val="22"/>
            <w:szCs w:val="22"/>
          </w:rPr>
          <w:delText xml:space="preserve">any </w:delText>
        </w:r>
      </w:del>
      <w:ins w:id="22" w:author="Mary Wong" w:date="2022-02-01T11:27:00Z">
        <w:r w:rsidR="00DE08F4" w:rsidRPr="006E592F">
          <w:rPr>
            <w:rFonts w:asciiTheme="minorHAnsi" w:hAnsiTheme="minorHAnsi" w:cstheme="minorHAnsi"/>
            <w:bCs/>
            <w:sz w:val="22"/>
            <w:szCs w:val="22"/>
          </w:rPr>
          <w:t xml:space="preserve">final </w:t>
        </w:r>
      </w:ins>
      <w:r w:rsidRPr="006E592F">
        <w:rPr>
          <w:rFonts w:asciiTheme="minorHAnsi" w:hAnsiTheme="minorHAnsi" w:cstheme="minorHAnsi"/>
          <w:bCs/>
          <w:sz w:val="22"/>
          <w:szCs w:val="22"/>
        </w:rPr>
        <w:t>review of the panel determination will be conducted via binding arbitration</w:t>
      </w:r>
      <w:ins w:id="23" w:author="Mary Wong" w:date="2022-02-01T11:27:00Z">
        <w:r w:rsidR="00617B0E" w:rsidRPr="006E592F">
          <w:rPr>
            <w:rFonts w:asciiTheme="minorHAnsi" w:hAnsiTheme="minorHAnsi" w:cstheme="minorHAnsi"/>
            <w:bCs/>
            <w:sz w:val="22"/>
            <w:szCs w:val="22"/>
          </w:rPr>
          <w:t xml:space="preserve">, subject to the registrant’s right to initiate court proceedings </w:t>
        </w:r>
        <w:commentRangeStart w:id="24"/>
        <w:r w:rsidR="00617B0E" w:rsidRPr="006E592F">
          <w:rPr>
            <w:rFonts w:asciiTheme="minorHAnsi" w:hAnsiTheme="minorHAnsi" w:cstheme="minorHAnsi"/>
            <w:bCs/>
            <w:sz w:val="22"/>
            <w:szCs w:val="22"/>
          </w:rPr>
          <w:t xml:space="preserve">prior to requesting </w:t>
        </w:r>
      </w:ins>
      <w:ins w:id="25" w:author="Mary Wong" w:date="2022-02-10T18:02:00Z">
        <w:r w:rsidR="006E592F">
          <w:rPr>
            <w:rFonts w:asciiTheme="minorHAnsi" w:hAnsiTheme="minorHAnsi" w:cstheme="minorHAnsi"/>
            <w:bCs/>
            <w:sz w:val="22"/>
            <w:szCs w:val="22"/>
          </w:rPr>
          <w:t xml:space="preserve">or initiating </w:t>
        </w:r>
      </w:ins>
      <w:ins w:id="26" w:author="Mary Wong" w:date="2022-02-01T11:27:00Z">
        <w:r w:rsidR="00617B0E" w:rsidRPr="006E592F">
          <w:rPr>
            <w:rFonts w:asciiTheme="minorHAnsi" w:hAnsiTheme="minorHAnsi" w:cstheme="minorHAnsi"/>
            <w:bCs/>
            <w:sz w:val="22"/>
            <w:szCs w:val="22"/>
          </w:rPr>
          <w:t>arbitration</w:t>
        </w:r>
      </w:ins>
      <w:commentRangeEnd w:id="24"/>
      <w:ins w:id="27" w:author="Mary Wong" w:date="2022-02-10T18:02:00Z">
        <w:r w:rsidR="006B54A3">
          <w:rPr>
            <w:rStyle w:val="CommentReference"/>
          </w:rPr>
          <w:commentReference w:id="24"/>
        </w:r>
      </w:ins>
      <w:r w:rsidRPr="006E592F">
        <w:rPr>
          <w:rFonts w:asciiTheme="minorHAnsi" w:hAnsiTheme="minorHAnsi" w:cstheme="minorHAnsi"/>
          <w:bCs/>
          <w:sz w:val="22"/>
          <w:szCs w:val="22"/>
        </w:rPr>
        <w:t xml:space="preserve">. </w:t>
      </w:r>
      <w:commentRangeStart w:id="28"/>
      <w:r w:rsidRPr="006E592F">
        <w:rPr>
          <w:rFonts w:asciiTheme="minorHAnsi" w:hAnsiTheme="minorHAnsi" w:cstheme="minorHAnsi"/>
          <w:bCs/>
          <w:sz w:val="22"/>
          <w:szCs w:val="22"/>
        </w:rPr>
        <w:t xml:space="preserve">The request shall include information regarding the applicable arbitral rules. The arbitral rules shall be determined by the Implementation Review Team which, in making its determination, shall consider existing arbitral rules such as those of the International Centre for Dispute Resolution (ICDR), the World Intellectual Property Organization (WIPO), the United Nations Commission for International Trade Law (UNCITRAL) and the Permanent Court of Arbitration (PCA). </w:t>
      </w:r>
      <w:commentRangeEnd w:id="28"/>
      <w:r w:rsidRPr="006E592F">
        <w:rPr>
          <w:rStyle w:val="CommentReference"/>
          <w:rFonts w:asciiTheme="minorHAnsi" w:hAnsiTheme="minorHAnsi" w:cstheme="minorHAnsi"/>
          <w:sz w:val="22"/>
          <w:szCs w:val="22"/>
        </w:rPr>
        <w:commentReference w:id="28"/>
      </w:r>
    </w:p>
    <w:p w14:paraId="36A360F9" w14:textId="4F72987E" w:rsidR="009106F4" w:rsidRPr="006E592F" w:rsidRDefault="009106F4" w:rsidP="009106F4">
      <w:pPr>
        <w:numPr>
          <w:ilvl w:val="0"/>
          <w:numId w:val="2"/>
        </w:numPr>
        <w:rPr>
          <w:rFonts w:asciiTheme="minorHAnsi" w:hAnsiTheme="minorHAnsi" w:cstheme="minorHAnsi"/>
          <w:bCs/>
          <w:sz w:val="22"/>
          <w:szCs w:val="22"/>
        </w:rPr>
      </w:pPr>
      <w:del w:id="29" w:author="Mary Wong" w:date="2022-02-01T11:22:00Z">
        <w:r w:rsidRPr="006E592F" w:rsidDel="00DE08F4">
          <w:rPr>
            <w:rFonts w:asciiTheme="minorHAnsi" w:hAnsiTheme="minorHAnsi" w:cstheme="minorHAnsi"/>
            <w:bCs/>
            <w:sz w:val="22"/>
            <w:szCs w:val="22"/>
          </w:rPr>
          <w:delText xml:space="preserve">As </w:delText>
        </w:r>
      </w:del>
      <w:ins w:id="30" w:author="Berry Cobb" w:date="2022-01-31T12:02:00Z">
        <w:del w:id="31" w:author="Mary Wong" w:date="2022-02-01T11:22:00Z">
          <w:r w:rsidR="00A203CF" w:rsidRPr="006E592F" w:rsidDel="00DE08F4">
            <w:rPr>
              <w:rFonts w:asciiTheme="minorHAnsi" w:hAnsiTheme="minorHAnsi" w:cstheme="minorHAnsi"/>
              <w:bCs/>
              <w:sz w:val="22"/>
              <w:szCs w:val="22"/>
            </w:rPr>
            <w:delText>is the case with all other UDRP proceedings</w:delText>
          </w:r>
        </w:del>
      </w:ins>
      <w:del w:id="32" w:author="Mary Wong" w:date="2022-02-01T11:22:00Z">
        <w:r w:rsidRPr="006E592F" w:rsidDel="00DE08F4">
          <w:rPr>
            <w:rFonts w:asciiTheme="minorHAnsi" w:hAnsiTheme="minorHAnsi" w:cstheme="minorHAnsi"/>
            <w:bCs/>
            <w:sz w:val="22"/>
            <w:szCs w:val="22"/>
          </w:rPr>
          <w:delText xml:space="preserve">provided in Paragraph 4(k) of the UDRP, </w:delText>
        </w:r>
      </w:del>
      <w:ins w:id="33" w:author="Berry Cobb" w:date="2022-01-31T12:03:00Z">
        <w:del w:id="34" w:author="Mary Wong" w:date="2022-02-01T11:22:00Z">
          <w:r w:rsidR="00A203CF" w:rsidRPr="006E592F" w:rsidDel="00DE08F4">
            <w:rPr>
              <w:rFonts w:asciiTheme="minorHAnsi" w:hAnsiTheme="minorHAnsi" w:cstheme="minorHAnsi"/>
              <w:bCs/>
              <w:sz w:val="22"/>
              <w:szCs w:val="22"/>
            </w:rPr>
            <w:delText>and in</w:delText>
          </w:r>
        </w:del>
      </w:ins>
      <w:ins w:id="35" w:author="Mary Wong" w:date="2022-02-01T11:22:00Z">
        <w:r w:rsidR="00DE08F4" w:rsidRPr="006E592F">
          <w:rPr>
            <w:rFonts w:asciiTheme="minorHAnsi" w:hAnsiTheme="minorHAnsi" w:cstheme="minorHAnsi"/>
            <w:bCs/>
            <w:sz w:val="22"/>
            <w:szCs w:val="22"/>
          </w:rPr>
          <w:t xml:space="preserve"> In</w:t>
        </w:r>
      </w:ins>
      <w:ins w:id="36" w:author="Berry Cobb" w:date="2022-01-31T12:03:00Z">
        <w:r w:rsidR="00A203CF" w:rsidRPr="006E592F">
          <w:rPr>
            <w:rFonts w:asciiTheme="minorHAnsi" w:hAnsiTheme="minorHAnsi" w:cstheme="minorHAnsi"/>
            <w:bCs/>
            <w:sz w:val="22"/>
            <w:szCs w:val="22"/>
          </w:rPr>
          <w:t xml:space="preserve"> accordance with Paragraph 4(k) of the UDRP, where both the IGO Complainant and the </w:t>
        </w:r>
        <w:del w:id="37" w:author="Mary Wong" w:date="2022-02-01T11:17:00Z">
          <w:r w:rsidR="00A203CF" w:rsidRPr="006E592F" w:rsidDel="000F70F2">
            <w:rPr>
              <w:rFonts w:asciiTheme="minorHAnsi" w:hAnsiTheme="minorHAnsi" w:cstheme="minorHAnsi"/>
              <w:bCs/>
              <w:sz w:val="22"/>
              <w:szCs w:val="22"/>
            </w:rPr>
            <w:delText>R</w:delText>
          </w:r>
        </w:del>
      </w:ins>
      <w:ins w:id="38" w:author="Mary Wong" w:date="2022-02-01T11:17:00Z">
        <w:r w:rsidR="000F70F2" w:rsidRPr="006E592F">
          <w:rPr>
            <w:rFonts w:asciiTheme="minorHAnsi" w:hAnsiTheme="minorHAnsi" w:cstheme="minorHAnsi"/>
            <w:bCs/>
            <w:sz w:val="22"/>
            <w:szCs w:val="22"/>
          </w:rPr>
          <w:t>r</w:t>
        </w:r>
      </w:ins>
      <w:ins w:id="39" w:author="Berry Cobb" w:date="2022-01-31T12:03:00Z">
        <w:r w:rsidR="00A203CF" w:rsidRPr="006E592F">
          <w:rPr>
            <w:rFonts w:asciiTheme="minorHAnsi" w:hAnsiTheme="minorHAnsi" w:cstheme="minorHAnsi"/>
            <w:bCs/>
            <w:sz w:val="22"/>
            <w:szCs w:val="22"/>
          </w:rPr>
          <w:t xml:space="preserve">egistrant have agreed to binding arbitration, </w:t>
        </w:r>
      </w:ins>
      <w:r w:rsidRPr="006E592F">
        <w:rPr>
          <w:rFonts w:asciiTheme="minorHAnsi" w:hAnsiTheme="minorHAnsi" w:cstheme="minorHAnsi"/>
          <w:bCs/>
          <w:sz w:val="22"/>
          <w:szCs w:val="22"/>
        </w:rPr>
        <w:t xml:space="preserve">the relevant registrar shall wait ten (10) business days (as observed in the location of its principal office) before implementing a UDRP panel decision rendered in the IGO Complainant’s favor, and will stay implementation if, within that period, it receives official documentation that the registrant has </w:t>
      </w:r>
      <w:ins w:id="40" w:author="Berry Cobb" w:date="2022-01-31T12:12:00Z">
        <w:del w:id="41" w:author="Mary Wong" w:date="2022-02-01T11:23:00Z">
          <w:r w:rsidR="002F0592" w:rsidRPr="006E592F" w:rsidDel="00DE08F4">
            <w:rPr>
              <w:rFonts w:asciiTheme="minorHAnsi" w:hAnsiTheme="minorHAnsi" w:cstheme="minorHAnsi"/>
              <w:bCs/>
              <w:sz w:val="22"/>
              <w:szCs w:val="22"/>
            </w:rPr>
            <w:delText>com</w:delText>
          </w:r>
        </w:del>
      </w:ins>
      <w:ins w:id="42" w:author="Berry Cobb" w:date="2022-01-31T12:13:00Z">
        <w:del w:id="43" w:author="Mary Wong" w:date="2022-02-01T11:23:00Z">
          <w:r w:rsidR="002F0592" w:rsidRPr="006E592F" w:rsidDel="00DE08F4">
            <w:rPr>
              <w:rFonts w:asciiTheme="minorHAnsi" w:hAnsiTheme="minorHAnsi" w:cstheme="minorHAnsi"/>
              <w:bCs/>
              <w:sz w:val="22"/>
              <w:szCs w:val="22"/>
            </w:rPr>
            <w:delText>menced</w:delText>
          </w:r>
        </w:del>
      </w:ins>
      <w:ins w:id="44" w:author="Mary Wong" w:date="2022-02-01T11:23:00Z">
        <w:r w:rsidR="00DE08F4" w:rsidRPr="006E592F">
          <w:rPr>
            <w:rFonts w:asciiTheme="minorHAnsi" w:hAnsiTheme="minorHAnsi" w:cstheme="minorHAnsi"/>
            <w:bCs/>
            <w:sz w:val="22"/>
            <w:szCs w:val="22"/>
          </w:rPr>
          <w:t>initiated</w:t>
        </w:r>
      </w:ins>
      <w:ins w:id="45" w:author="Berry Cobb" w:date="2022-01-31T12:13:00Z">
        <w:r w:rsidR="002F0592" w:rsidRPr="006E592F">
          <w:rPr>
            <w:rFonts w:asciiTheme="minorHAnsi" w:hAnsiTheme="minorHAnsi" w:cstheme="minorHAnsi"/>
            <w:bCs/>
            <w:sz w:val="22"/>
            <w:szCs w:val="22"/>
          </w:rPr>
          <w:t xml:space="preserve"> court proceedings </w:t>
        </w:r>
      </w:ins>
      <w:commentRangeStart w:id="46"/>
      <w:ins w:id="47" w:author="Mary Wong" w:date="2022-02-10T18:04:00Z">
        <w:r w:rsidR="006B54A3">
          <w:rPr>
            <w:rFonts w:asciiTheme="minorHAnsi" w:hAnsiTheme="minorHAnsi" w:cstheme="minorHAnsi"/>
            <w:bCs/>
            <w:sz w:val="22"/>
            <w:szCs w:val="22"/>
          </w:rPr>
          <w:t xml:space="preserve">in either its location or the location of the principal office of the relevant registrar </w:t>
        </w:r>
        <w:commentRangeEnd w:id="46"/>
        <w:r w:rsidR="006B54A3">
          <w:rPr>
            <w:rStyle w:val="CommentReference"/>
          </w:rPr>
          <w:commentReference w:id="46"/>
        </w:r>
      </w:ins>
      <w:ins w:id="48" w:author="Berry Cobb" w:date="2022-01-31T12:13:00Z">
        <w:r w:rsidR="002F0592" w:rsidRPr="006E592F">
          <w:rPr>
            <w:rFonts w:asciiTheme="minorHAnsi" w:hAnsiTheme="minorHAnsi" w:cstheme="minorHAnsi"/>
            <w:bCs/>
            <w:sz w:val="22"/>
            <w:szCs w:val="22"/>
          </w:rPr>
          <w:t xml:space="preserve">or </w:t>
        </w:r>
      </w:ins>
      <w:r w:rsidRPr="006E592F">
        <w:rPr>
          <w:rFonts w:asciiTheme="minorHAnsi" w:hAnsiTheme="minorHAnsi" w:cstheme="minorHAnsi"/>
          <w:bCs/>
          <w:sz w:val="22"/>
          <w:szCs w:val="22"/>
        </w:rPr>
        <w:t>submitted a request for or notice of arbitration</w:t>
      </w:r>
      <w:del w:id="49" w:author="Berry Cobb" w:date="2022-01-31T12:13:00Z">
        <w:r w:rsidRPr="006E592F" w:rsidDel="002F0592">
          <w:rPr>
            <w:rFonts w:asciiTheme="minorHAnsi" w:hAnsiTheme="minorHAnsi" w:cstheme="minorHAnsi"/>
            <w:bCs/>
            <w:sz w:val="22"/>
            <w:szCs w:val="22"/>
          </w:rPr>
          <w:delText>, as described further below</w:delText>
        </w:r>
      </w:del>
      <w:r w:rsidRPr="006E592F">
        <w:rPr>
          <w:rFonts w:asciiTheme="minorHAnsi" w:hAnsiTheme="minorHAnsi" w:cstheme="minorHAnsi"/>
          <w:bCs/>
          <w:sz w:val="22"/>
          <w:szCs w:val="22"/>
        </w:rPr>
        <w:t>.</w:t>
      </w:r>
    </w:p>
    <w:p w14:paraId="34CBFD1C" w14:textId="06089D2B" w:rsidR="009106F4" w:rsidRPr="006E592F" w:rsidRDefault="009106F4" w:rsidP="009106F4">
      <w:pPr>
        <w:numPr>
          <w:ilvl w:val="0"/>
          <w:numId w:val="2"/>
        </w:numPr>
        <w:rPr>
          <w:ins w:id="50" w:author="Berry Cobb" w:date="2022-01-24T15:45:00Z"/>
          <w:rFonts w:asciiTheme="minorHAnsi" w:hAnsiTheme="minorHAnsi" w:cstheme="minorHAnsi"/>
          <w:bCs/>
          <w:sz w:val="22"/>
          <w:szCs w:val="22"/>
        </w:rPr>
      </w:pPr>
      <w:del w:id="51" w:author="Berry Cobb" w:date="2022-01-31T12:15:00Z">
        <w:r w:rsidRPr="006E592F" w:rsidDel="002F0592">
          <w:rPr>
            <w:rFonts w:asciiTheme="minorHAnsi" w:hAnsiTheme="minorHAnsi" w:cstheme="minorHAnsi"/>
            <w:bCs/>
            <w:sz w:val="22"/>
            <w:szCs w:val="22"/>
          </w:rPr>
          <w:delText xml:space="preserve">If </w:delText>
        </w:r>
      </w:del>
      <w:ins w:id="52" w:author="Berry Cobb" w:date="2022-01-31T12:15:00Z">
        <w:r w:rsidR="002F0592" w:rsidRPr="006E592F">
          <w:rPr>
            <w:rFonts w:asciiTheme="minorHAnsi" w:hAnsiTheme="minorHAnsi" w:cstheme="minorHAnsi"/>
            <w:bCs/>
            <w:sz w:val="22"/>
            <w:szCs w:val="22"/>
          </w:rPr>
          <w:t>Where both the IGO Complainant and the registrant have agreed to binding arbitration, and the relevant registrar</w:t>
        </w:r>
      </w:ins>
      <w:ins w:id="53" w:author="Berry Cobb" w:date="2022-01-31T12:16:00Z">
        <w:r w:rsidR="002F0592" w:rsidRPr="006E592F">
          <w:rPr>
            <w:rFonts w:asciiTheme="minorHAnsi" w:hAnsiTheme="minorHAnsi" w:cstheme="minorHAnsi"/>
            <w:bCs/>
            <w:sz w:val="22"/>
            <w:szCs w:val="22"/>
          </w:rPr>
          <w:t xml:space="preserve"> has </w:t>
        </w:r>
      </w:ins>
      <w:del w:id="54" w:author="Berry Cobb" w:date="2022-01-31T12:16:00Z">
        <w:r w:rsidRPr="006E592F" w:rsidDel="002F0592">
          <w:rPr>
            <w:rFonts w:asciiTheme="minorHAnsi" w:hAnsiTheme="minorHAnsi" w:cstheme="minorHAnsi"/>
            <w:bCs/>
            <w:sz w:val="22"/>
            <w:szCs w:val="22"/>
          </w:rPr>
          <w:delText xml:space="preserve">it </w:delText>
        </w:r>
      </w:del>
      <w:r w:rsidRPr="006E592F">
        <w:rPr>
          <w:rFonts w:asciiTheme="minorHAnsi" w:hAnsiTheme="minorHAnsi" w:cstheme="minorHAnsi"/>
          <w:bCs/>
          <w:sz w:val="22"/>
          <w:szCs w:val="22"/>
        </w:rPr>
        <w:t>receive</w:t>
      </w:r>
      <w:ins w:id="55" w:author="Berry Cobb" w:date="2022-01-31T12:16:00Z">
        <w:r w:rsidR="002F0592" w:rsidRPr="006E592F">
          <w:rPr>
            <w:rFonts w:asciiTheme="minorHAnsi" w:hAnsiTheme="minorHAnsi" w:cstheme="minorHAnsi"/>
            <w:bCs/>
            <w:sz w:val="22"/>
            <w:szCs w:val="22"/>
          </w:rPr>
          <w:t>d</w:t>
        </w:r>
      </w:ins>
      <w:del w:id="56" w:author="Berry Cobb" w:date="2022-01-31T12:16:00Z">
        <w:r w:rsidRPr="006E592F" w:rsidDel="002F0592">
          <w:rPr>
            <w:rFonts w:asciiTheme="minorHAnsi" w:hAnsiTheme="minorHAnsi" w:cstheme="minorHAnsi"/>
            <w:bCs/>
            <w:sz w:val="22"/>
            <w:szCs w:val="22"/>
          </w:rPr>
          <w:delText>s</w:delText>
        </w:r>
      </w:del>
      <w:r w:rsidRPr="006E592F">
        <w:rPr>
          <w:rFonts w:asciiTheme="minorHAnsi" w:hAnsiTheme="minorHAnsi" w:cstheme="minorHAnsi"/>
          <w:bCs/>
          <w:sz w:val="22"/>
          <w:szCs w:val="22"/>
        </w:rPr>
        <w:t xml:space="preserve"> a request for or notice of arbitration, </w:t>
      </w:r>
      <w:del w:id="57" w:author="Berry Cobb" w:date="2022-01-31T12:16:00Z">
        <w:r w:rsidRPr="006E592F" w:rsidDel="002F0592">
          <w:rPr>
            <w:rFonts w:asciiTheme="minorHAnsi" w:hAnsiTheme="minorHAnsi" w:cstheme="minorHAnsi"/>
            <w:bCs/>
            <w:sz w:val="22"/>
            <w:szCs w:val="22"/>
          </w:rPr>
          <w:delText>the registrar</w:delText>
        </w:r>
      </w:del>
      <w:ins w:id="58" w:author="Berry Cobb" w:date="2022-01-31T12:16:00Z">
        <w:r w:rsidR="002F0592" w:rsidRPr="006E592F">
          <w:rPr>
            <w:rFonts w:asciiTheme="minorHAnsi" w:hAnsiTheme="minorHAnsi" w:cstheme="minorHAnsi"/>
            <w:bCs/>
            <w:sz w:val="22"/>
            <w:szCs w:val="22"/>
          </w:rPr>
          <w:t>it</w:t>
        </w:r>
      </w:ins>
      <w:r w:rsidRPr="006E592F">
        <w:rPr>
          <w:rFonts w:asciiTheme="minorHAnsi" w:hAnsiTheme="minorHAnsi" w:cstheme="minorHAnsi"/>
          <w:bCs/>
          <w:sz w:val="22"/>
          <w:szCs w:val="22"/>
        </w:rPr>
        <w:t xml:space="preserve"> shall </w:t>
      </w:r>
      <w:commentRangeStart w:id="59"/>
      <w:ins w:id="60" w:author="Mary Wong" w:date="2022-02-10T18:06:00Z">
        <w:r w:rsidR="006B54A3">
          <w:rPr>
            <w:rFonts w:asciiTheme="minorHAnsi" w:hAnsiTheme="minorHAnsi" w:cstheme="minorHAnsi"/>
            <w:bCs/>
            <w:sz w:val="22"/>
            <w:szCs w:val="22"/>
          </w:rPr>
          <w:t xml:space="preserve">stay, or </w:t>
        </w:r>
      </w:ins>
      <w:r w:rsidRPr="006E592F">
        <w:rPr>
          <w:rFonts w:asciiTheme="minorHAnsi" w:hAnsiTheme="minorHAnsi" w:cstheme="minorHAnsi"/>
          <w:bCs/>
          <w:sz w:val="22"/>
          <w:szCs w:val="22"/>
        </w:rPr>
        <w:t>continue to stay</w:t>
      </w:r>
      <w:ins w:id="61" w:author="Mary Wong" w:date="2022-02-10T18:06:00Z">
        <w:r w:rsidR="006B54A3">
          <w:rPr>
            <w:rFonts w:asciiTheme="minorHAnsi" w:hAnsiTheme="minorHAnsi" w:cstheme="minorHAnsi"/>
            <w:bCs/>
            <w:sz w:val="22"/>
            <w:szCs w:val="22"/>
          </w:rPr>
          <w:t xml:space="preserve"> (as applicable),</w:t>
        </w:r>
      </w:ins>
      <w:r w:rsidRPr="006E592F">
        <w:rPr>
          <w:rFonts w:asciiTheme="minorHAnsi" w:hAnsiTheme="minorHAnsi" w:cstheme="minorHAnsi"/>
          <w:bCs/>
          <w:sz w:val="22"/>
          <w:szCs w:val="22"/>
        </w:rPr>
        <w:t xml:space="preserve"> </w:t>
      </w:r>
      <w:commentRangeEnd w:id="59"/>
      <w:r w:rsidR="006B54A3">
        <w:rPr>
          <w:rStyle w:val="CommentReference"/>
        </w:rPr>
        <w:commentReference w:id="59"/>
      </w:r>
      <w:r w:rsidRPr="006E592F">
        <w:rPr>
          <w:rFonts w:asciiTheme="minorHAnsi" w:hAnsiTheme="minorHAnsi" w:cstheme="minorHAnsi"/>
          <w:bCs/>
          <w:sz w:val="22"/>
          <w:szCs w:val="22"/>
        </w:rPr>
        <w:t>implementation of the UDRP panel decision until it receives official documentation concerning the outcome of an arbitration or other satisfactory evidence of a settlement or other final resolution of the dispute.</w:t>
      </w:r>
      <w:del w:id="62" w:author="Berry Cobb" w:date="2022-01-24T15:45:00Z">
        <w:r w:rsidRPr="006E592F" w:rsidDel="004E7AEB">
          <w:rPr>
            <w:rFonts w:asciiTheme="minorHAnsi" w:hAnsiTheme="minorHAnsi" w:cstheme="minorHAnsi"/>
            <w:bCs/>
            <w:sz w:val="22"/>
            <w:szCs w:val="22"/>
          </w:rPr>
          <w:delText xml:space="preserve"> </w:delText>
        </w:r>
      </w:del>
    </w:p>
    <w:p w14:paraId="22BE061C" w14:textId="6153D545" w:rsidR="004E7AEB" w:rsidRPr="006E592F" w:rsidRDefault="004E7AEB" w:rsidP="009106F4">
      <w:pPr>
        <w:numPr>
          <w:ilvl w:val="0"/>
          <w:numId w:val="2"/>
        </w:numPr>
        <w:rPr>
          <w:rFonts w:asciiTheme="minorHAnsi" w:hAnsiTheme="minorHAnsi" w:cstheme="minorHAnsi"/>
          <w:bCs/>
          <w:sz w:val="22"/>
          <w:szCs w:val="22"/>
        </w:rPr>
      </w:pPr>
      <w:moveToRangeStart w:id="63" w:author="Berry Cobb" w:date="2022-01-24T15:45:00Z" w:name="move93931566"/>
      <w:moveTo w:id="64" w:author="Berry Cobb" w:date="2022-01-24T15:45:00Z">
        <w:r w:rsidRPr="006E592F">
          <w:rPr>
            <w:rFonts w:asciiTheme="minorHAnsi" w:hAnsiTheme="minorHAnsi" w:cstheme="minorHAnsi"/>
            <w:bCs/>
            <w:sz w:val="22"/>
            <w:szCs w:val="22"/>
          </w:rPr>
          <w:t>Where</w:t>
        </w:r>
      </w:moveTo>
      <w:ins w:id="65" w:author="Mary Wong" w:date="2022-02-01T11:23:00Z">
        <w:r w:rsidR="00DE08F4" w:rsidRPr="006E592F">
          <w:rPr>
            <w:rFonts w:asciiTheme="minorHAnsi" w:hAnsiTheme="minorHAnsi" w:cstheme="minorHAnsi"/>
            <w:bCs/>
            <w:sz w:val="22"/>
            <w:szCs w:val="22"/>
          </w:rPr>
          <w:t xml:space="preserve"> both the IGO Complainant and the registrant have agreed to binding ar</w:t>
        </w:r>
      </w:ins>
      <w:ins w:id="66" w:author="Mary Wong" w:date="2022-02-01T11:24:00Z">
        <w:r w:rsidR="00DE08F4" w:rsidRPr="006E592F">
          <w:rPr>
            <w:rFonts w:asciiTheme="minorHAnsi" w:hAnsiTheme="minorHAnsi" w:cstheme="minorHAnsi"/>
            <w:bCs/>
            <w:sz w:val="22"/>
            <w:szCs w:val="22"/>
          </w:rPr>
          <w:t>bitration and</w:t>
        </w:r>
      </w:ins>
      <w:moveTo w:id="67" w:author="Berry Cobb" w:date="2022-01-24T15:45:00Z">
        <w:r w:rsidRPr="006E592F">
          <w:rPr>
            <w:rFonts w:asciiTheme="minorHAnsi" w:hAnsiTheme="minorHAnsi" w:cstheme="minorHAnsi"/>
            <w:bCs/>
            <w:sz w:val="22"/>
            <w:szCs w:val="22"/>
          </w:rPr>
          <w:t xml:space="preserve"> the registrant initiates court proceedings</w:t>
        </w:r>
      </w:moveTo>
      <w:ins w:id="68" w:author="Mary Wong" w:date="2022-02-01T11:24:00Z">
        <w:r w:rsidR="00DE08F4" w:rsidRPr="006E592F">
          <w:rPr>
            <w:rFonts w:asciiTheme="minorHAnsi" w:hAnsiTheme="minorHAnsi" w:cstheme="minorHAnsi"/>
            <w:bCs/>
            <w:sz w:val="22"/>
            <w:szCs w:val="22"/>
          </w:rPr>
          <w:t>, with</w:t>
        </w:r>
      </w:ins>
      <w:moveTo w:id="69" w:author="Berry Cobb" w:date="2022-01-24T15:45:00Z">
        <w:r w:rsidRPr="006E592F">
          <w:rPr>
            <w:rFonts w:asciiTheme="minorHAnsi" w:hAnsiTheme="minorHAnsi" w:cstheme="minorHAnsi"/>
            <w:bCs/>
            <w:sz w:val="22"/>
            <w:szCs w:val="22"/>
          </w:rPr>
          <w:t xml:space="preserve"> </w:t>
        </w:r>
        <w:del w:id="70" w:author="Mary Wong" w:date="2022-02-01T11:24:00Z">
          <w:r w:rsidRPr="006E592F" w:rsidDel="00DE08F4">
            <w:rPr>
              <w:rFonts w:asciiTheme="minorHAnsi" w:hAnsiTheme="minorHAnsi" w:cstheme="minorHAnsi"/>
              <w:bCs/>
              <w:sz w:val="22"/>
              <w:szCs w:val="22"/>
            </w:rPr>
            <w:delText xml:space="preserve">and </w:delText>
          </w:r>
        </w:del>
        <w:r w:rsidRPr="006E592F">
          <w:rPr>
            <w:rFonts w:asciiTheme="minorHAnsi" w:hAnsiTheme="minorHAnsi" w:cstheme="minorHAnsi"/>
            <w:bCs/>
            <w:sz w:val="22"/>
            <w:szCs w:val="22"/>
          </w:rPr>
          <w:t xml:space="preserve">the result </w:t>
        </w:r>
        <w:del w:id="71" w:author="Mary Wong" w:date="2022-02-01T11:24:00Z">
          <w:r w:rsidRPr="006E592F" w:rsidDel="00DE08F4">
            <w:rPr>
              <w:rFonts w:asciiTheme="minorHAnsi" w:hAnsiTheme="minorHAnsi" w:cstheme="minorHAnsi"/>
              <w:bCs/>
              <w:sz w:val="22"/>
              <w:szCs w:val="22"/>
            </w:rPr>
            <w:delText>is</w:delText>
          </w:r>
        </w:del>
        <w:r w:rsidRPr="006E592F">
          <w:rPr>
            <w:rFonts w:asciiTheme="minorHAnsi" w:hAnsiTheme="minorHAnsi" w:cstheme="minorHAnsi"/>
            <w:bCs/>
            <w:sz w:val="22"/>
            <w:szCs w:val="22"/>
          </w:rPr>
          <w:t xml:space="preserve"> that the court </w:t>
        </w:r>
        <w:del w:id="72" w:author="Mary Wong" w:date="2022-02-10T18:13:00Z">
          <w:r w:rsidRPr="006E592F" w:rsidDel="0045628A">
            <w:rPr>
              <w:rFonts w:asciiTheme="minorHAnsi" w:hAnsiTheme="minorHAnsi" w:cstheme="minorHAnsi"/>
              <w:bCs/>
              <w:sz w:val="22"/>
              <w:szCs w:val="22"/>
            </w:rPr>
            <w:delText>decides not</w:delText>
          </w:r>
        </w:del>
      </w:moveTo>
      <w:commentRangeStart w:id="73"/>
      <w:ins w:id="74" w:author="Mary Wong" w:date="2022-02-10T18:13:00Z">
        <w:r w:rsidR="0045628A">
          <w:rPr>
            <w:rFonts w:asciiTheme="minorHAnsi" w:hAnsiTheme="minorHAnsi" w:cstheme="minorHAnsi"/>
            <w:bCs/>
            <w:sz w:val="22"/>
            <w:szCs w:val="22"/>
          </w:rPr>
          <w:t xml:space="preserve">declines </w:t>
        </w:r>
      </w:ins>
      <w:moveTo w:id="75" w:author="Berry Cobb" w:date="2022-01-24T15:45:00Z">
        <w:r w:rsidRPr="006E592F">
          <w:rPr>
            <w:rFonts w:asciiTheme="minorHAnsi" w:hAnsiTheme="minorHAnsi" w:cstheme="minorHAnsi"/>
            <w:bCs/>
            <w:sz w:val="22"/>
            <w:szCs w:val="22"/>
          </w:rPr>
          <w:t xml:space="preserve"> </w:t>
        </w:r>
        <w:proofErr w:type="spellStart"/>
        <w:r w:rsidRPr="006E592F">
          <w:rPr>
            <w:rFonts w:asciiTheme="minorHAnsi" w:hAnsiTheme="minorHAnsi" w:cstheme="minorHAnsi"/>
            <w:bCs/>
            <w:sz w:val="22"/>
            <w:szCs w:val="22"/>
          </w:rPr>
          <w:t>to</w:t>
        </w:r>
        <w:proofErr w:type="spellEnd"/>
        <w:r w:rsidRPr="006E592F">
          <w:rPr>
            <w:rFonts w:asciiTheme="minorHAnsi" w:hAnsiTheme="minorHAnsi" w:cstheme="minorHAnsi"/>
            <w:bCs/>
            <w:sz w:val="22"/>
            <w:szCs w:val="22"/>
          </w:rPr>
          <w:t xml:space="preserve"> hear the merits of the case</w:t>
        </w:r>
      </w:moveTo>
      <w:commentRangeEnd w:id="73"/>
      <w:r w:rsidR="0045628A">
        <w:rPr>
          <w:rStyle w:val="CommentReference"/>
        </w:rPr>
        <w:commentReference w:id="73"/>
      </w:r>
      <w:moveTo w:id="76" w:author="Berry Cobb" w:date="2022-01-24T15:45:00Z">
        <w:r w:rsidRPr="006E592F">
          <w:rPr>
            <w:rFonts w:asciiTheme="minorHAnsi" w:hAnsiTheme="minorHAnsi" w:cstheme="minorHAnsi"/>
            <w:bCs/>
            <w:sz w:val="22"/>
            <w:szCs w:val="22"/>
          </w:rPr>
          <w:t xml:space="preserve">, the registrant may submit the dispute to binding arbitration within ten (10) business days from the court order declining to hear the merits of the case, by submitting a request for or notice of arbitration to the competent arbitral institution with a copy to the relevant registrar, UDRP provider and the IGO Complainant. </w:t>
        </w:r>
        <w:commentRangeStart w:id="77"/>
        <w:del w:id="78" w:author="Mary Wong" w:date="2022-02-10T18:10:00Z">
          <w:r w:rsidRPr="006E592F" w:rsidDel="0045628A">
            <w:rPr>
              <w:rFonts w:asciiTheme="minorHAnsi" w:hAnsiTheme="minorHAnsi" w:cstheme="minorHAnsi"/>
              <w:bCs/>
              <w:sz w:val="22"/>
              <w:szCs w:val="22"/>
            </w:rPr>
            <w:delText>If</w:delText>
          </w:r>
        </w:del>
      </w:moveTo>
      <w:ins w:id="79" w:author="Mary Wong" w:date="2022-02-10T18:10:00Z">
        <w:r w:rsidR="0045628A">
          <w:rPr>
            <w:rFonts w:asciiTheme="minorHAnsi" w:hAnsiTheme="minorHAnsi" w:cstheme="minorHAnsi"/>
            <w:bCs/>
            <w:sz w:val="22"/>
            <w:szCs w:val="22"/>
          </w:rPr>
          <w:t>Where the registrant initiated court proceedings in a venue other than the registrant’s location or the location of the relevant registrar’s principal office</w:t>
        </w:r>
        <w:commentRangeEnd w:id="77"/>
        <w:r w:rsidR="0045628A">
          <w:rPr>
            <w:rStyle w:val="CommentReference"/>
          </w:rPr>
          <w:commentReference w:id="77"/>
        </w:r>
        <w:r w:rsidR="0045628A">
          <w:rPr>
            <w:rFonts w:asciiTheme="minorHAnsi" w:hAnsiTheme="minorHAnsi" w:cstheme="minorHAnsi"/>
            <w:bCs/>
            <w:sz w:val="22"/>
            <w:szCs w:val="22"/>
          </w:rPr>
          <w:t xml:space="preserve"> and</w:t>
        </w:r>
      </w:ins>
      <w:moveTo w:id="80" w:author="Berry Cobb" w:date="2022-01-24T15:45:00Z">
        <w:r w:rsidRPr="006E592F">
          <w:rPr>
            <w:rFonts w:asciiTheme="minorHAnsi" w:hAnsiTheme="minorHAnsi" w:cstheme="minorHAnsi"/>
            <w:bCs/>
            <w:sz w:val="22"/>
            <w:szCs w:val="22"/>
          </w:rPr>
          <w:t xml:space="preserve"> the registrant does not submit a request for or notice of arbitration to the competent arbitral institution (with a copy to the registrar, UDRP provider and the IGO Complainant) within ten (10) business days from the court order declining to hear the merits of the case, the original UDRP decision will be implemented by the registrar.</w:t>
        </w:r>
      </w:moveTo>
      <w:moveToRangeEnd w:id="63"/>
      <w:ins w:id="81" w:author="Mary Wong" w:date="2022-02-10T18:09:00Z">
        <w:r w:rsidR="0045628A">
          <w:rPr>
            <w:rFonts w:asciiTheme="minorHAnsi" w:hAnsiTheme="minorHAnsi" w:cstheme="minorHAnsi"/>
            <w:bCs/>
            <w:sz w:val="22"/>
            <w:szCs w:val="22"/>
          </w:rPr>
          <w:t xml:space="preserve"> </w:t>
        </w:r>
      </w:ins>
    </w:p>
    <w:p w14:paraId="10B9EE0C" w14:textId="1E7D462B" w:rsidR="009106F4" w:rsidRPr="006E592F" w:rsidDel="004E7AEB" w:rsidRDefault="009106F4" w:rsidP="009106F4">
      <w:pPr>
        <w:numPr>
          <w:ilvl w:val="0"/>
          <w:numId w:val="2"/>
        </w:numPr>
        <w:rPr>
          <w:del w:id="82" w:author="Berry Cobb" w:date="2022-01-24T15:45:00Z"/>
          <w:rFonts w:asciiTheme="minorHAnsi" w:hAnsiTheme="minorHAnsi" w:cstheme="minorHAnsi"/>
          <w:bCs/>
          <w:sz w:val="22"/>
          <w:szCs w:val="22"/>
        </w:rPr>
      </w:pPr>
      <w:del w:id="83" w:author="Berry Cobb" w:date="2022-01-24T15:45:00Z">
        <w:r w:rsidRPr="006E592F" w:rsidDel="004E7AEB">
          <w:rPr>
            <w:rFonts w:asciiTheme="minorHAnsi" w:hAnsiTheme="minorHAnsi" w:cstheme="minorHAnsi"/>
            <w:bCs/>
            <w:i/>
            <w:iCs/>
            <w:sz w:val="22"/>
            <w:szCs w:val="22"/>
          </w:rPr>
          <w:delText xml:space="preserve">** Note: The square bracketed text below describes two alternatives under consideration by the EPDP team, as to whether the option to arbitrate will remain available to the registrant after it </w:delText>
        </w:r>
        <w:r w:rsidRPr="006E592F" w:rsidDel="004E7AEB">
          <w:rPr>
            <w:rFonts w:asciiTheme="minorHAnsi" w:hAnsiTheme="minorHAnsi" w:cstheme="minorHAnsi"/>
            <w:bCs/>
            <w:i/>
            <w:iCs/>
            <w:sz w:val="22"/>
            <w:szCs w:val="22"/>
          </w:rPr>
          <w:lastRenderedPageBreak/>
          <w:delText xml:space="preserve">initiates court proceedings against an IGO that has prevailed in the UDRP proceeding and the court declines to hear the case on its merits:  </w:delText>
        </w:r>
      </w:del>
    </w:p>
    <w:p w14:paraId="47EDF1CA" w14:textId="351ED3D4" w:rsidR="009106F4" w:rsidRPr="006E592F" w:rsidDel="004E7AEB" w:rsidRDefault="009106F4" w:rsidP="009106F4">
      <w:pPr>
        <w:rPr>
          <w:del w:id="84" w:author="Berry Cobb" w:date="2022-01-24T15:45:00Z"/>
          <w:rFonts w:asciiTheme="minorHAnsi" w:hAnsiTheme="minorHAnsi" w:cstheme="minorHAnsi"/>
          <w:bCs/>
          <w:sz w:val="22"/>
          <w:szCs w:val="22"/>
        </w:rPr>
      </w:pPr>
      <w:del w:id="85" w:author="Berry Cobb" w:date="2022-01-24T15:45:00Z">
        <w:r w:rsidRPr="006E592F" w:rsidDel="004E7AEB">
          <w:rPr>
            <w:rFonts w:asciiTheme="minorHAnsi" w:hAnsiTheme="minorHAnsi" w:cstheme="minorHAnsi"/>
            <w:bCs/>
            <w:sz w:val="22"/>
            <w:szCs w:val="22"/>
          </w:rPr>
          <w:delText>[</w:delText>
        </w:r>
        <w:r w:rsidRPr="006E592F" w:rsidDel="004E7AEB">
          <w:rPr>
            <w:rFonts w:asciiTheme="minorHAnsi" w:hAnsiTheme="minorHAnsi" w:cstheme="minorHAnsi"/>
            <w:b/>
            <w:bCs/>
            <w:sz w:val="22"/>
            <w:szCs w:val="22"/>
          </w:rPr>
          <w:delText>OPTION 1</w:delText>
        </w:r>
        <w:r w:rsidRPr="006E592F" w:rsidDel="004E7AEB">
          <w:rPr>
            <w:rFonts w:asciiTheme="minorHAnsi" w:hAnsiTheme="minorHAnsi" w:cstheme="minorHAnsi"/>
            <w:bCs/>
            <w:sz w:val="22"/>
            <w:szCs w:val="22"/>
          </w:rPr>
          <w:delText xml:space="preserve">: </w:delText>
        </w:r>
      </w:del>
    </w:p>
    <w:p w14:paraId="0E61AB67" w14:textId="75EFC8C5" w:rsidR="009106F4" w:rsidRPr="006E592F" w:rsidDel="004E7AEB" w:rsidRDefault="009106F4" w:rsidP="009106F4">
      <w:pPr>
        <w:rPr>
          <w:del w:id="86" w:author="Berry Cobb" w:date="2022-01-24T15:45:00Z"/>
          <w:rFonts w:asciiTheme="minorHAnsi" w:hAnsiTheme="minorHAnsi" w:cstheme="minorHAnsi"/>
          <w:bCs/>
          <w:sz w:val="22"/>
          <w:szCs w:val="22"/>
        </w:rPr>
      </w:pPr>
      <w:del w:id="87" w:author="Berry Cobb" w:date="2022-01-24T15:45:00Z">
        <w:r w:rsidRPr="006E592F" w:rsidDel="004E7AEB">
          <w:rPr>
            <w:rFonts w:asciiTheme="minorHAnsi" w:hAnsiTheme="minorHAnsi" w:cstheme="minorHAnsi"/>
            <w:bCs/>
            <w:sz w:val="22"/>
            <w:szCs w:val="22"/>
          </w:rPr>
          <w:delText xml:space="preserve">Where the registrant initiates court proceedings and the result is that the court </w:delText>
        </w:r>
        <w:bookmarkStart w:id="88" w:name="OLE_LINK1"/>
        <w:bookmarkStart w:id="89" w:name="OLE_LINK2"/>
        <w:r w:rsidRPr="006E592F" w:rsidDel="004E7AEB">
          <w:rPr>
            <w:rFonts w:asciiTheme="minorHAnsi" w:hAnsiTheme="minorHAnsi" w:cstheme="minorHAnsi"/>
            <w:bCs/>
            <w:sz w:val="22"/>
            <w:szCs w:val="22"/>
          </w:rPr>
          <w:delText>decides not to hear the merits of the case</w:delText>
        </w:r>
        <w:bookmarkEnd w:id="88"/>
        <w:bookmarkEnd w:id="89"/>
        <w:r w:rsidRPr="006E592F" w:rsidDel="004E7AEB">
          <w:rPr>
            <w:rFonts w:asciiTheme="minorHAnsi" w:hAnsiTheme="minorHAnsi" w:cstheme="minorHAnsi"/>
            <w:bCs/>
            <w:sz w:val="22"/>
            <w:szCs w:val="22"/>
          </w:rPr>
          <w:delText>, the original UDRP decision will be implemented by the relevant registrar within ten (10) business days from the court order declining to hear the merits of the case.]</w:delText>
        </w:r>
      </w:del>
    </w:p>
    <w:p w14:paraId="53F939CD" w14:textId="375D6A31" w:rsidR="009106F4" w:rsidRPr="006E592F" w:rsidDel="004E7AEB" w:rsidRDefault="009106F4" w:rsidP="009106F4">
      <w:pPr>
        <w:rPr>
          <w:del w:id="90" w:author="Berry Cobb" w:date="2022-01-24T15:45:00Z"/>
          <w:rFonts w:asciiTheme="minorHAnsi" w:hAnsiTheme="minorHAnsi" w:cstheme="minorHAnsi"/>
          <w:bCs/>
          <w:sz w:val="22"/>
          <w:szCs w:val="22"/>
        </w:rPr>
      </w:pPr>
      <w:del w:id="91" w:author="Berry Cobb" w:date="2022-01-24T15:45:00Z">
        <w:r w:rsidRPr="006E592F" w:rsidDel="004E7AEB">
          <w:rPr>
            <w:rFonts w:asciiTheme="minorHAnsi" w:hAnsiTheme="minorHAnsi" w:cstheme="minorHAnsi"/>
            <w:bCs/>
            <w:sz w:val="22"/>
            <w:szCs w:val="22"/>
          </w:rPr>
          <w:delText>[</w:delText>
        </w:r>
        <w:r w:rsidRPr="006E592F" w:rsidDel="004E7AEB">
          <w:rPr>
            <w:rFonts w:asciiTheme="minorHAnsi" w:hAnsiTheme="minorHAnsi" w:cstheme="minorHAnsi"/>
            <w:b/>
            <w:bCs/>
            <w:sz w:val="22"/>
            <w:szCs w:val="22"/>
          </w:rPr>
          <w:delText>OPTION 2</w:delText>
        </w:r>
        <w:r w:rsidRPr="006E592F" w:rsidDel="004E7AEB">
          <w:rPr>
            <w:rFonts w:asciiTheme="minorHAnsi" w:hAnsiTheme="minorHAnsi" w:cstheme="minorHAnsi"/>
            <w:bCs/>
            <w:sz w:val="22"/>
            <w:szCs w:val="22"/>
          </w:rPr>
          <w:delText>:</w:delText>
        </w:r>
      </w:del>
    </w:p>
    <w:p w14:paraId="139909A9" w14:textId="0C299F02" w:rsidR="009106F4" w:rsidRPr="006E592F" w:rsidRDefault="009106F4" w:rsidP="009106F4">
      <w:pPr>
        <w:rPr>
          <w:rFonts w:asciiTheme="minorHAnsi" w:hAnsiTheme="minorHAnsi" w:cstheme="minorHAnsi"/>
          <w:bCs/>
          <w:sz w:val="22"/>
          <w:szCs w:val="22"/>
        </w:rPr>
      </w:pPr>
      <w:moveFromRangeStart w:id="92" w:author="Berry Cobb" w:date="2022-01-24T15:45:00Z" w:name="move93931566"/>
      <w:moveFrom w:id="93" w:author="Berry Cobb" w:date="2022-01-24T15:45:00Z">
        <w:r w:rsidRPr="006E592F" w:rsidDel="004E7AEB">
          <w:rPr>
            <w:rFonts w:asciiTheme="minorHAnsi" w:hAnsiTheme="minorHAnsi" w:cstheme="minorHAnsi"/>
            <w:bCs/>
            <w:sz w:val="22"/>
            <w:szCs w:val="22"/>
          </w:rPr>
          <w:t>Where the registrant initiates court proceedings and the result is that the court decides not to hear the merits of the case, the registrant may submit the dispute to binding arbitration within ten (10) business days from the court order declining to hear the merits of the case, by submitting a request for or notice of arbitration to the competent arbitral institution with a copy to the relevant registrar, UDRP provider and the IGO Complainant. If the registrant does not submit a request for or notice of arbitration to the competent arbitral institution (with a copy to the registrar, UDRP provider and the IGO Complainant) within ten (10) business days from the court order declining to hear the merits of the case, the original UDRP decision will be implemented by the registrar.</w:t>
        </w:r>
      </w:moveFrom>
      <w:moveFromRangeEnd w:id="92"/>
      <w:del w:id="94" w:author="Berry Cobb" w:date="2022-01-24T15:40:00Z">
        <w:r w:rsidRPr="006E592F" w:rsidDel="009106F4">
          <w:rPr>
            <w:rFonts w:asciiTheme="minorHAnsi" w:hAnsiTheme="minorHAnsi" w:cstheme="minorHAnsi"/>
            <w:bCs/>
            <w:sz w:val="22"/>
            <w:szCs w:val="22"/>
          </w:rPr>
          <w:delText>]</w:delText>
        </w:r>
      </w:del>
    </w:p>
    <w:p w14:paraId="1ED9EEC2" w14:textId="1E41F8DB" w:rsidR="00D96063" w:rsidRPr="006E592F" w:rsidRDefault="00D96063" w:rsidP="009106F4">
      <w:pPr>
        <w:rPr>
          <w:rFonts w:ascii="Calibri" w:hAnsi="Calibri" w:cs="Calibri"/>
          <w:bCs/>
          <w:sz w:val="22"/>
          <w:szCs w:val="22"/>
        </w:rPr>
      </w:pPr>
    </w:p>
    <w:p w14:paraId="63F4A294" w14:textId="3B0DEA5F" w:rsidR="00D96063" w:rsidRPr="006E592F" w:rsidRDefault="00D96063" w:rsidP="009106F4">
      <w:pPr>
        <w:rPr>
          <w:rFonts w:ascii="Calibri" w:hAnsi="Calibri" w:cs="Calibri"/>
          <w:bCs/>
          <w:sz w:val="22"/>
          <w:szCs w:val="22"/>
        </w:rPr>
      </w:pPr>
    </w:p>
    <w:p w14:paraId="04730DB1" w14:textId="77777777" w:rsidR="00D96063" w:rsidRPr="006E592F" w:rsidRDefault="00D96063">
      <w:pPr>
        <w:spacing w:after="160" w:line="259" w:lineRule="auto"/>
        <w:rPr>
          <w:rFonts w:ascii="Calibri" w:hAnsi="Calibri" w:cs="Calibri"/>
          <w:b/>
          <w:bCs/>
          <w:sz w:val="22"/>
          <w:szCs w:val="22"/>
        </w:rPr>
      </w:pPr>
      <w:r w:rsidRPr="006E592F">
        <w:rPr>
          <w:rFonts w:ascii="Calibri" w:hAnsi="Calibri" w:cs="Calibri"/>
          <w:b/>
          <w:bCs/>
          <w:sz w:val="22"/>
          <w:szCs w:val="22"/>
        </w:rPr>
        <w:br w:type="page"/>
      </w:r>
    </w:p>
    <w:p w14:paraId="31B33998" w14:textId="38A3F176" w:rsidR="00D96063" w:rsidRPr="006E592F" w:rsidRDefault="00D96063" w:rsidP="00D96063">
      <w:pPr>
        <w:rPr>
          <w:rFonts w:ascii="Calibri" w:hAnsi="Calibri" w:cs="Calibri"/>
          <w:b/>
          <w:bCs/>
          <w:sz w:val="22"/>
          <w:szCs w:val="22"/>
        </w:rPr>
      </w:pPr>
      <w:r w:rsidRPr="006E592F">
        <w:rPr>
          <w:rFonts w:ascii="Calibri" w:hAnsi="Calibri" w:cs="Calibri"/>
          <w:b/>
          <w:bCs/>
          <w:sz w:val="22"/>
          <w:szCs w:val="22"/>
        </w:rPr>
        <w:lastRenderedPageBreak/>
        <w:t>Recommendation #5: Arbitral Review following a URS Proceeding</w:t>
      </w:r>
    </w:p>
    <w:p w14:paraId="43B54B45" w14:textId="77777777" w:rsidR="00D96063" w:rsidRPr="006E592F" w:rsidRDefault="00D96063" w:rsidP="00D96063">
      <w:pPr>
        <w:rPr>
          <w:rFonts w:ascii="Calibri" w:hAnsi="Calibri" w:cs="Calibri"/>
          <w:bCs/>
          <w:sz w:val="22"/>
          <w:szCs w:val="22"/>
        </w:rPr>
      </w:pPr>
      <w:r w:rsidRPr="006E592F">
        <w:rPr>
          <w:rFonts w:ascii="Calibri" w:hAnsi="Calibri" w:cs="Calibri"/>
          <w:bCs/>
          <w:sz w:val="22"/>
          <w:szCs w:val="22"/>
        </w:rPr>
        <w:t>The EPDP team recommends that the following provisions be added to the URS to accommodate the possibility of binding arbitration to review a Determination made under the URS:</w:t>
      </w:r>
    </w:p>
    <w:p w14:paraId="1D1561BF" w14:textId="77777777" w:rsidR="00D96063" w:rsidRPr="006E592F" w:rsidRDefault="00D96063" w:rsidP="00D96063">
      <w:pPr>
        <w:rPr>
          <w:rFonts w:ascii="Calibri" w:hAnsi="Calibri" w:cs="Calibri"/>
          <w:bCs/>
          <w:sz w:val="22"/>
          <w:szCs w:val="22"/>
        </w:rPr>
      </w:pPr>
    </w:p>
    <w:p w14:paraId="5853A165" w14:textId="6AB495A5" w:rsidR="00D96063" w:rsidRPr="006E592F" w:rsidRDefault="00D96063" w:rsidP="00D96063">
      <w:pPr>
        <w:numPr>
          <w:ilvl w:val="0"/>
          <w:numId w:val="3"/>
        </w:numPr>
        <w:rPr>
          <w:rFonts w:ascii="Calibri" w:hAnsi="Calibri" w:cs="Calibri"/>
          <w:bCs/>
          <w:sz w:val="22"/>
          <w:szCs w:val="22"/>
        </w:rPr>
      </w:pPr>
      <w:r w:rsidRPr="006E592F">
        <w:rPr>
          <w:rFonts w:ascii="Calibri" w:hAnsi="Calibri" w:cs="Calibri"/>
          <w:bCs/>
          <w:sz w:val="22"/>
          <w:szCs w:val="22"/>
        </w:rPr>
        <w:t xml:space="preserve">When submitting its complaint, an IGO Complainant shall </w:t>
      </w:r>
      <w:del w:id="95" w:author="Mary Wong" w:date="2022-02-01T11:28:00Z">
        <w:r w:rsidRPr="006E592F" w:rsidDel="00617B0E">
          <w:rPr>
            <w:rFonts w:ascii="Calibri" w:hAnsi="Calibri" w:cs="Calibri"/>
            <w:bCs/>
            <w:sz w:val="22"/>
            <w:szCs w:val="22"/>
          </w:rPr>
          <w:delText>also</w:delText>
        </w:r>
      </w:del>
      <w:r w:rsidRPr="006E592F">
        <w:rPr>
          <w:rFonts w:ascii="Calibri" w:hAnsi="Calibri" w:cs="Calibri"/>
          <w:bCs/>
          <w:sz w:val="22"/>
          <w:szCs w:val="22"/>
        </w:rPr>
        <w:t xml:space="preserve"> indicate </w:t>
      </w:r>
      <w:del w:id="96" w:author="Mary Wong" w:date="2022-02-01T11:28:00Z">
        <w:r w:rsidRPr="006E592F" w:rsidDel="00617B0E">
          <w:rPr>
            <w:rFonts w:ascii="Calibri" w:hAnsi="Calibri" w:cs="Calibri"/>
            <w:bCs/>
            <w:sz w:val="22"/>
            <w:szCs w:val="22"/>
          </w:rPr>
          <w:delText xml:space="preserve">whether </w:delText>
        </w:r>
      </w:del>
      <w:ins w:id="97" w:author="Mary Wong" w:date="2022-02-01T11:29:00Z">
        <w:r w:rsidR="00617B0E" w:rsidRPr="006E592F">
          <w:rPr>
            <w:rFonts w:ascii="Calibri" w:hAnsi="Calibri" w:cs="Calibri"/>
            <w:bCs/>
            <w:sz w:val="22"/>
            <w:szCs w:val="22"/>
          </w:rPr>
          <w:t xml:space="preserve">that </w:t>
        </w:r>
      </w:ins>
      <w:r w:rsidRPr="006E592F">
        <w:rPr>
          <w:rFonts w:ascii="Calibri" w:hAnsi="Calibri" w:cs="Calibri"/>
          <w:bCs/>
          <w:sz w:val="22"/>
          <w:szCs w:val="22"/>
        </w:rPr>
        <w:t>it agrees</w:t>
      </w:r>
      <w:ins w:id="98" w:author="Mary Wong" w:date="2022-02-01T11:29:00Z">
        <w:r w:rsidR="00617B0E" w:rsidRPr="006E592F">
          <w:rPr>
            <w:rFonts w:ascii="Calibri" w:hAnsi="Calibri" w:cs="Calibri"/>
            <w:bCs/>
            <w:sz w:val="22"/>
            <w:szCs w:val="22"/>
          </w:rPr>
          <w:t>,</w:t>
        </w:r>
      </w:ins>
      <w:r w:rsidRPr="006E592F">
        <w:rPr>
          <w:rFonts w:ascii="Calibri" w:hAnsi="Calibri" w:cs="Calibri"/>
          <w:bCs/>
          <w:sz w:val="22"/>
          <w:szCs w:val="22"/>
        </w:rPr>
        <w:t xml:space="preserve"> </w:t>
      </w:r>
      <w:del w:id="99" w:author="Mary Wong" w:date="2022-02-01T11:29:00Z">
        <w:r w:rsidRPr="006E592F" w:rsidDel="00617B0E">
          <w:rPr>
            <w:rFonts w:ascii="Calibri" w:hAnsi="Calibri" w:cs="Calibri"/>
            <w:bCs/>
            <w:sz w:val="22"/>
            <w:szCs w:val="22"/>
          </w:rPr>
          <w:delText>that</w:delText>
        </w:r>
      </w:del>
      <w:ins w:id="100" w:author="Berry Cobb" w:date="2022-01-31T11:57:00Z">
        <w:del w:id="101" w:author="Mary Wong" w:date="2022-02-01T11:29:00Z">
          <w:r w:rsidR="005D4490" w:rsidRPr="006E592F" w:rsidDel="00617B0E">
            <w:rPr>
              <w:rFonts w:asciiTheme="minorHAnsi" w:hAnsiTheme="minorHAnsi" w:cstheme="minorHAnsi"/>
              <w:bCs/>
              <w:sz w:val="22"/>
              <w:szCs w:val="22"/>
            </w:rPr>
            <w:delText xml:space="preserve">, </w:delText>
          </w:r>
        </w:del>
        <w:r w:rsidR="005D4490" w:rsidRPr="006E592F">
          <w:rPr>
            <w:rFonts w:asciiTheme="minorHAnsi" w:hAnsiTheme="minorHAnsi" w:cstheme="minorHAnsi"/>
            <w:bCs/>
            <w:sz w:val="22"/>
            <w:szCs w:val="22"/>
          </w:rPr>
          <w:t>in the event the registrant</w:t>
        </w:r>
      </w:ins>
      <w:ins w:id="102" w:author="Mary Wong" w:date="2022-02-01T11:29:00Z">
        <w:r w:rsidR="00617B0E" w:rsidRPr="006E592F">
          <w:rPr>
            <w:rFonts w:asciiTheme="minorHAnsi" w:hAnsiTheme="minorHAnsi" w:cstheme="minorHAnsi"/>
            <w:bCs/>
            <w:sz w:val="22"/>
            <w:szCs w:val="22"/>
          </w:rPr>
          <w:t xml:space="preserve"> also agrees,</w:t>
        </w:r>
      </w:ins>
      <w:ins w:id="103" w:author="Berry Cobb" w:date="2022-01-31T11:57:00Z">
        <w:r w:rsidR="005D4490" w:rsidRPr="006E592F">
          <w:rPr>
            <w:rFonts w:asciiTheme="minorHAnsi" w:hAnsiTheme="minorHAnsi" w:cstheme="minorHAnsi"/>
            <w:bCs/>
            <w:sz w:val="22"/>
            <w:szCs w:val="22"/>
          </w:rPr>
          <w:t xml:space="preserve"> </w:t>
        </w:r>
        <w:del w:id="104" w:author="Mary Wong" w:date="2022-02-01T11:29:00Z">
          <w:r w:rsidR="005D4490" w:rsidRPr="006E592F" w:rsidDel="00617B0E">
            <w:rPr>
              <w:rFonts w:asciiTheme="minorHAnsi" w:hAnsiTheme="minorHAnsi" w:cstheme="minorHAnsi"/>
              <w:bCs/>
              <w:sz w:val="22"/>
              <w:szCs w:val="22"/>
            </w:rPr>
            <w:delText>elects to have the dispute sent to arbitration,</w:delText>
          </w:r>
        </w:del>
      </w:ins>
      <w:del w:id="105" w:author="Mary Wong" w:date="2022-02-01T11:29:00Z">
        <w:r w:rsidRPr="006E592F" w:rsidDel="00617B0E">
          <w:rPr>
            <w:rFonts w:ascii="Calibri" w:hAnsi="Calibri" w:cs="Calibri"/>
            <w:bCs/>
            <w:sz w:val="22"/>
            <w:szCs w:val="22"/>
          </w:rPr>
          <w:delText xml:space="preserve"> </w:delText>
        </w:r>
      </w:del>
      <w:ins w:id="106" w:author="Mary Wong" w:date="2022-02-01T11:29:00Z">
        <w:r w:rsidR="00617B0E" w:rsidRPr="006E592F">
          <w:rPr>
            <w:rFonts w:ascii="Calibri" w:hAnsi="Calibri" w:cs="Calibri"/>
            <w:bCs/>
            <w:sz w:val="22"/>
            <w:szCs w:val="22"/>
          </w:rPr>
          <w:t xml:space="preserve">to have the </w:t>
        </w:r>
      </w:ins>
      <w:r w:rsidRPr="006E592F">
        <w:rPr>
          <w:rFonts w:ascii="Calibri" w:hAnsi="Calibri" w:cs="Calibri"/>
          <w:bCs/>
          <w:sz w:val="22"/>
          <w:szCs w:val="22"/>
        </w:rPr>
        <w:t xml:space="preserve">final determination of the outcome of the URS proceeding </w:t>
      </w:r>
      <w:del w:id="107" w:author="Mary Wong" w:date="2022-02-01T11:29:00Z">
        <w:r w:rsidRPr="006E592F" w:rsidDel="00617B0E">
          <w:rPr>
            <w:rFonts w:ascii="Calibri" w:hAnsi="Calibri" w:cs="Calibri"/>
            <w:bCs/>
            <w:sz w:val="22"/>
            <w:szCs w:val="22"/>
          </w:rPr>
          <w:delText>shall be</w:delText>
        </w:r>
      </w:del>
      <w:ins w:id="108" w:author="Mary Wong" w:date="2022-02-01T11:29:00Z">
        <w:r w:rsidR="00617B0E" w:rsidRPr="006E592F">
          <w:rPr>
            <w:rFonts w:ascii="Calibri" w:hAnsi="Calibri" w:cs="Calibri"/>
            <w:bCs/>
            <w:sz w:val="22"/>
            <w:szCs w:val="22"/>
          </w:rPr>
          <w:t>settled</w:t>
        </w:r>
      </w:ins>
      <w:r w:rsidRPr="006E592F">
        <w:rPr>
          <w:rFonts w:ascii="Calibri" w:hAnsi="Calibri" w:cs="Calibri"/>
          <w:bCs/>
          <w:sz w:val="22"/>
          <w:szCs w:val="22"/>
        </w:rPr>
        <w:t xml:space="preserve"> through binding arbitration</w:t>
      </w:r>
      <w:del w:id="109" w:author="Berry Cobb" w:date="2022-01-31T11:59:00Z">
        <w:r w:rsidRPr="006E592F" w:rsidDel="005D4490">
          <w:rPr>
            <w:rFonts w:ascii="Calibri" w:hAnsi="Calibri" w:cs="Calibri"/>
            <w:bCs/>
            <w:sz w:val="22"/>
            <w:szCs w:val="22"/>
          </w:rPr>
          <w:delText>, in the event that the registrant also agrees to binding arbitration</w:delText>
        </w:r>
      </w:del>
      <w:r w:rsidRPr="006E592F">
        <w:rPr>
          <w:rFonts w:ascii="Calibri" w:hAnsi="Calibri" w:cs="Calibri"/>
          <w:bCs/>
          <w:sz w:val="22"/>
          <w:szCs w:val="22"/>
        </w:rPr>
        <w:t>.</w:t>
      </w:r>
      <w:ins w:id="110" w:author="Berry Cobb" w:date="2022-01-31T11:59:00Z">
        <w:r w:rsidR="005D4490" w:rsidRPr="006E592F">
          <w:rPr>
            <w:rFonts w:asciiTheme="minorHAnsi" w:hAnsiTheme="minorHAnsi" w:cstheme="minorHAnsi"/>
            <w:bCs/>
            <w:sz w:val="22"/>
            <w:szCs w:val="22"/>
          </w:rPr>
          <w:t xml:space="preserve"> </w:t>
        </w:r>
        <w:del w:id="111" w:author="Mary Wong" w:date="2022-02-01T11:29:00Z">
          <w:r w:rsidR="005D4490" w:rsidRPr="006E592F" w:rsidDel="00617B0E">
            <w:rPr>
              <w:rFonts w:asciiTheme="minorHAnsi" w:hAnsiTheme="minorHAnsi" w:cstheme="minorHAnsi"/>
              <w:bCs/>
              <w:sz w:val="22"/>
              <w:szCs w:val="22"/>
            </w:rPr>
            <w:delText>Where an IGO Complainant indicates such agreement, the following provisions in this Recommendation #</w:delText>
          </w:r>
        </w:del>
      </w:ins>
      <w:ins w:id="112" w:author="Berry Cobb" w:date="2022-01-31T12:17:00Z">
        <w:del w:id="113" w:author="Mary Wong" w:date="2022-02-01T11:29:00Z">
          <w:r w:rsidR="002F0592" w:rsidRPr="006E592F" w:rsidDel="00617B0E">
            <w:rPr>
              <w:rFonts w:asciiTheme="minorHAnsi" w:hAnsiTheme="minorHAnsi" w:cstheme="minorHAnsi"/>
              <w:bCs/>
              <w:sz w:val="22"/>
              <w:szCs w:val="22"/>
            </w:rPr>
            <w:delText>5</w:delText>
          </w:r>
        </w:del>
      </w:ins>
      <w:ins w:id="114" w:author="Berry Cobb" w:date="2022-01-31T11:59:00Z">
        <w:del w:id="115" w:author="Mary Wong" w:date="2022-02-01T11:29:00Z">
          <w:r w:rsidR="005D4490" w:rsidRPr="006E592F" w:rsidDel="00617B0E">
            <w:rPr>
              <w:rFonts w:asciiTheme="minorHAnsi" w:hAnsiTheme="minorHAnsi" w:cstheme="minorHAnsi"/>
              <w:bCs/>
              <w:sz w:val="22"/>
              <w:szCs w:val="22"/>
            </w:rPr>
            <w:delText xml:space="preserve"> shall apply. Where an IGO Complainant does not agree to binding arbitration, none of the following provisions in this Recommendation #</w:delText>
          </w:r>
        </w:del>
      </w:ins>
      <w:ins w:id="116" w:author="Berry Cobb" w:date="2022-01-31T12:17:00Z">
        <w:del w:id="117" w:author="Mary Wong" w:date="2022-02-01T11:29:00Z">
          <w:r w:rsidR="002F0592" w:rsidRPr="006E592F" w:rsidDel="00617B0E">
            <w:rPr>
              <w:rFonts w:asciiTheme="minorHAnsi" w:hAnsiTheme="minorHAnsi" w:cstheme="minorHAnsi"/>
              <w:bCs/>
              <w:sz w:val="22"/>
              <w:szCs w:val="22"/>
            </w:rPr>
            <w:delText>5</w:delText>
          </w:r>
        </w:del>
      </w:ins>
      <w:ins w:id="118" w:author="Berry Cobb" w:date="2022-01-31T11:59:00Z">
        <w:del w:id="119" w:author="Mary Wong" w:date="2022-02-01T11:29:00Z">
          <w:r w:rsidR="005D4490" w:rsidRPr="006E592F" w:rsidDel="00617B0E">
            <w:rPr>
              <w:rFonts w:asciiTheme="minorHAnsi" w:hAnsiTheme="minorHAnsi" w:cstheme="minorHAnsi"/>
              <w:bCs/>
              <w:sz w:val="22"/>
              <w:szCs w:val="22"/>
            </w:rPr>
            <w:delText xml:space="preserve"> will be applicable, and the case will proceed under the current URS Policy and Rules as applied to all complainants.</w:delText>
          </w:r>
        </w:del>
      </w:ins>
    </w:p>
    <w:p w14:paraId="1B6384B3" w14:textId="77777777" w:rsidR="00D96063" w:rsidRPr="006E592F" w:rsidRDefault="00D96063" w:rsidP="00D96063">
      <w:pPr>
        <w:rPr>
          <w:rFonts w:ascii="Calibri" w:hAnsi="Calibri" w:cs="Calibri"/>
          <w:bCs/>
          <w:sz w:val="22"/>
          <w:szCs w:val="22"/>
        </w:rPr>
      </w:pPr>
    </w:p>
    <w:p w14:paraId="53E674CF" w14:textId="296AEDB2" w:rsidR="00D96063" w:rsidRPr="006E592F" w:rsidRDefault="00D96063" w:rsidP="00D96063">
      <w:pPr>
        <w:numPr>
          <w:ilvl w:val="0"/>
          <w:numId w:val="3"/>
        </w:numPr>
        <w:rPr>
          <w:ins w:id="120" w:author="Berry Cobb" w:date="2022-01-24T15:46:00Z"/>
          <w:rFonts w:ascii="Calibri" w:hAnsi="Calibri" w:cs="Calibri"/>
          <w:bCs/>
          <w:sz w:val="22"/>
          <w:szCs w:val="22"/>
        </w:rPr>
      </w:pPr>
      <w:r w:rsidRPr="006E592F">
        <w:rPr>
          <w:rFonts w:ascii="Calibri" w:hAnsi="Calibri" w:cs="Calibri"/>
          <w:bCs/>
          <w:sz w:val="22"/>
          <w:szCs w:val="22"/>
        </w:rPr>
        <w:t>In communicating a URS Determination to the parties where the complainant is an IGO Complainant</w:t>
      </w:r>
      <w:ins w:id="121" w:author="Berry Cobb" w:date="2022-01-31T12:01:00Z">
        <w:del w:id="122" w:author="Mary Wong" w:date="2022-02-01T11:30:00Z">
          <w:r w:rsidR="005D4490" w:rsidRPr="006E592F" w:rsidDel="00617B0E">
            <w:rPr>
              <w:rFonts w:ascii="Calibri" w:hAnsi="Calibri" w:cs="Calibri"/>
              <w:bCs/>
              <w:sz w:val="22"/>
              <w:szCs w:val="22"/>
            </w:rPr>
            <w:delText xml:space="preserve"> </w:delText>
          </w:r>
          <w:r w:rsidR="005D4490" w:rsidRPr="006E592F" w:rsidDel="00617B0E">
            <w:rPr>
              <w:rFonts w:asciiTheme="minorHAnsi" w:hAnsiTheme="minorHAnsi" w:cstheme="minorHAnsi"/>
              <w:bCs/>
              <w:sz w:val="22"/>
              <w:szCs w:val="22"/>
            </w:rPr>
            <w:delText>that has agreed to binding arbitration</w:delText>
          </w:r>
        </w:del>
      </w:ins>
      <w:r w:rsidRPr="006E592F">
        <w:rPr>
          <w:rFonts w:ascii="Calibri" w:hAnsi="Calibri" w:cs="Calibri"/>
          <w:bCs/>
          <w:sz w:val="22"/>
          <w:szCs w:val="22"/>
        </w:rPr>
        <w:t xml:space="preserve">, the URS provider shall </w:t>
      </w:r>
      <w:del w:id="123" w:author="Mary Wong" w:date="2022-02-01T11:30:00Z">
        <w:r w:rsidRPr="006E592F" w:rsidDel="00617B0E">
          <w:rPr>
            <w:rFonts w:ascii="Calibri" w:hAnsi="Calibri" w:cs="Calibri"/>
            <w:bCs/>
            <w:sz w:val="22"/>
            <w:szCs w:val="22"/>
          </w:rPr>
          <w:delText>also</w:delText>
        </w:r>
      </w:del>
      <w:r w:rsidRPr="006E592F">
        <w:rPr>
          <w:rFonts w:ascii="Calibri" w:hAnsi="Calibri" w:cs="Calibri"/>
          <w:bCs/>
          <w:sz w:val="22"/>
          <w:szCs w:val="22"/>
        </w:rPr>
        <w:t xml:space="preserve"> request that the registrant indicate whether it agrees that </w:t>
      </w:r>
      <w:del w:id="124" w:author="Mary Wong" w:date="2022-02-01T11:30:00Z">
        <w:r w:rsidRPr="006E592F" w:rsidDel="00617B0E">
          <w:rPr>
            <w:rFonts w:ascii="Calibri" w:hAnsi="Calibri" w:cs="Calibri"/>
            <w:bCs/>
            <w:sz w:val="22"/>
            <w:szCs w:val="22"/>
          </w:rPr>
          <w:delText xml:space="preserve">any </w:delText>
        </w:r>
      </w:del>
      <w:ins w:id="125" w:author="Mary Wong" w:date="2022-02-01T11:30:00Z">
        <w:r w:rsidR="00617B0E" w:rsidRPr="006E592F">
          <w:rPr>
            <w:rFonts w:ascii="Calibri" w:hAnsi="Calibri" w:cs="Calibri"/>
            <w:bCs/>
            <w:sz w:val="22"/>
            <w:szCs w:val="22"/>
          </w:rPr>
          <w:t xml:space="preserve">final </w:t>
        </w:r>
      </w:ins>
      <w:r w:rsidRPr="006E592F">
        <w:rPr>
          <w:rFonts w:ascii="Calibri" w:hAnsi="Calibri" w:cs="Calibri"/>
          <w:bCs/>
          <w:sz w:val="22"/>
          <w:szCs w:val="22"/>
        </w:rPr>
        <w:t>review of the URS Determination will be conducted via binding arbitration</w:t>
      </w:r>
      <w:ins w:id="126" w:author="Mary Wong" w:date="2022-02-01T11:31:00Z">
        <w:r w:rsidR="00617B0E" w:rsidRPr="006E592F">
          <w:rPr>
            <w:rFonts w:ascii="Calibri" w:hAnsi="Calibri" w:cs="Calibri"/>
            <w:bCs/>
            <w:sz w:val="22"/>
            <w:szCs w:val="22"/>
          </w:rPr>
          <w:t xml:space="preserve">, subject to the registrant’s right to appeal the initial URS Determination </w:t>
        </w:r>
      </w:ins>
      <w:ins w:id="127" w:author="Mary Wong" w:date="2022-02-01T11:34:00Z">
        <w:r w:rsidR="009367D6" w:rsidRPr="006E592F">
          <w:rPr>
            <w:rFonts w:ascii="Calibri" w:hAnsi="Calibri" w:cs="Calibri"/>
            <w:bCs/>
            <w:sz w:val="22"/>
            <w:szCs w:val="22"/>
          </w:rPr>
          <w:t xml:space="preserve">under Section 12 of the URS </w:t>
        </w:r>
      </w:ins>
      <w:ins w:id="128" w:author="Mary Wong" w:date="2022-02-01T11:31:00Z">
        <w:r w:rsidR="00617B0E" w:rsidRPr="006E592F">
          <w:rPr>
            <w:rFonts w:ascii="Calibri" w:hAnsi="Calibri" w:cs="Calibri"/>
            <w:bCs/>
            <w:sz w:val="22"/>
            <w:szCs w:val="22"/>
          </w:rPr>
          <w:t>and/or</w:t>
        </w:r>
      </w:ins>
      <w:ins w:id="129" w:author="Mary Wong" w:date="2022-02-01T16:38:00Z">
        <w:r w:rsidR="00793285" w:rsidRPr="006E592F">
          <w:rPr>
            <w:rFonts w:ascii="Calibri" w:hAnsi="Calibri" w:cs="Calibri"/>
            <w:bCs/>
            <w:sz w:val="22"/>
            <w:szCs w:val="22"/>
          </w:rPr>
          <w:t xml:space="preserve"> to</w:t>
        </w:r>
      </w:ins>
      <w:ins w:id="130" w:author="Mary Wong" w:date="2022-02-01T11:31:00Z">
        <w:r w:rsidR="00617B0E" w:rsidRPr="006E592F">
          <w:rPr>
            <w:rFonts w:ascii="Calibri" w:hAnsi="Calibri" w:cs="Calibri"/>
            <w:bCs/>
            <w:sz w:val="22"/>
            <w:szCs w:val="22"/>
          </w:rPr>
          <w:t xml:space="preserve"> initiate court proceedings</w:t>
        </w:r>
      </w:ins>
      <w:ins w:id="131" w:author="Mary Wong" w:date="2022-02-01T11:34:00Z">
        <w:r w:rsidR="009367D6" w:rsidRPr="006E592F">
          <w:rPr>
            <w:rFonts w:ascii="Calibri" w:hAnsi="Calibri" w:cs="Calibri"/>
            <w:bCs/>
            <w:sz w:val="22"/>
            <w:szCs w:val="22"/>
          </w:rPr>
          <w:t>, in each case</w:t>
        </w:r>
      </w:ins>
      <w:ins w:id="132" w:author="Mary Wong" w:date="2022-02-01T11:31:00Z">
        <w:r w:rsidR="00617B0E" w:rsidRPr="006E592F">
          <w:rPr>
            <w:rFonts w:ascii="Calibri" w:hAnsi="Calibri" w:cs="Calibri"/>
            <w:bCs/>
            <w:sz w:val="22"/>
            <w:szCs w:val="22"/>
          </w:rPr>
          <w:t xml:space="preserve"> prior to requesting </w:t>
        </w:r>
      </w:ins>
      <w:ins w:id="133" w:author="Mary Wong" w:date="2022-02-10T18:15:00Z">
        <w:r w:rsidR="001617F0">
          <w:rPr>
            <w:rFonts w:ascii="Calibri" w:hAnsi="Calibri" w:cs="Calibri"/>
            <w:bCs/>
            <w:sz w:val="22"/>
            <w:szCs w:val="22"/>
          </w:rPr>
          <w:t xml:space="preserve">or initiating </w:t>
        </w:r>
      </w:ins>
      <w:ins w:id="134" w:author="Mary Wong" w:date="2022-02-01T11:31:00Z">
        <w:r w:rsidR="00617B0E" w:rsidRPr="006E592F">
          <w:rPr>
            <w:rFonts w:ascii="Calibri" w:hAnsi="Calibri" w:cs="Calibri"/>
            <w:bCs/>
            <w:sz w:val="22"/>
            <w:szCs w:val="22"/>
          </w:rPr>
          <w:t>arbitration</w:t>
        </w:r>
      </w:ins>
      <w:r w:rsidRPr="006E592F">
        <w:rPr>
          <w:rFonts w:ascii="Calibri" w:hAnsi="Calibri" w:cs="Calibri"/>
          <w:bCs/>
          <w:sz w:val="22"/>
          <w:szCs w:val="22"/>
        </w:rPr>
        <w:t xml:space="preserve">. </w:t>
      </w:r>
      <w:commentRangeStart w:id="135"/>
      <w:r w:rsidRPr="006E592F">
        <w:rPr>
          <w:rFonts w:ascii="Calibri" w:hAnsi="Calibri" w:cs="Calibri"/>
          <w:bCs/>
          <w:sz w:val="22"/>
          <w:szCs w:val="22"/>
        </w:rPr>
        <w:t xml:space="preserve">The request shall include information regarding the applicable arbitral rules. The arbitral rules shall be determined by the Implementation Review Team which, in making its determination, shall consider existing arbitral rules such as those of the International Centre for Dispute Resolution (ICDR), the World Intellectual Property Organization (WIPO), the United Nations Commission for International Trade Law (UNCITRAL) and the Permanent Court of Arbitration (PCA). </w:t>
      </w:r>
      <w:commentRangeEnd w:id="135"/>
      <w:r w:rsidR="00617B0E" w:rsidRPr="006E592F">
        <w:rPr>
          <w:rStyle w:val="CommentReference"/>
          <w:sz w:val="22"/>
          <w:szCs w:val="22"/>
        </w:rPr>
        <w:commentReference w:id="135"/>
      </w:r>
    </w:p>
    <w:p w14:paraId="1F4F12CA" w14:textId="77777777" w:rsidR="004E7AEB" w:rsidRPr="006E592F" w:rsidRDefault="004E7AEB" w:rsidP="004E7AEB">
      <w:pPr>
        <w:pStyle w:val="ListParagraph"/>
        <w:rPr>
          <w:ins w:id="136" w:author="Berry Cobb" w:date="2022-01-24T15:46:00Z"/>
          <w:rFonts w:cs="Calibri"/>
          <w:bCs/>
        </w:rPr>
      </w:pPr>
    </w:p>
    <w:p w14:paraId="3F39B83D" w14:textId="05704FD0" w:rsidR="004E7AEB" w:rsidRPr="006E592F" w:rsidRDefault="004E7AEB" w:rsidP="004E7AEB">
      <w:pPr>
        <w:pStyle w:val="ListParagraph"/>
        <w:numPr>
          <w:ilvl w:val="0"/>
          <w:numId w:val="3"/>
        </w:numPr>
        <w:rPr>
          <w:ins w:id="137" w:author="Berry Cobb" w:date="2022-01-24T15:46:00Z"/>
          <w:rFonts w:cs="Calibri"/>
          <w:bCs/>
        </w:rPr>
      </w:pPr>
      <w:ins w:id="138" w:author="Berry Cobb" w:date="2022-01-24T15:46:00Z">
        <w:r w:rsidRPr="006E592F">
          <w:rPr>
            <w:rFonts w:cs="Calibri"/>
            <w:bCs/>
          </w:rPr>
          <w:t xml:space="preserve">Where the registrant initiates court proceedings and the result is that the court </w:t>
        </w:r>
        <w:del w:id="139" w:author="Mary Wong" w:date="2022-02-10T18:15:00Z">
          <w:r w:rsidRPr="006E592F" w:rsidDel="001617F0">
            <w:rPr>
              <w:rFonts w:cs="Calibri"/>
              <w:bCs/>
            </w:rPr>
            <w:delText>decides not</w:delText>
          </w:r>
        </w:del>
      </w:ins>
      <w:ins w:id="140" w:author="Mary Wong" w:date="2022-02-10T18:15:00Z">
        <w:r w:rsidR="001617F0">
          <w:rPr>
            <w:rFonts w:cs="Calibri"/>
            <w:bCs/>
          </w:rPr>
          <w:t>declines</w:t>
        </w:r>
      </w:ins>
      <w:ins w:id="141" w:author="Berry Cobb" w:date="2022-01-24T15:46:00Z">
        <w:r w:rsidRPr="006E592F">
          <w:rPr>
            <w:rFonts w:cs="Calibri"/>
            <w:bCs/>
          </w:rPr>
          <w:t xml:space="preserve"> to hear the merits of the case, the registrant may submit the dispute to binding arbitration within ten (10) business days from the </w:t>
        </w:r>
      </w:ins>
      <w:ins w:id="142" w:author="Mary Wong" w:date="2022-02-01T16:39:00Z">
        <w:r w:rsidR="00793285" w:rsidRPr="006E592F">
          <w:rPr>
            <w:rFonts w:cs="Calibri"/>
            <w:bCs/>
          </w:rPr>
          <w:t xml:space="preserve">date of the </w:t>
        </w:r>
      </w:ins>
      <w:ins w:id="143" w:author="Berry Cobb" w:date="2022-01-24T15:46:00Z">
        <w:r w:rsidRPr="006E592F">
          <w:rPr>
            <w:rFonts w:cs="Calibri"/>
            <w:bCs/>
          </w:rPr>
          <w:t>court order declining to hear the merits of the case, by submitting a request for or notice of arbitration to the competent arbitral institution, with a copy to the URS provider and IGO Complainant.</w:t>
        </w:r>
      </w:ins>
      <w:ins w:id="144" w:author="Mary Wong" w:date="2022-02-01T16:39:00Z">
        <w:r w:rsidR="00793285" w:rsidRPr="006E592F">
          <w:rPr>
            <w:rFonts w:cs="Calibri"/>
            <w:bCs/>
          </w:rPr>
          <w:t xml:space="preserve"> The relevant domain name(s) will remain suspended throughout the pendency of any such arbitration proceeding.</w:t>
        </w:r>
      </w:ins>
    </w:p>
    <w:p w14:paraId="506A7674" w14:textId="6D0ABEBA" w:rsidR="004E7AEB" w:rsidRPr="006E592F" w:rsidDel="004E7AEB" w:rsidRDefault="004E7AEB" w:rsidP="00D96063">
      <w:pPr>
        <w:numPr>
          <w:ilvl w:val="0"/>
          <w:numId w:val="3"/>
        </w:numPr>
        <w:rPr>
          <w:del w:id="145" w:author="Berry Cobb" w:date="2022-01-24T15:46:00Z"/>
          <w:rFonts w:ascii="Calibri" w:hAnsi="Calibri" w:cs="Calibri"/>
          <w:bCs/>
          <w:sz w:val="22"/>
          <w:szCs w:val="22"/>
        </w:rPr>
      </w:pPr>
    </w:p>
    <w:p w14:paraId="4B1C025D" w14:textId="5A6A172F" w:rsidR="00D96063" w:rsidRPr="006E592F" w:rsidDel="004E7AEB" w:rsidRDefault="00D96063" w:rsidP="00D96063">
      <w:pPr>
        <w:rPr>
          <w:del w:id="146" w:author="Berry Cobb" w:date="2022-01-24T15:46:00Z"/>
          <w:rFonts w:ascii="Calibri" w:hAnsi="Calibri" w:cs="Calibri"/>
          <w:bCs/>
          <w:sz w:val="22"/>
          <w:szCs w:val="22"/>
        </w:rPr>
      </w:pPr>
    </w:p>
    <w:p w14:paraId="0C938979" w14:textId="50C32297" w:rsidR="00D96063" w:rsidRPr="006E592F" w:rsidDel="004E7AEB" w:rsidRDefault="00D96063" w:rsidP="00D96063">
      <w:pPr>
        <w:numPr>
          <w:ilvl w:val="0"/>
          <w:numId w:val="3"/>
        </w:numPr>
        <w:rPr>
          <w:del w:id="147" w:author="Berry Cobb" w:date="2022-01-24T15:44:00Z"/>
          <w:rFonts w:ascii="Calibri" w:hAnsi="Calibri" w:cs="Calibri"/>
          <w:bCs/>
          <w:i/>
          <w:iCs/>
          <w:sz w:val="22"/>
          <w:szCs w:val="22"/>
        </w:rPr>
      </w:pPr>
      <w:del w:id="148" w:author="Berry Cobb" w:date="2022-01-24T15:44:00Z">
        <w:r w:rsidRPr="006E592F" w:rsidDel="004E7AEB">
          <w:rPr>
            <w:rFonts w:ascii="Calibri" w:hAnsi="Calibri" w:cs="Calibri"/>
            <w:bCs/>
            <w:i/>
            <w:iCs/>
            <w:sz w:val="22"/>
            <w:szCs w:val="22"/>
          </w:rPr>
          <w:delText xml:space="preserve">** Note: The square bracketed text below describes two alternatives under consideration by the EPDP team, as to whether the option to arbitrate will remain available to the registrant after it initiates court proceedings against an IGO that has prevailed in the URS proceeding and the court declines to hear the case on its merits:  </w:delText>
        </w:r>
      </w:del>
    </w:p>
    <w:p w14:paraId="130D98B6" w14:textId="6912CCD3" w:rsidR="00D96063" w:rsidRPr="006E592F" w:rsidDel="004E7AEB" w:rsidRDefault="00D96063" w:rsidP="00D96063">
      <w:pPr>
        <w:rPr>
          <w:del w:id="149" w:author="Berry Cobb" w:date="2022-01-24T15:44:00Z"/>
          <w:rFonts w:ascii="Calibri" w:hAnsi="Calibri" w:cs="Calibri"/>
          <w:bCs/>
          <w:i/>
          <w:iCs/>
          <w:sz w:val="22"/>
          <w:szCs w:val="22"/>
        </w:rPr>
      </w:pPr>
    </w:p>
    <w:p w14:paraId="0BA848F9" w14:textId="5C2B2B4C" w:rsidR="00D96063" w:rsidRPr="006E592F" w:rsidDel="004E7AEB" w:rsidRDefault="00D96063" w:rsidP="00D96063">
      <w:pPr>
        <w:ind w:left="720"/>
        <w:rPr>
          <w:del w:id="150" w:author="Berry Cobb" w:date="2022-01-24T15:44:00Z"/>
          <w:rFonts w:ascii="Calibri" w:hAnsi="Calibri" w:cs="Calibri"/>
          <w:bCs/>
          <w:sz w:val="22"/>
          <w:szCs w:val="22"/>
        </w:rPr>
      </w:pPr>
      <w:del w:id="151" w:author="Berry Cobb" w:date="2022-01-24T15:44:00Z">
        <w:r w:rsidRPr="006E592F" w:rsidDel="004E7AEB">
          <w:rPr>
            <w:rFonts w:ascii="Calibri" w:hAnsi="Calibri" w:cs="Calibri"/>
            <w:bCs/>
            <w:sz w:val="22"/>
            <w:szCs w:val="22"/>
          </w:rPr>
          <w:delText>[</w:delText>
        </w:r>
        <w:r w:rsidRPr="006E592F" w:rsidDel="004E7AEB">
          <w:rPr>
            <w:rFonts w:ascii="Calibri" w:hAnsi="Calibri" w:cs="Calibri"/>
            <w:b/>
            <w:bCs/>
            <w:sz w:val="22"/>
            <w:szCs w:val="22"/>
          </w:rPr>
          <w:delText>OPTION 1:</w:delText>
        </w:r>
        <w:r w:rsidRPr="006E592F" w:rsidDel="004E7AEB">
          <w:rPr>
            <w:rFonts w:ascii="Calibri" w:hAnsi="Calibri" w:cs="Calibri"/>
            <w:bCs/>
            <w:sz w:val="22"/>
            <w:szCs w:val="22"/>
          </w:rPr>
          <w:delText xml:space="preserve"> </w:delText>
        </w:r>
      </w:del>
    </w:p>
    <w:p w14:paraId="52043D8A" w14:textId="72FDB3E9" w:rsidR="00D96063" w:rsidRPr="006E592F" w:rsidDel="004E7AEB" w:rsidRDefault="00D96063" w:rsidP="00D96063">
      <w:pPr>
        <w:ind w:left="720"/>
        <w:rPr>
          <w:del w:id="152" w:author="Berry Cobb" w:date="2022-01-24T15:44:00Z"/>
          <w:rFonts w:ascii="Calibri" w:hAnsi="Calibri" w:cs="Calibri"/>
          <w:bCs/>
          <w:sz w:val="22"/>
          <w:szCs w:val="22"/>
        </w:rPr>
      </w:pPr>
      <w:bookmarkStart w:id="153" w:name="OLE_LINK3"/>
      <w:bookmarkStart w:id="154" w:name="OLE_LINK4"/>
      <w:del w:id="155" w:author="Berry Cobb" w:date="2022-01-24T15:44:00Z">
        <w:r w:rsidRPr="006E592F" w:rsidDel="004E7AEB">
          <w:rPr>
            <w:rFonts w:ascii="Calibri" w:hAnsi="Calibri" w:cs="Calibri"/>
            <w:bCs/>
            <w:sz w:val="22"/>
            <w:szCs w:val="22"/>
          </w:rPr>
          <w:delText>Where the registrant initiates court proceedings and the result is that the court decides not to hear the merits of the case</w:delText>
        </w:r>
        <w:bookmarkEnd w:id="153"/>
        <w:bookmarkEnd w:id="154"/>
        <w:r w:rsidRPr="006E592F" w:rsidDel="004E7AEB">
          <w:rPr>
            <w:rFonts w:ascii="Calibri" w:hAnsi="Calibri" w:cs="Calibri"/>
            <w:bCs/>
            <w:sz w:val="22"/>
            <w:szCs w:val="22"/>
          </w:rPr>
          <w:delText xml:space="preserve">, </w:delText>
        </w:r>
        <w:r w:rsidRPr="006E592F" w:rsidDel="004E7AEB">
          <w:rPr>
            <w:rFonts w:ascii="Calibri" w:hAnsi="Calibri" w:cs="Calibri"/>
            <w:bCs/>
            <w:sz w:val="22"/>
            <w:szCs w:val="22"/>
            <w:highlight w:val="yellow"/>
          </w:rPr>
          <w:delText>the relevant domain name(s) will remain suspended in accordance with the URS Determination. The registrant will not have the option to proceed to arbitration at this stage.</w:delText>
        </w:r>
        <w:r w:rsidRPr="006E592F" w:rsidDel="004E7AEB">
          <w:rPr>
            <w:rFonts w:ascii="Calibri" w:hAnsi="Calibri" w:cs="Calibri"/>
            <w:bCs/>
            <w:sz w:val="22"/>
            <w:szCs w:val="22"/>
          </w:rPr>
          <w:delText>]</w:delText>
        </w:r>
      </w:del>
    </w:p>
    <w:p w14:paraId="07B9C31C" w14:textId="1FD2492E" w:rsidR="00D96063" w:rsidRPr="006E592F" w:rsidDel="004E7AEB" w:rsidRDefault="00D96063" w:rsidP="00D96063">
      <w:pPr>
        <w:rPr>
          <w:del w:id="156" w:author="Berry Cobb" w:date="2022-01-24T15:46:00Z"/>
          <w:rFonts w:ascii="Calibri" w:hAnsi="Calibri" w:cs="Calibri"/>
          <w:bCs/>
          <w:sz w:val="22"/>
          <w:szCs w:val="22"/>
        </w:rPr>
      </w:pPr>
    </w:p>
    <w:p w14:paraId="7C7EB2D4" w14:textId="56EB9796" w:rsidR="00D96063" w:rsidRPr="006E592F" w:rsidDel="004E7AEB" w:rsidRDefault="00D96063" w:rsidP="00D96063">
      <w:pPr>
        <w:ind w:left="720"/>
        <w:rPr>
          <w:del w:id="157" w:author="Berry Cobb" w:date="2022-01-24T15:44:00Z"/>
          <w:rFonts w:ascii="Calibri" w:hAnsi="Calibri" w:cs="Calibri"/>
          <w:bCs/>
          <w:sz w:val="22"/>
          <w:szCs w:val="22"/>
        </w:rPr>
      </w:pPr>
      <w:del w:id="158" w:author="Berry Cobb" w:date="2022-01-24T15:44:00Z">
        <w:r w:rsidRPr="006E592F" w:rsidDel="004E7AEB">
          <w:rPr>
            <w:rFonts w:ascii="Calibri" w:hAnsi="Calibri" w:cs="Calibri"/>
            <w:bCs/>
            <w:sz w:val="22"/>
            <w:szCs w:val="22"/>
          </w:rPr>
          <w:delText>[</w:delText>
        </w:r>
        <w:r w:rsidRPr="006E592F" w:rsidDel="004E7AEB">
          <w:rPr>
            <w:rFonts w:ascii="Calibri" w:hAnsi="Calibri" w:cs="Calibri"/>
            <w:b/>
            <w:bCs/>
            <w:sz w:val="22"/>
            <w:szCs w:val="22"/>
          </w:rPr>
          <w:delText>OPTION 2:</w:delText>
        </w:r>
      </w:del>
    </w:p>
    <w:p w14:paraId="239F6EEC" w14:textId="5BA7C6F3" w:rsidR="00D96063" w:rsidRPr="006E592F" w:rsidDel="004E7AEB" w:rsidRDefault="00D96063" w:rsidP="00D96063">
      <w:pPr>
        <w:ind w:left="720"/>
        <w:rPr>
          <w:del w:id="159" w:author="Berry Cobb" w:date="2022-01-24T15:46:00Z"/>
          <w:rFonts w:ascii="Calibri" w:hAnsi="Calibri" w:cs="Calibri"/>
          <w:bCs/>
          <w:sz w:val="22"/>
          <w:szCs w:val="22"/>
        </w:rPr>
      </w:pPr>
      <w:del w:id="160" w:author="Berry Cobb" w:date="2022-01-24T15:46:00Z">
        <w:r w:rsidRPr="006E592F" w:rsidDel="004E7AEB">
          <w:rPr>
            <w:rFonts w:ascii="Calibri" w:hAnsi="Calibri" w:cs="Calibri"/>
            <w:bCs/>
            <w:sz w:val="22"/>
            <w:szCs w:val="22"/>
          </w:rPr>
          <w:delText xml:space="preserve">Where the registrant initiates court proceedings and the result is that the court decides not to hear the merits of the case, </w:delText>
        </w:r>
        <w:r w:rsidRPr="006E592F" w:rsidDel="004E7AEB">
          <w:rPr>
            <w:rFonts w:ascii="Calibri" w:hAnsi="Calibri" w:cs="Calibri"/>
            <w:bCs/>
            <w:sz w:val="22"/>
            <w:szCs w:val="22"/>
            <w:highlight w:val="yellow"/>
          </w:rPr>
          <w:delText>the registrant may submit the dispute to binding arbitration within ten (10) business days from the court order</w:delText>
        </w:r>
        <w:r w:rsidRPr="006E592F" w:rsidDel="004E7AEB">
          <w:rPr>
            <w:rFonts w:ascii="Calibri" w:hAnsi="Calibri" w:cs="Calibri"/>
            <w:bCs/>
            <w:sz w:val="22"/>
            <w:szCs w:val="22"/>
          </w:rPr>
          <w:delText xml:space="preserve"> declining to hear the merits of the case, by </w:delText>
        </w:r>
        <w:r w:rsidRPr="006E592F" w:rsidDel="004E7AEB">
          <w:rPr>
            <w:rFonts w:ascii="Calibri" w:hAnsi="Calibri" w:cs="Calibri"/>
            <w:bCs/>
            <w:sz w:val="22"/>
            <w:szCs w:val="22"/>
          </w:rPr>
          <w:lastRenderedPageBreak/>
          <w:delText>submitting a request for or notice of arbitration to the competent arbitral institution, with a copy to the URS provider and IGO Complainant.</w:delText>
        </w:r>
      </w:del>
      <w:del w:id="161" w:author="Berry Cobb" w:date="2022-01-24T15:44:00Z">
        <w:r w:rsidRPr="006E592F" w:rsidDel="004E7AEB">
          <w:rPr>
            <w:rFonts w:ascii="Calibri" w:hAnsi="Calibri" w:cs="Calibri"/>
            <w:bCs/>
            <w:sz w:val="22"/>
            <w:szCs w:val="22"/>
          </w:rPr>
          <w:delText>]</w:delText>
        </w:r>
      </w:del>
    </w:p>
    <w:p w14:paraId="366F099C" w14:textId="77777777" w:rsidR="00D96063" w:rsidRPr="006E592F" w:rsidRDefault="00D96063" w:rsidP="00D96063">
      <w:pPr>
        <w:rPr>
          <w:rFonts w:ascii="Calibri" w:hAnsi="Calibri" w:cs="Calibri"/>
          <w:bCs/>
          <w:sz w:val="22"/>
          <w:szCs w:val="22"/>
        </w:rPr>
      </w:pPr>
    </w:p>
    <w:p w14:paraId="5CD07026" w14:textId="3293B6CC" w:rsidR="00D96063" w:rsidRPr="006E592F" w:rsidRDefault="00D96063" w:rsidP="00D96063">
      <w:pPr>
        <w:numPr>
          <w:ilvl w:val="0"/>
          <w:numId w:val="3"/>
        </w:numPr>
        <w:rPr>
          <w:rFonts w:ascii="Calibri" w:hAnsi="Calibri" w:cs="Calibri"/>
          <w:bCs/>
          <w:sz w:val="22"/>
          <w:szCs w:val="22"/>
        </w:rPr>
      </w:pPr>
      <w:r w:rsidRPr="006E592F">
        <w:rPr>
          <w:rFonts w:ascii="Calibri" w:hAnsi="Calibri" w:cs="Calibri"/>
          <w:bCs/>
          <w:sz w:val="22"/>
          <w:szCs w:val="22"/>
        </w:rPr>
        <w:t xml:space="preserve">Where </w:t>
      </w:r>
      <w:del w:id="162" w:author="Mary Wong" w:date="2022-02-01T16:38:00Z">
        <w:r w:rsidRPr="006E592F" w:rsidDel="00793285">
          <w:rPr>
            <w:rFonts w:ascii="Calibri" w:hAnsi="Calibri" w:cs="Calibri"/>
            <w:bCs/>
            <w:sz w:val="22"/>
            <w:szCs w:val="22"/>
          </w:rPr>
          <w:delText xml:space="preserve">a </w:delText>
        </w:r>
      </w:del>
      <w:ins w:id="163" w:author="Mary Wong" w:date="2022-02-01T16:38:00Z">
        <w:r w:rsidR="00793285" w:rsidRPr="006E592F">
          <w:rPr>
            <w:rFonts w:ascii="Calibri" w:hAnsi="Calibri" w:cs="Calibri"/>
            <w:bCs/>
            <w:sz w:val="22"/>
            <w:szCs w:val="22"/>
          </w:rPr>
          <w:t xml:space="preserve">the </w:t>
        </w:r>
      </w:ins>
      <w:r w:rsidRPr="006E592F">
        <w:rPr>
          <w:rFonts w:ascii="Calibri" w:hAnsi="Calibri" w:cs="Calibri"/>
          <w:bCs/>
          <w:sz w:val="22"/>
          <w:szCs w:val="22"/>
        </w:rPr>
        <w:t xml:space="preserve">registrant </w:t>
      </w:r>
      <w:del w:id="164" w:author="Mary Wong" w:date="2022-02-01T16:38:00Z">
        <w:r w:rsidRPr="006E592F" w:rsidDel="00793285">
          <w:rPr>
            <w:rFonts w:ascii="Calibri" w:hAnsi="Calibri" w:cs="Calibri"/>
            <w:bCs/>
            <w:sz w:val="22"/>
            <w:szCs w:val="22"/>
          </w:rPr>
          <w:delText xml:space="preserve">that has lost in a URS proceeding </w:delText>
        </w:r>
      </w:del>
      <w:r w:rsidRPr="006E592F">
        <w:rPr>
          <w:rFonts w:ascii="Calibri" w:hAnsi="Calibri" w:cs="Calibri"/>
          <w:bCs/>
          <w:sz w:val="22"/>
          <w:szCs w:val="22"/>
        </w:rPr>
        <w:t>files an appeal under URS Section 12 and does not prevail in the appeal, it may submit the dispute to binding arbitration within ten (10) business days from the date of the appeal panel’s decision, by submitting a request for or notice of arbitration to the competent arbitral institution, with a copy to the URS provider and the IGO Complainant. The relevant domain name(s) will remain suspended throughout the pendency of any such arbitration proceeding.</w:t>
      </w:r>
    </w:p>
    <w:p w14:paraId="1FE519DA" w14:textId="77777777" w:rsidR="00D96063" w:rsidRPr="006E592F" w:rsidRDefault="00D96063" w:rsidP="009106F4">
      <w:pPr>
        <w:rPr>
          <w:sz w:val="22"/>
          <w:szCs w:val="22"/>
        </w:rPr>
      </w:pPr>
    </w:p>
    <w:sectPr w:rsidR="00D96063" w:rsidRPr="006E592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Mary Wong" w:date="2022-02-10T18:02:00Z" w:initials="MW">
    <w:p w14:paraId="44E18344" w14:textId="13EF724F" w:rsidR="006B54A3" w:rsidRDefault="006B54A3">
      <w:pPr>
        <w:pStyle w:val="CommentText"/>
      </w:pPr>
      <w:r>
        <w:rPr>
          <w:rStyle w:val="CommentReference"/>
        </w:rPr>
        <w:annotationRef/>
      </w:r>
      <w:r>
        <w:t xml:space="preserve">Hopefully this addresses the concern that a registrant </w:t>
      </w:r>
      <w:proofErr w:type="gramStart"/>
      <w:r>
        <w:t>not be</w:t>
      </w:r>
      <w:proofErr w:type="gramEnd"/>
      <w:r>
        <w:t xml:space="preserve"> bound, as a result of agreeing at this stage, to go to arbitration without first filing in court.</w:t>
      </w:r>
    </w:p>
  </w:comment>
  <w:comment w:id="28" w:author="Berry Cobb" w:date="2022-01-24T15:39:00Z" w:initials="BC">
    <w:p w14:paraId="550073C4" w14:textId="081D5DB6" w:rsidR="009106F4" w:rsidRDefault="009106F4">
      <w:pPr>
        <w:pStyle w:val="CommentText"/>
      </w:pPr>
      <w:r>
        <w:rPr>
          <w:rStyle w:val="CommentReference"/>
        </w:rPr>
        <w:annotationRef/>
      </w:r>
      <w:r w:rsidR="00B60EED">
        <w:t xml:space="preserve">EPDP </w:t>
      </w:r>
      <w:r>
        <w:t>Small team to review arbitral rules to develop policy principles</w:t>
      </w:r>
      <w:r w:rsidR="00DE6192">
        <w:t xml:space="preserve"> for both Recs 4 &amp; 5.</w:t>
      </w:r>
    </w:p>
  </w:comment>
  <w:comment w:id="46" w:author="Mary Wong" w:date="2022-02-10T18:04:00Z" w:initials="MW">
    <w:p w14:paraId="7D8A94BC" w14:textId="75306355" w:rsidR="006B54A3" w:rsidRDefault="006B54A3">
      <w:pPr>
        <w:pStyle w:val="CommentText"/>
      </w:pPr>
      <w:r>
        <w:rPr>
          <w:rStyle w:val="CommentReference"/>
        </w:rPr>
        <w:annotationRef/>
      </w:r>
      <w:r>
        <w:t xml:space="preserve">Added </w:t>
      </w:r>
      <w:r w:rsidR="0045628A">
        <w:t xml:space="preserve">location limitation </w:t>
      </w:r>
      <w:r>
        <w:t xml:space="preserve">to address the concern that, without such </w:t>
      </w:r>
      <w:r w:rsidR="0045628A">
        <w:t>clarity</w:t>
      </w:r>
      <w:r>
        <w:t xml:space="preserve">, a registrar will be obliged to act (or refrain from acting) based on notices from any court and in any language. </w:t>
      </w:r>
    </w:p>
  </w:comment>
  <w:comment w:id="59" w:author="Mary Wong" w:date="2022-02-10T18:06:00Z" w:initials="MW">
    <w:p w14:paraId="5FAA435E" w14:textId="509DC711" w:rsidR="006B54A3" w:rsidRDefault="006B54A3">
      <w:pPr>
        <w:pStyle w:val="CommentText"/>
      </w:pPr>
      <w:r>
        <w:rPr>
          <w:rStyle w:val="CommentReference"/>
        </w:rPr>
        <w:annotationRef/>
      </w:r>
      <w:r>
        <w:t>Added clarification based on new limitation added to (iii) above.</w:t>
      </w:r>
    </w:p>
  </w:comment>
  <w:comment w:id="73" w:author="Mary Wong" w:date="2022-02-10T18:13:00Z" w:initials="MW">
    <w:p w14:paraId="65181D0D" w14:textId="75B6E191" w:rsidR="0045628A" w:rsidRDefault="0045628A">
      <w:pPr>
        <w:pStyle w:val="CommentText"/>
      </w:pPr>
      <w:r>
        <w:rPr>
          <w:rStyle w:val="CommentReference"/>
        </w:rPr>
        <w:annotationRef/>
      </w:r>
      <w:r>
        <w:t>Changed “court decides” to “court declines” to address</w:t>
      </w:r>
      <w:r w:rsidR="001617F0">
        <w:t xml:space="preserve"> concern about a court’s role in determining immunity.</w:t>
      </w:r>
      <w:r>
        <w:t xml:space="preserve"> </w:t>
      </w:r>
    </w:p>
  </w:comment>
  <w:comment w:id="77" w:author="Mary Wong" w:date="2022-02-10T18:10:00Z" w:initials="MW">
    <w:p w14:paraId="79C7E2AB" w14:textId="421D10F9" w:rsidR="0045628A" w:rsidRDefault="0045628A">
      <w:pPr>
        <w:pStyle w:val="CommentText"/>
      </w:pPr>
      <w:r>
        <w:rPr>
          <w:rStyle w:val="CommentReference"/>
        </w:rPr>
        <w:annotationRef/>
      </w:r>
      <w:r>
        <w:t>Added clarification based on new limitation added to (iii) above.</w:t>
      </w:r>
    </w:p>
  </w:comment>
  <w:comment w:id="135" w:author="Mary Wong" w:date="2022-02-01T11:31:00Z" w:initials="MW">
    <w:p w14:paraId="2CB314E6" w14:textId="525765F7" w:rsidR="00617B0E" w:rsidRDefault="00617B0E">
      <w:pPr>
        <w:pStyle w:val="CommentText"/>
      </w:pPr>
      <w:r>
        <w:rPr>
          <w:rStyle w:val="CommentReference"/>
        </w:rPr>
        <w:annotationRef/>
      </w:r>
      <w:r>
        <w:t>EPDP Small Team to review arbitral rules to develop Policy Principles for both Recs 4 &amp;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E18344" w15:done="0"/>
  <w15:commentEx w15:paraId="550073C4" w15:done="0"/>
  <w15:commentEx w15:paraId="7D8A94BC" w15:done="0"/>
  <w15:commentEx w15:paraId="5FAA435E" w15:done="0"/>
  <w15:commentEx w15:paraId="65181D0D" w15:done="0"/>
  <w15:commentEx w15:paraId="79C7E2AB" w15:done="0"/>
  <w15:commentEx w15:paraId="2CB314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D1CE" w16cex:dateUtc="2022-02-10T23:02:00Z"/>
  <w16cex:commentExtensible w16cex:durableId="259946CE" w16cex:dateUtc="2022-01-24T20:39:00Z"/>
  <w16cex:commentExtensible w16cex:durableId="25AFD243" w16cex:dateUtc="2022-02-10T23:04:00Z"/>
  <w16cex:commentExtensible w16cex:durableId="25AFD2B2" w16cex:dateUtc="2022-02-10T23:06:00Z"/>
  <w16cex:commentExtensible w16cex:durableId="25AFD43B" w16cex:dateUtc="2022-02-10T23:13:00Z"/>
  <w16cex:commentExtensible w16cex:durableId="25AFD39D" w16cex:dateUtc="2022-02-10T23:10:00Z"/>
  <w16cex:commentExtensible w16cex:durableId="25A3989D" w16cex:dateUtc="2022-02-01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E18344" w16cid:durableId="25AFD1CE"/>
  <w16cid:commentId w16cid:paraId="550073C4" w16cid:durableId="259946CE"/>
  <w16cid:commentId w16cid:paraId="7D8A94BC" w16cid:durableId="25AFD243"/>
  <w16cid:commentId w16cid:paraId="5FAA435E" w16cid:durableId="25AFD2B2"/>
  <w16cid:commentId w16cid:paraId="65181D0D" w16cid:durableId="25AFD43B"/>
  <w16cid:commentId w16cid:paraId="79C7E2AB" w16cid:durableId="25AFD39D"/>
  <w16cid:commentId w16cid:paraId="2CB314E6" w16cid:durableId="25A398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07C4" w14:textId="77777777" w:rsidR="0092389C" w:rsidRDefault="0092389C" w:rsidP="00D96063">
      <w:r>
        <w:separator/>
      </w:r>
    </w:p>
  </w:endnote>
  <w:endnote w:type="continuationSeparator" w:id="0">
    <w:p w14:paraId="757509D0" w14:textId="77777777" w:rsidR="0092389C" w:rsidRDefault="0092389C" w:rsidP="00D9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C8A6" w14:textId="77777777" w:rsidR="0092389C" w:rsidRDefault="0092389C" w:rsidP="00D96063">
      <w:r>
        <w:separator/>
      </w:r>
    </w:p>
  </w:footnote>
  <w:footnote w:type="continuationSeparator" w:id="0">
    <w:p w14:paraId="67E1A41E" w14:textId="77777777" w:rsidR="0092389C" w:rsidRDefault="0092389C" w:rsidP="00D96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EC4"/>
    <w:multiLevelType w:val="hybridMultilevel"/>
    <w:tmpl w:val="59B83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E1265"/>
    <w:multiLevelType w:val="hybridMultilevel"/>
    <w:tmpl w:val="1A08F7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91995"/>
    <w:multiLevelType w:val="hybridMultilevel"/>
    <w:tmpl w:val="EA8EDB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Wong">
    <w15:presenceInfo w15:providerId="None" w15:userId="Mary Wong"/>
  </w15:person>
  <w15:person w15:author="Berry Cobb">
    <w15:presenceInfo w15:providerId="Windows Live" w15:userId="0a999daf9fe58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1E"/>
    <w:rsid w:val="00000257"/>
    <w:rsid w:val="000B632E"/>
    <w:rsid w:val="000F70F2"/>
    <w:rsid w:val="001617F0"/>
    <w:rsid w:val="002F0592"/>
    <w:rsid w:val="0045628A"/>
    <w:rsid w:val="00471567"/>
    <w:rsid w:val="004C791E"/>
    <w:rsid w:val="004E7AEB"/>
    <w:rsid w:val="005D4490"/>
    <w:rsid w:val="00617B0E"/>
    <w:rsid w:val="00692CF5"/>
    <w:rsid w:val="006B54A3"/>
    <w:rsid w:val="006E592F"/>
    <w:rsid w:val="00793285"/>
    <w:rsid w:val="009106F4"/>
    <w:rsid w:val="0092389C"/>
    <w:rsid w:val="009367D6"/>
    <w:rsid w:val="00A203CF"/>
    <w:rsid w:val="00A2147C"/>
    <w:rsid w:val="00AA3BCF"/>
    <w:rsid w:val="00B27CCD"/>
    <w:rsid w:val="00B6036F"/>
    <w:rsid w:val="00B60EED"/>
    <w:rsid w:val="00BE4995"/>
    <w:rsid w:val="00C93470"/>
    <w:rsid w:val="00D96063"/>
    <w:rsid w:val="00DD7061"/>
    <w:rsid w:val="00DE08F4"/>
    <w:rsid w:val="00DE6192"/>
    <w:rsid w:val="00F60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308D"/>
  <w15:chartTrackingRefBased/>
  <w15:docId w15:val="{A778A5C3-64E6-421D-9475-A5FD0B83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91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791E"/>
    <w:pPr>
      <w:ind w:left="720"/>
    </w:pPr>
    <w:rPr>
      <w:rFonts w:ascii="Calibri" w:eastAsia="Calibri" w:hAnsi="Calibri"/>
      <w:sz w:val="22"/>
      <w:szCs w:val="22"/>
    </w:rPr>
  </w:style>
  <w:style w:type="paragraph" w:styleId="Revision">
    <w:name w:val="Revision"/>
    <w:hidden/>
    <w:uiPriority w:val="99"/>
    <w:semiHidden/>
    <w:rsid w:val="00C93470"/>
    <w:pPr>
      <w:spacing w:after="0" w:line="240" w:lineRule="auto"/>
    </w:pPr>
    <w:rPr>
      <w:rFonts w:ascii="Cambria" w:eastAsia="MS Mincho" w:hAnsi="Cambria" w:cs="Times New Roman"/>
      <w:sz w:val="24"/>
      <w:szCs w:val="24"/>
    </w:rPr>
  </w:style>
  <w:style w:type="character" w:styleId="CommentReference">
    <w:name w:val="annotation reference"/>
    <w:basedOn w:val="DefaultParagraphFont"/>
    <w:uiPriority w:val="99"/>
    <w:semiHidden/>
    <w:unhideWhenUsed/>
    <w:rsid w:val="009106F4"/>
    <w:rPr>
      <w:sz w:val="16"/>
      <w:szCs w:val="16"/>
    </w:rPr>
  </w:style>
  <w:style w:type="paragraph" w:styleId="CommentText">
    <w:name w:val="annotation text"/>
    <w:basedOn w:val="Normal"/>
    <w:link w:val="CommentTextChar"/>
    <w:uiPriority w:val="99"/>
    <w:semiHidden/>
    <w:unhideWhenUsed/>
    <w:rsid w:val="009106F4"/>
    <w:rPr>
      <w:sz w:val="20"/>
      <w:szCs w:val="20"/>
    </w:rPr>
  </w:style>
  <w:style w:type="character" w:customStyle="1" w:styleId="CommentTextChar">
    <w:name w:val="Comment Text Char"/>
    <w:basedOn w:val="DefaultParagraphFont"/>
    <w:link w:val="CommentText"/>
    <w:uiPriority w:val="99"/>
    <w:semiHidden/>
    <w:rsid w:val="009106F4"/>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106F4"/>
    <w:rPr>
      <w:b/>
      <w:bCs/>
    </w:rPr>
  </w:style>
  <w:style w:type="character" w:customStyle="1" w:styleId="CommentSubjectChar">
    <w:name w:val="Comment Subject Char"/>
    <w:basedOn w:val="CommentTextChar"/>
    <w:link w:val="CommentSubject"/>
    <w:uiPriority w:val="99"/>
    <w:semiHidden/>
    <w:rsid w:val="009106F4"/>
    <w:rPr>
      <w:rFonts w:ascii="Cambria" w:eastAsia="MS Mincho" w:hAnsi="Cambria" w:cs="Times New Roman"/>
      <w:b/>
      <w:bCs/>
      <w:sz w:val="20"/>
      <w:szCs w:val="20"/>
    </w:rPr>
  </w:style>
  <w:style w:type="paragraph" w:styleId="FootnoteText">
    <w:name w:val="footnote text"/>
    <w:aliases w:val="+ Footnote Text"/>
    <w:basedOn w:val="Normal"/>
    <w:link w:val="FootnoteTextChar"/>
    <w:uiPriority w:val="99"/>
    <w:unhideWhenUsed/>
    <w:rsid w:val="00D96063"/>
    <w:rPr>
      <w:rFonts w:ascii="Source Sans Pro" w:eastAsiaTheme="minorEastAsia"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D96063"/>
    <w:rPr>
      <w:rFonts w:ascii="Source Sans Pro" w:eastAsiaTheme="minorEastAsia" w:hAnsi="Source Sans Pro"/>
      <w:color w:val="595959" w:themeColor="text1" w:themeTint="A6"/>
      <w:sz w:val="20"/>
      <w:szCs w:val="24"/>
    </w:rPr>
  </w:style>
  <w:style w:type="character" w:styleId="FootnoteReference">
    <w:name w:val="footnote reference"/>
    <w:basedOn w:val="DefaultParagraphFont"/>
    <w:uiPriority w:val="99"/>
    <w:unhideWhenUsed/>
    <w:rsid w:val="00D96063"/>
    <w:rPr>
      <w:rFonts w:ascii="Calibri" w:hAnsi="Calibri"/>
      <w:vertAlign w:val="superscript"/>
    </w:rPr>
  </w:style>
  <w:style w:type="character" w:styleId="Hyperlink">
    <w:name w:val="Hyperlink"/>
    <w:basedOn w:val="DefaultParagraphFont"/>
    <w:uiPriority w:val="99"/>
    <w:unhideWhenUsed/>
    <w:rsid w:val="00D96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Cobb</dc:creator>
  <cp:keywords/>
  <dc:description/>
  <cp:lastModifiedBy>Mary Wong</cp:lastModifiedBy>
  <cp:revision>2</cp:revision>
  <dcterms:created xsi:type="dcterms:W3CDTF">2022-02-10T23:16:00Z</dcterms:created>
  <dcterms:modified xsi:type="dcterms:W3CDTF">2022-02-10T23:16:00Z</dcterms:modified>
</cp:coreProperties>
</file>