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8539" w14:textId="430CD9B4" w:rsidR="00922B2B" w:rsidRDefault="006C6036">
      <w:pPr>
        <w:pStyle w:val="Normal1"/>
        <w:rPr>
          <w:b/>
          <w:sz w:val="22"/>
          <w:szCs w:val="22"/>
        </w:rPr>
      </w:pPr>
      <w:r>
        <w:rPr>
          <w:b/>
          <w:sz w:val="22"/>
          <w:szCs w:val="22"/>
        </w:rPr>
        <w:t xml:space="preserve">EPDP </w:t>
      </w:r>
      <w:r w:rsidR="003A62BE">
        <w:rPr>
          <w:b/>
          <w:sz w:val="22"/>
          <w:szCs w:val="22"/>
        </w:rPr>
        <w:t>on Specific Curative Rights Protections for IGOs</w:t>
      </w:r>
      <w:r>
        <w:rPr>
          <w:b/>
          <w:sz w:val="22"/>
          <w:szCs w:val="22"/>
        </w:rPr>
        <w:t xml:space="preserve"> – Consensus Designations </w:t>
      </w:r>
    </w:p>
    <w:p w14:paraId="149CBC38" w14:textId="77777777" w:rsidR="00922B2B" w:rsidRDefault="00922B2B">
      <w:pPr>
        <w:pStyle w:val="Normal1"/>
        <w:rPr>
          <w:b/>
          <w:sz w:val="22"/>
          <w:szCs w:val="22"/>
        </w:rPr>
      </w:pPr>
    </w:p>
    <w:p w14:paraId="5BED6205" w14:textId="77777777" w:rsidR="00922B2B" w:rsidRDefault="006C6036">
      <w:pPr>
        <w:pStyle w:val="Normal1"/>
        <w:rPr>
          <w:b/>
          <w:sz w:val="22"/>
          <w:szCs w:val="22"/>
        </w:rPr>
      </w:pPr>
      <w:r>
        <w:rPr>
          <w:b/>
          <w:sz w:val="22"/>
          <w:szCs w:val="22"/>
        </w:rPr>
        <w:t>Introduction</w:t>
      </w:r>
    </w:p>
    <w:p w14:paraId="3CD64411" w14:textId="77777777" w:rsidR="00922B2B" w:rsidRDefault="00922B2B">
      <w:pPr>
        <w:pStyle w:val="Normal1"/>
        <w:rPr>
          <w:b/>
          <w:sz w:val="22"/>
          <w:szCs w:val="22"/>
        </w:rPr>
      </w:pPr>
    </w:p>
    <w:p w14:paraId="02FE0963" w14:textId="77777777" w:rsidR="00922B2B" w:rsidRDefault="006C6036">
      <w:pPr>
        <w:pStyle w:val="Normal1"/>
        <w:rPr>
          <w:sz w:val="22"/>
          <w:szCs w:val="22"/>
        </w:rPr>
      </w:pPr>
      <w:r>
        <w:rPr>
          <w:sz w:val="22"/>
          <w:szCs w:val="22"/>
        </w:rPr>
        <w:t xml:space="preserve">As described in the accompanying email, below is the Chair’s designation as to the level of Consensus on each recommendation in the EPDP Team Final Report. </w:t>
      </w:r>
    </w:p>
    <w:p w14:paraId="66BAB9D5" w14:textId="77777777" w:rsidR="00922B2B" w:rsidRDefault="00922B2B">
      <w:pPr>
        <w:pStyle w:val="Normal1"/>
        <w:rPr>
          <w:sz w:val="22"/>
          <w:szCs w:val="22"/>
        </w:rPr>
      </w:pPr>
    </w:p>
    <w:p w14:paraId="24781A4B" w14:textId="77777777" w:rsidR="00922B2B" w:rsidRDefault="006C6036">
      <w:pPr>
        <w:pStyle w:val="Normal1"/>
      </w:pPr>
      <w:r>
        <w:rPr>
          <w:sz w:val="22"/>
          <w:szCs w:val="22"/>
        </w:rPr>
        <w:t>Also, the GNSO Guidelines for working group decision making are included below the table for your reference.</w:t>
      </w:r>
    </w:p>
    <w:p w14:paraId="2E9567AB" w14:textId="77777777" w:rsidR="00922B2B" w:rsidRDefault="00922B2B">
      <w:pPr>
        <w:pStyle w:val="Normal1"/>
      </w:pPr>
    </w:p>
    <w:tbl>
      <w:tblPr>
        <w:tblStyle w:val="a"/>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505"/>
        <w:gridCol w:w="2922"/>
        <w:gridCol w:w="2923"/>
      </w:tblGrid>
      <w:tr w:rsidR="00922B2B" w14:paraId="0419DD17" w14:textId="77777777" w:rsidTr="00922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34B6DC58" w14:textId="77777777" w:rsidR="00922B2B" w:rsidRDefault="006C6036">
            <w:pPr>
              <w:pStyle w:val="Normal1"/>
              <w:rPr>
                <w:sz w:val="22"/>
                <w:szCs w:val="22"/>
              </w:rPr>
            </w:pPr>
            <w:r>
              <w:rPr>
                <w:sz w:val="22"/>
                <w:szCs w:val="22"/>
              </w:rPr>
              <w:t>Recommendation #</w:t>
            </w:r>
          </w:p>
        </w:tc>
        <w:tc>
          <w:tcPr>
            <w:tcW w:w="2922" w:type="dxa"/>
            <w:shd w:val="clear" w:color="auto" w:fill="E7E6E6"/>
          </w:tcPr>
          <w:p w14:paraId="662FF1E9" w14:textId="77777777" w:rsidR="00922B2B" w:rsidRDefault="006C6036">
            <w:pPr>
              <w:pStyle w:val="Normal1"/>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Chair Proposed Designation</w:t>
            </w:r>
          </w:p>
        </w:tc>
        <w:tc>
          <w:tcPr>
            <w:tcW w:w="2923" w:type="dxa"/>
            <w:shd w:val="clear" w:color="auto" w:fill="E7E6E6"/>
          </w:tcPr>
          <w:p w14:paraId="58605E98" w14:textId="77777777" w:rsidR="00922B2B" w:rsidRDefault="006C6036">
            <w:pPr>
              <w:pStyle w:val="Normal1"/>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Groups not supporting recommendation or part thereof</w:t>
            </w:r>
          </w:p>
        </w:tc>
      </w:tr>
      <w:tr w:rsidR="00922B2B" w14:paraId="4691114D"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6F437619" w14:textId="2DA3648A" w:rsidR="00922B2B" w:rsidRDefault="006C6036">
            <w:pPr>
              <w:pStyle w:val="Normal1"/>
              <w:rPr>
                <w:sz w:val="22"/>
                <w:szCs w:val="22"/>
              </w:rPr>
            </w:pPr>
            <w:r>
              <w:rPr>
                <w:sz w:val="22"/>
                <w:szCs w:val="22"/>
              </w:rPr>
              <w:t>#1</w:t>
            </w:r>
            <w:r w:rsidR="003A62BE">
              <w:rPr>
                <w:sz w:val="22"/>
                <w:szCs w:val="22"/>
              </w:rPr>
              <w:t xml:space="preserve"> - </w:t>
            </w:r>
            <w:r w:rsidR="003A62BE" w:rsidRPr="003A62BE">
              <w:rPr>
                <w:sz w:val="22"/>
                <w:szCs w:val="22"/>
              </w:rPr>
              <w:t>Definition of “IGO Complainant”</w:t>
            </w:r>
          </w:p>
        </w:tc>
        <w:tc>
          <w:tcPr>
            <w:tcW w:w="2922" w:type="dxa"/>
          </w:tcPr>
          <w:p w14:paraId="0A168682" w14:textId="0A2FBA18" w:rsidR="00922B2B" w:rsidRDefault="00DF587E">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1D32F295" w14:textId="77777777" w:rsidR="00922B2B" w:rsidRDefault="00922B2B">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0A82C854"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46518247" w14:textId="1804B7F0" w:rsidR="00922B2B" w:rsidRDefault="006C6036">
            <w:pPr>
              <w:pStyle w:val="Normal1"/>
              <w:rPr>
                <w:sz w:val="22"/>
                <w:szCs w:val="22"/>
              </w:rPr>
            </w:pPr>
            <w:r>
              <w:rPr>
                <w:sz w:val="22"/>
                <w:szCs w:val="22"/>
              </w:rPr>
              <w:t>#2</w:t>
            </w:r>
            <w:r w:rsidR="003A62BE">
              <w:rPr>
                <w:sz w:val="22"/>
                <w:szCs w:val="22"/>
              </w:rPr>
              <w:t xml:space="preserve"> - </w:t>
            </w:r>
            <w:r w:rsidR="003A62BE" w:rsidRPr="003A62BE">
              <w:rPr>
                <w:sz w:val="22"/>
                <w:szCs w:val="22"/>
              </w:rPr>
              <w:t>Exemption from Submission to “Mutual Jurisdiction”</w:t>
            </w:r>
          </w:p>
        </w:tc>
        <w:tc>
          <w:tcPr>
            <w:tcW w:w="2922" w:type="dxa"/>
          </w:tcPr>
          <w:p w14:paraId="3FFFA653" w14:textId="12BAC306" w:rsidR="00922B2B" w:rsidRDefault="00DF587E">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4D9C9166" w14:textId="77777777" w:rsidR="00922B2B" w:rsidRDefault="00922B2B">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20703363"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564C02ED" w14:textId="6E572ADC" w:rsidR="00922B2B" w:rsidRDefault="006C6036">
            <w:pPr>
              <w:pStyle w:val="Normal1"/>
              <w:rPr>
                <w:sz w:val="22"/>
                <w:szCs w:val="22"/>
              </w:rPr>
            </w:pPr>
            <w:r>
              <w:rPr>
                <w:sz w:val="22"/>
                <w:szCs w:val="22"/>
              </w:rPr>
              <w:t>#3</w:t>
            </w:r>
            <w:r w:rsidR="003A62BE">
              <w:rPr>
                <w:sz w:val="22"/>
                <w:szCs w:val="22"/>
              </w:rPr>
              <w:t xml:space="preserve"> - </w:t>
            </w:r>
            <w:r w:rsidR="003A62BE" w:rsidRPr="003A62BE">
              <w:rPr>
                <w:sz w:val="22"/>
                <w:szCs w:val="22"/>
              </w:rPr>
              <w:t>Arbitral Review following a UDRP Proceeding</w:t>
            </w:r>
          </w:p>
        </w:tc>
        <w:tc>
          <w:tcPr>
            <w:tcW w:w="2922" w:type="dxa"/>
          </w:tcPr>
          <w:p w14:paraId="3D1911B8" w14:textId="21D86E8F" w:rsidR="00922B2B" w:rsidRDefault="00DF587E">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05C98E99" w14:textId="77777777" w:rsidR="00922B2B" w:rsidRDefault="00922B2B">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4EAF11DD"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0B703276" w14:textId="678A5A19" w:rsidR="00922B2B" w:rsidRDefault="006C6036">
            <w:pPr>
              <w:pStyle w:val="Normal1"/>
              <w:rPr>
                <w:sz w:val="22"/>
                <w:szCs w:val="22"/>
              </w:rPr>
            </w:pPr>
            <w:r>
              <w:rPr>
                <w:sz w:val="22"/>
                <w:szCs w:val="22"/>
              </w:rPr>
              <w:t>#4</w:t>
            </w:r>
            <w:r w:rsidR="003A62BE">
              <w:rPr>
                <w:sz w:val="22"/>
                <w:szCs w:val="22"/>
              </w:rPr>
              <w:t xml:space="preserve"> - A</w:t>
            </w:r>
            <w:r w:rsidR="003A62BE" w:rsidRPr="003A62BE">
              <w:rPr>
                <w:sz w:val="22"/>
                <w:szCs w:val="22"/>
              </w:rPr>
              <w:t>rbitral Review following a URS Proceeding</w:t>
            </w:r>
          </w:p>
        </w:tc>
        <w:tc>
          <w:tcPr>
            <w:tcW w:w="2922" w:type="dxa"/>
          </w:tcPr>
          <w:p w14:paraId="6A4C9602" w14:textId="07163254" w:rsidR="00922B2B" w:rsidRDefault="00DF587E">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1723ACF6" w14:textId="77777777" w:rsidR="00922B2B" w:rsidRDefault="00922B2B">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180113B1"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2D4D237A" w14:textId="3CEC5AFD" w:rsidR="00922B2B" w:rsidRDefault="006C6036">
            <w:pPr>
              <w:pStyle w:val="Normal1"/>
              <w:rPr>
                <w:sz w:val="22"/>
                <w:szCs w:val="22"/>
              </w:rPr>
            </w:pPr>
            <w:r>
              <w:rPr>
                <w:sz w:val="22"/>
                <w:szCs w:val="22"/>
              </w:rPr>
              <w:t>#5</w:t>
            </w:r>
            <w:r w:rsidR="003A62BE">
              <w:rPr>
                <w:sz w:val="22"/>
                <w:szCs w:val="22"/>
              </w:rPr>
              <w:t xml:space="preserve"> - </w:t>
            </w:r>
            <w:r w:rsidR="003A62BE" w:rsidRPr="003A62BE">
              <w:rPr>
                <w:sz w:val="22"/>
                <w:szCs w:val="22"/>
              </w:rPr>
              <w:t>Applicable Law for Arbitration Proceedings</w:t>
            </w:r>
          </w:p>
        </w:tc>
        <w:tc>
          <w:tcPr>
            <w:tcW w:w="2922" w:type="dxa"/>
          </w:tcPr>
          <w:p w14:paraId="0356D125" w14:textId="799573D7" w:rsidR="00922B2B" w:rsidRDefault="00DF587E">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486CFBB4" w14:textId="104FC21E" w:rsidR="00922B2B" w:rsidRDefault="00922B2B">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922B2B" w14:paraId="00EF0E91"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7C5D24F8" w14:textId="123A58EE" w:rsidR="00922B2B" w:rsidRDefault="003A62BE">
            <w:pPr>
              <w:pStyle w:val="Normal1"/>
              <w:rPr>
                <w:sz w:val="22"/>
                <w:szCs w:val="22"/>
              </w:rPr>
            </w:pPr>
            <w:r>
              <w:rPr>
                <w:sz w:val="22"/>
                <w:szCs w:val="22"/>
              </w:rPr>
              <w:t>Metrics for Policy Impact Analysis</w:t>
            </w:r>
          </w:p>
        </w:tc>
        <w:tc>
          <w:tcPr>
            <w:tcW w:w="2922" w:type="dxa"/>
          </w:tcPr>
          <w:p w14:paraId="33065E26" w14:textId="7589E933" w:rsidR="00922B2B" w:rsidRDefault="00DF587E">
            <w:pPr>
              <w:pStyle w:val="Normal1"/>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
          <w:p w14:paraId="096BA03E" w14:textId="6ABCC645" w:rsidR="00922B2B" w:rsidRDefault="00922B2B">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A62BE" w14:paraId="4B74DBB1" w14:textId="77777777" w:rsidTr="00922B2B">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72931D28" w14:textId="18B4D366" w:rsidR="003A62BE" w:rsidRDefault="003A62BE">
            <w:pPr>
              <w:pStyle w:val="Normal1"/>
              <w:rPr>
                <w:sz w:val="22"/>
                <w:szCs w:val="22"/>
              </w:rPr>
            </w:pPr>
            <w:r>
              <w:rPr>
                <w:sz w:val="22"/>
                <w:szCs w:val="22"/>
              </w:rPr>
              <w:t>Principles for Arbitral Rules</w:t>
            </w:r>
          </w:p>
        </w:tc>
        <w:tc>
          <w:tcPr>
            <w:tcW w:w="2922" w:type="dxa"/>
          </w:tcPr>
          <w:p w14:paraId="10D279CD" w14:textId="46846433" w:rsidR="003A62BE" w:rsidRDefault="00DF587E">
            <w:pPr>
              <w:pStyle w:val="Normal1"/>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TBA</w:t>
            </w:r>
          </w:p>
        </w:tc>
        <w:tc>
          <w:tcPr>
            <w:tcW w:w="2923" w:type="dxa"/>
          </w:tcPr>
          <w:p w14:paraId="75976118" w14:textId="77777777" w:rsidR="003A62BE" w:rsidRDefault="003A62B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bl>
    <w:p w14:paraId="2A8A5645" w14:textId="77777777" w:rsidR="00922B2B" w:rsidRDefault="00922B2B">
      <w:pPr>
        <w:pStyle w:val="Normal1"/>
      </w:pPr>
    </w:p>
    <w:p w14:paraId="181C6505" w14:textId="77777777" w:rsidR="00922B2B" w:rsidRDefault="006C6036">
      <w:pPr>
        <w:pStyle w:val="Normal1"/>
        <w:rPr>
          <w:color w:val="000000"/>
          <w:sz w:val="21"/>
          <w:szCs w:val="21"/>
        </w:rPr>
      </w:pPr>
      <w:r>
        <w:br w:type="page"/>
      </w:r>
    </w:p>
    <w:p w14:paraId="145C1D07" w14:textId="77777777" w:rsidR="00922B2B" w:rsidRDefault="006C6036">
      <w:pPr>
        <w:pStyle w:val="Normal1"/>
        <w:rPr>
          <w:color w:val="000000"/>
          <w:sz w:val="21"/>
          <w:szCs w:val="21"/>
        </w:rPr>
      </w:pPr>
      <w:r>
        <w:rPr>
          <w:color w:val="000000"/>
          <w:sz w:val="21"/>
          <w:szCs w:val="21"/>
        </w:rPr>
        <w:lastRenderedPageBreak/>
        <w:t xml:space="preserve">For Reference: </w:t>
      </w:r>
    </w:p>
    <w:p w14:paraId="2CD24F77" w14:textId="77777777" w:rsidR="00922B2B" w:rsidRDefault="00922B2B">
      <w:pPr>
        <w:pStyle w:val="Normal1"/>
        <w:rPr>
          <w:color w:val="000000"/>
          <w:sz w:val="21"/>
          <w:szCs w:val="21"/>
        </w:rPr>
      </w:pPr>
    </w:p>
    <w:p w14:paraId="1B3F4B5E" w14:textId="77777777" w:rsidR="00922B2B" w:rsidRDefault="006C6036">
      <w:pPr>
        <w:pStyle w:val="Normal1"/>
        <w:rPr>
          <w:color w:val="000000"/>
          <w:sz w:val="21"/>
          <w:szCs w:val="21"/>
        </w:rPr>
      </w:pPr>
      <w:r>
        <w:rPr>
          <w:b/>
          <w:sz w:val="22"/>
          <w:szCs w:val="22"/>
        </w:rPr>
        <w:t>GNSO WG Guidelines – SECTION 3.6 Standard Methodology for Making Decisions:</w:t>
      </w:r>
    </w:p>
    <w:p w14:paraId="663B2565" w14:textId="77777777" w:rsidR="00922B2B" w:rsidRDefault="00922B2B">
      <w:pPr>
        <w:pStyle w:val="Normal1"/>
        <w:rPr>
          <w:b/>
          <w:sz w:val="22"/>
          <w:szCs w:val="22"/>
        </w:rPr>
      </w:pPr>
    </w:p>
    <w:p w14:paraId="06168224" w14:textId="77777777" w:rsidR="00922B2B" w:rsidRDefault="006C6036">
      <w:pPr>
        <w:pStyle w:val="Normal1"/>
        <w:pBdr>
          <w:top w:val="nil"/>
          <w:left w:val="nil"/>
          <w:bottom w:val="nil"/>
          <w:right w:val="nil"/>
          <w:between w:val="nil"/>
        </w:pBdr>
        <w:rPr>
          <w:color w:val="000000"/>
          <w:sz w:val="22"/>
          <w:szCs w:val="22"/>
        </w:rPr>
      </w:pPr>
      <w:r>
        <w:rPr>
          <w:rFonts w:eastAsia="Calibri"/>
          <w:color w:val="000000"/>
          <w:sz w:val="22"/>
          <w:szCs w:val="22"/>
        </w:rPr>
        <w:t>The Chair will be responsible for designating each position as having one of the following designations:</w:t>
      </w:r>
      <w:r>
        <w:rPr>
          <w:rFonts w:eastAsia="Calibri"/>
          <w:color w:val="000000"/>
          <w:sz w:val="22"/>
          <w:szCs w:val="22"/>
          <w:vertAlign w:val="superscript"/>
        </w:rPr>
        <w:footnoteReference w:id="1"/>
      </w:r>
    </w:p>
    <w:p w14:paraId="288B4884" w14:textId="77777777" w:rsidR="00922B2B" w:rsidRDefault="006C6036">
      <w:pPr>
        <w:pStyle w:val="Normal1"/>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Full consensus </w:t>
      </w:r>
      <w:r>
        <w:rPr>
          <w:rFonts w:eastAsia="Calibri"/>
          <w:color w:val="000000"/>
          <w:sz w:val="22"/>
          <w:szCs w:val="22"/>
        </w:rPr>
        <w:t xml:space="preserve">- when no one in the group speaks against the recommendation in its last readings. This is also sometimes referred to as </w:t>
      </w:r>
      <w:r>
        <w:rPr>
          <w:rFonts w:eastAsia="Calibri"/>
          <w:b/>
          <w:color w:val="000000"/>
          <w:sz w:val="22"/>
          <w:szCs w:val="22"/>
        </w:rPr>
        <w:t xml:space="preserve">Unanimous Consensus. </w:t>
      </w:r>
    </w:p>
    <w:p w14:paraId="0269B497" w14:textId="77777777" w:rsidR="00922B2B" w:rsidRDefault="006C6036">
      <w:pPr>
        <w:pStyle w:val="Normal1"/>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Consensus </w:t>
      </w:r>
      <w:r>
        <w:rPr>
          <w:rFonts w:eastAsia="Calibri"/>
          <w:color w:val="000000"/>
          <w:sz w:val="22"/>
          <w:szCs w:val="22"/>
        </w:rPr>
        <w:t>- a position where only a small minority disagrees, but most agree.</w:t>
      </w:r>
      <w:r>
        <w:rPr>
          <w:rFonts w:eastAsia="Calibri"/>
          <w:color w:val="000000"/>
          <w:sz w:val="22"/>
          <w:szCs w:val="22"/>
          <w:vertAlign w:val="superscript"/>
        </w:rPr>
        <w:footnoteReference w:id="2"/>
      </w:r>
      <w:r>
        <w:rPr>
          <w:rFonts w:eastAsia="Calibri"/>
          <w:color w:val="000000"/>
          <w:sz w:val="22"/>
          <w:szCs w:val="22"/>
        </w:rPr>
        <w:t xml:space="preserve"> </w:t>
      </w:r>
    </w:p>
    <w:p w14:paraId="2C41C705" w14:textId="77777777" w:rsidR="00922B2B" w:rsidRDefault="006C6036">
      <w:pPr>
        <w:pStyle w:val="Normal1"/>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Strong support but significant opposition </w:t>
      </w:r>
      <w:r>
        <w:rPr>
          <w:rFonts w:eastAsia="Calibri"/>
          <w:color w:val="000000"/>
          <w:sz w:val="22"/>
          <w:szCs w:val="22"/>
        </w:rPr>
        <w:t xml:space="preserve">- a position where, while most of the group supports a recommendation, there are a significant number of those who do not support it. </w:t>
      </w:r>
    </w:p>
    <w:p w14:paraId="727CCD34" w14:textId="77777777" w:rsidR="00922B2B" w:rsidRDefault="006C6036">
      <w:pPr>
        <w:pStyle w:val="Normal1"/>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Divergence </w:t>
      </w:r>
      <w:r>
        <w:rPr>
          <w:rFonts w:eastAsia="Calibri"/>
          <w:color w:val="000000"/>
          <w:sz w:val="22"/>
          <w:szCs w:val="22"/>
        </w:rPr>
        <w:t xml:space="preserve">(also referred to as </w:t>
      </w:r>
      <w:r>
        <w:rPr>
          <w:rFonts w:eastAsia="Calibri"/>
          <w:b/>
          <w:color w:val="000000"/>
          <w:sz w:val="22"/>
          <w:szCs w:val="22"/>
        </w:rPr>
        <w:t>No Consensus</w:t>
      </w:r>
      <w:r>
        <w:rPr>
          <w:rFonts w:eastAsia="Calibri"/>
          <w:color w:val="000000"/>
          <w:sz w:val="22"/>
          <w:szCs w:val="22"/>
        </w:rP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14:paraId="38D93230" w14:textId="77777777" w:rsidR="00922B2B" w:rsidRDefault="006C6036">
      <w:pPr>
        <w:pStyle w:val="Normal1"/>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Minority View </w:t>
      </w:r>
      <w:r>
        <w:rPr>
          <w:rFonts w:eastAsia="Calibri"/>
          <w:color w:val="000000"/>
          <w:sz w:val="22"/>
          <w:szCs w:val="22"/>
        </w:rPr>
        <w:t xml:space="preserve">- refers to a proposal where a small number of people support the recommendation. This can happen in response to a </w:t>
      </w:r>
      <w:r>
        <w:rPr>
          <w:rFonts w:eastAsia="Calibri"/>
          <w:b/>
          <w:color w:val="000000"/>
          <w:sz w:val="22"/>
          <w:szCs w:val="22"/>
        </w:rPr>
        <w:t>Consensus</w:t>
      </w:r>
      <w:r>
        <w:rPr>
          <w:rFonts w:eastAsia="Calibri"/>
          <w:color w:val="000000"/>
          <w:sz w:val="22"/>
          <w:szCs w:val="22"/>
        </w:rPr>
        <w:t xml:space="preserve">, </w:t>
      </w:r>
      <w:r>
        <w:rPr>
          <w:rFonts w:eastAsia="Calibri"/>
          <w:b/>
          <w:color w:val="000000"/>
          <w:sz w:val="22"/>
          <w:szCs w:val="22"/>
        </w:rPr>
        <w:t>Strong support but significant opposition</w:t>
      </w:r>
      <w:r>
        <w:rPr>
          <w:rFonts w:eastAsia="Calibri"/>
          <w:color w:val="000000"/>
          <w:sz w:val="22"/>
          <w:szCs w:val="22"/>
        </w:rPr>
        <w:t xml:space="preserve">, and </w:t>
      </w:r>
      <w:r>
        <w:rPr>
          <w:rFonts w:eastAsia="Calibri"/>
          <w:b/>
          <w:color w:val="000000"/>
          <w:sz w:val="22"/>
          <w:szCs w:val="22"/>
        </w:rPr>
        <w:t xml:space="preserve">No Consensus; </w:t>
      </w:r>
      <w:r>
        <w:rPr>
          <w:rFonts w:eastAsia="Calibri"/>
          <w:color w:val="000000"/>
          <w:sz w:val="22"/>
          <w:szCs w:val="22"/>
        </w:rPr>
        <w:t xml:space="preserve">or, it can happen in cases where there is neither support nor opposition to a suggestion made by a small number of individuals. </w:t>
      </w:r>
    </w:p>
    <w:p w14:paraId="7F671D4C" w14:textId="77777777" w:rsidR="00922B2B" w:rsidRDefault="00922B2B">
      <w:pPr>
        <w:pStyle w:val="Normal1"/>
        <w:numPr>
          <w:ilvl w:val="1"/>
          <w:numId w:val="2"/>
        </w:numPr>
        <w:rPr>
          <w:color w:val="000000"/>
          <w:sz w:val="22"/>
          <w:szCs w:val="22"/>
        </w:rPr>
      </w:pPr>
    </w:p>
    <w:p w14:paraId="31DBDFDA" w14:textId="77777777" w:rsidR="00922B2B" w:rsidRDefault="006C6036">
      <w:pPr>
        <w:pStyle w:val="Normal1"/>
        <w:rPr>
          <w:color w:val="000000"/>
          <w:sz w:val="22"/>
          <w:szCs w:val="22"/>
        </w:rPr>
      </w:pPr>
      <w:r>
        <w:rPr>
          <w:color w:val="000000"/>
          <w:sz w:val="22"/>
          <w:szCs w:val="22"/>
        </w:rPr>
        <w:t xml:space="preserve">In cases of </w:t>
      </w:r>
      <w:r>
        <w:rPr>
          <w:b/>
          <w:color w:val="000000"/>
          <w:sz w:val="22"/>
          <w:szCs w:val="22"/>
        </w:rPr>
        <w:t>Consensus</w:t>
      </w:r>
      <w:r>
        <w:rPr>
          <w:color w:val="000000"/>
          <w:sz w:val="22"/>
          <w:szCs w:val="22"/>
        </w:rPr>
        <w:t xml:space="preserve">, </w:t>
      </w:r>
      <w:r>
        <w:rPr>
          <w:b/>
          <w:color w:val="000000"/>
          <w:sz w:val="22"/>
          <w:szCs w:val="22"/>
        </w:rPr>
        <w:t>Strong support but significant opposition</w:t>
      </w:r>
      <w:r>
        <w:rPr>
          <w:color w:val="000000"/>
          <w:sz w:val="22"/>
          <w:szCs w:val="22"/>
        </w:rPr>
        <w:t xml:space="preserve">, and </w:t>
      </w:r>
      <w:r>
        <w:rPr>
          <w:b/>
          <w:color w:val="000000"/>
          <w:sz w:val="22"/>
          <w:szCs w:val="22"/>
        </w:rPr>
        <w:t>No Consensus</w:t>
      </w:r>
      <w:r>
        <w:rPr>
          <w:color w:val="000000"/>
          <w:sz w:val="22"/>
          <w:szCs w:val="22"/>
        </w:rPr>
        <w:t xml:space="preserve">, an effort should be made to document that variance in viewpoint and to present any </w:t>
      </w:r>
      <w:r>
        <w:rPr>
          <w:b/>
          <w:color w:val="000000"/>
          <w:sz w:val="22"/>
          <w:szCs w:val="22"/>
        </w:rPr>
        <w:t xml:space="preserve">Minority View </w:t>
      </w:r>
      <w:r>
        <w:rPr>
          <w:color w:val="000000"/>
          <w:sz w:val="22"/>
          <w:szCs w:val="22"/>
        </w:rPr>
        <w:t xml:space="preserve">recommendations that may have been made. Documentation of </w:t>
      </w:r>
      <w:r>
        <w:rPr>
          <w:b/>
          <w:color w:val="000000"/>
          <w:sz w:val="22"/>
          <w:szCs w:val="22"/>
        </w:rPr>
        <w:t xml:space="preserve">Minority View </w:t>
      </w:r>
      <w:r>
        <w:rPr>
          <w:color w:val="000000"/>
          <w:sz w:val="22"/>
          <w:szCs w:val="22"/>
        </w:rPr>
        <w:t xml:space="preserve">recommendations normally depends on text offered by the proponent(s). In all cases of </w:t>
      </w:r>
      <w:r>
        <w:rPr>
          <w:b/>
          <w:color w:val="000000"/>
          <w:sz w:val="22"/>
          <w:szCs w:val="22"/>
        </w:rPr>
        <w:t xml:space="preserve">Divergence, </w:t>
      </w:r>
      <w:r>
        <w:rPr>
          <w:color w:val="000000"/>
          <w:sz w:val="22"/>
          <w:szCs w:val="22"/>
        </w:rPr>
        <w:t xml:space="preserve">the WG Chair should encourage the submission of minority viewpoint(s). </w:t>
      </w:r>
    </w:p>
    <w:p w14:paraId="5B276FC2" w14:textId="77777777" w:rsidR="00922B2B" w:rsidRDefault="00922B2B">
      <w:pPr>
        <w:pStyle w:val="Normal1"/>
        <w:rPr>
          <w:color w:val="000000"/>
          <w:sz w:val="22"/>
          <w:szCs w:val="22"/>
        </w:rPr>
      </w:pPr>
    </w:p>
    <w:p w14:paraId="12F73CD9" w14:textId="77777777" w:rsidR="00922B2B" w:rsidRDefault="006C6036">
      <w:pPr>
        <w:pStyle w:val="Normal1"/>
        <w:rPr>
          <w:color w:val="000000"/>
          <w:sz w:val="22"/>
          <w:szCs w:val="22"/>
        </w:rPr>
      </w:pPr>
      <w:r>
        <w:rPr>
          <w:color w:val="000000"/>
          <w:sz w:val="22"/>
          <w:szCs w:val="22"/>
        </w:rPr>
        <w:t xml:space="preserve">The recommended method for discovering the consensus level designation on recommendations should work as follows: </w:t>
      </w:r>
    </w:p>
    <w:p w14:paraId="31E5FC5E" w14:textId="77777777" w:rsidR="00922B2B" w:rsidRDefault="006C6036">
      <w:pPr>
        <w:pStyle w:val="Normal1"/>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After the group has discussed an issue long enough for all issues to have been raised, understood and discussed, the Chair, or Co-Chairs, make an evaluation of the designation and publish it for the group to review. </w:t>
      </w:r>
    </w:p>
    <w:p w14:paraId="5F0F6A14" w14:textId="77777777" w:rsidR="00922B2B" w:rsidRDefault="006C6036">
      <w:pPr>
        <w:pStyle w:val="Normal1"/>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lastRenderedPageBreak/>
        <w:t xml:space="preserve">After the group has discussed the Chair's estimation of designation, the Chair, or Co-Chairs, should reevaluate and publish an updated evaluation. </w:t>
      </w:r>
    </w:p>
    <w:p w14:paraId="6D65697D" w14:textId="77777777" w:rsidR="00922B2B" w:rsidRDefault="006C6036">
      <w:pPr>
        <w:pStyle w:val="Normal1"/>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Steps (</w:t>
      </w:r>
      <w:proofErr w:type="spellStart"/>
      <w:r>
        <w:rPr>
          <w:rFonts w:eastAsia="Calibri"/>
          <w:color w:val="000000"/>
          <w:sz w:val="22"/>
          <w:szCs w:val="22"/>
        </w:rPr>
        <w:t>i</w:t>
      </w:r>
      <w:proofErr w:type="spellEnd"/>
      <w:r>
        <w:rPr>
          <w:rFonts w:eastAsia="Calibri"/>
          <w:color w:val="000000"/>
          <w:sz w:val="22"/>
          <w:szCs w:val="22"/>
        </w:rPr>
        <w:t xml:space="preserve">) and (ii) should continue until the Chair/Co-Chairs make an evaluation that is accepted by the group. </w:t>
      </w:r>
    </w:p>
    <w:p w14:paraId="668CD3A6" w14:textId="77777777" w:rsidR="00922B2B" w:rsidRDefault="006C6036">
      <w:pPr>
        <w:pStyle w:val="Normal1"/>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iv. In rare case, a Chair may decide that the use of polls is reasonable. Some of the reasons for this might be: </w:t>
      </w:r>
    </w:p>
    <w:p w14:paraId="43A06F3B" w14:textId="77777777" w:rsidR="00922B2B" w:rsidRDefault="006C6036">
      <w:pPr>
        <w:pStyle w:val="Normal1"/>
        <w:numPr>
          <w:ilvl w:val="1"/>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A decision needs to be made within a time frame that does not allow for the natural process of iteration and settling on a designation to occur. </w:t>
      </w:r>
    </w:p>
    <w:p w14:paraId="7CD801CC" w14:textId="77777777" w:rsidR="00922B2B" w:rsidRDefault="006C6036">
      <w:pPr>
        <w:pStyle w:val="Normal1"/>
        <w:numPr>
          <w:ilvl w:val="1"/>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It becomes obvious after several iterations that it is impossible to arrive at a designation. This will happen most often when trying to discriminate between </w:t>
      </w:r>
      <w:r>
        <w:rPr>
          <w:rFonts w:eastAsia="Calibri"/>
          <w:b/>
          <w:color w:val="000000"/>
          <w:sz w:val="22"/>
          <w:szCs w:val="22"/>
        </w:rPr>
        <w:t xml:space="preserve">Consensus </w:t>
      </w:r>
      <w:r>
        <w:rPr>
          <w:rFonts w:eastAsia="Calibri"/>
          <w:color w:val="000000"/>
          <w:sz w:val="22"/>
          <w:szCs w:val="22"/>
        </w:rPr>
        <w:t xml:space="preserve">and </w:t>
      </w:r>
      <w:r>
        <w:rPr>
          <w:rFonts w:eastAsia="Calibri"/>
          <w:b/>
          <w:color w:val="000000"/>
          <w:sz w:val="22"/>
          <w:szCs w:val="22"/>
        </w:rPr>
        <w:t xml:space="preserve">Strong support but Significant Opposition </w:t>
      </w:r>
      <w:r>
        <w:rPr>
          <w:rFonts w:eastAsia="Calibri"/>
          <w:color w:val="000000"/>
          <w:sz w:val="22"/>
          <w:szCs w:val="22"/>
        </w:rPr>
        <w:t xml:space="preserve">or between </w:t>
      </w:r>
      <w:r>
        <w:rPr>
          <w:rFonts w:eastAsia="Calibri"/>
          <w:b/>
          <w:color w:val="000000"/>
          <w:sz w:val="22"/>
          <w:szCs w:val="22"/>
        </w:rPr>
        <w:t xml:space="preserve">Strong support but Significant Opposition </w:t>
      </w:r>
      <w:r>
        <w:rPr>
          <w:rFonts w:eastAsia="Calibri"/>
          <w:color w:val="000000"/>
          <w:sz w:val="22"/>
          <w:szCs w:val="22"/>
        </w:rPr>
        <w:t xml:space="preserve">and </w:t>
      </w:r>
      <w:r>
        <w:rPr>
          <w:rFonts w:eastAsia="Calibri"/>
          <w:b/>
          <w:color w:val="000000"/>
          <w:sz w:val="22"/>
          <w:szCs w:val="22"/>
        </w:rPr>
        <w:t xml:space="preserve">Divergence. </w:t>
      </w:r>
    </w:p>
    <w:p w14:paraId="05C9E760" w14:textId="77777777" w:rsidR="00922B2B" w:rsidRDefault="00922B2B">
      <w:pPr>
        <w:pStyle w:val="Normal1"/>
        <w:rPr>
          <w:color w:val="000000"/>
          <w:sz w:val="22"/>
          <w:szCs w:val="22"/>
        </w:rPr>
      </w:pPr>
    </w:p>
    <w:p w14:paraId="2DBDEF85" w14:textId="77777777" w:rsidR="00922B2B" w:rsidRDefault="006C6036">
      <w:pPr>
        <w:pStyle w:val="Normal1"/>
        <w:rPr>
          <w:color w:val="000000"/>
          <w:sz w:val="22"/>
          <w:szCs w:val="22"/>
        </w:rPr>
      </w:pPr>
      <w:r>
        <w:rPr>
          <w:color w:val="000000"/>
          <w:sz w:val="22"/>
          <w:szCs w:val="22"/>
        </w:rPr>
        <w:t xml:space="preserve">Care should be taken in using polls that they do not become votes. A liability with the use of polls is that, in situations where there is </w:t>
      </w:r>
      <w:r>
        <w:rPr>
          <w:b/>
          <w:color w:val="000000"/>
          <w:sz w:val="22"/>
          <w:szCs w:val="22"/>
        </w:rPr>
        <w:t xml:space="preserve">Divergence </w:t>
      </w:r>
      <w:r>
        <w:rPr>
          <w:color w:val="000000"/>
          <w:sz w:val="22"/>
          <w:szCs w:val="22"/>
        </w:rPr>
        <w:t xml:space="preserve">or </w:t>
      </w:r>
      <w:r>
        <w:rPr>
          <w:b/>
          <w:color w:val="000000"/>
          <w:sz w:val="22"/>
          <w:szCs w:val="22"/>
        </w:rPr>
        <w:t>Strong Opposition</w:t>
      </w:r>
      <w:r>
        <w:rPr>
          <w:color w:val="000000"/>
          <w:sz w:val="22"/>
          <w:szCs w:val="22"/>
        </w:rPr>
        <w:t xml:space="preserve">, there are often disagreements about the meanings of the poll questions or of the poll results. </w:t>
      </w:r>
    </w:p>
    <w:p w14:paraId="6A9A8A25" w14:textId="77777777" w:rsidR="00922B2B" w:rsidRDefault="00922B2B">
      <w:pPr>
        <w:pStyle w:val="Normal1"/>
        <w:pBdr>
          <w:top w:val="nil"/>
          <w:left w:val="nil"/>
          <w:bottom w:val="nil"/>
          <w:right w:val="nil"/>
          <w:between w:val="nil"/>
        </w:pBdr>
        <w:rPr>
          <w:color w:val="000000"/>
          <w:sz w:val="22"/>
          <w:szCs w:val="22"/>
        </w:rPr>
      </w:pPr>
    </w:p>
    <w:p w14:paraId="45B29C8F" w14:textId="77777777" w:rsidR="00922B2B" w:rsidRDefault="006C6036">
      <w:pPr>
        <w:pStyle w:val="Normal1"/>
        <w:pBdr>
          <w:top w:val="nil"/>
          <w:left w:val="nil"/>
          <w:bottom w:val="nil"/>
          <w:right w:val="nil"/>
          <w:between w:val="nil"/>
        </w:pBdr>
        <w:rPr>
          <w:color w:val="000000"/>
          <w:sz w:val="22"/>
          <w:szCs w:val="22"/>
        </w:rPr>
      </w:pPr>
      <w:r>
        <w:rPr>
          <w:rFonts w:eastAsia="Calibri"/>
          <w:color w:val="000000"/>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702D0219" w14:textId="77777777" w:rsidR="00922B2B" w:rsidRDefault="00922B2B">
      <w:pPr>
        <w:pStyle w:val="Normal1"/>
        <w:rPr>
          <w:b/>
          <w:sz w:val="22"/>
          <w:szCs w:val="22"/>
        </w:rPr>
      </w:pPr>
    </w:p>
    <w:p w14:paraId="09B6655B" w14:textId="77777777" w:rsidR="00922B2B" w:rsidRDefault="006C6036">
      <w:pPr>
        <w:pStyle w:val="Normal1"/>
        <w:rPr>
          <w:b/>
          <w:sz w:val="22"/>
          <w:szCs w:val="22"/>
        </w:rPr>
      </w:pPr>
      <w:r>
        <w:rPr>
          <w:b/>
          <w:sz w:val="22"/>
          <w:szCs w:val="22"/>
        </w:rPr>
        <w:t>[…]</w:t>
      </w:r>
    </w:p>
    <w:p w14:paraId="355B19AB" w14:textId="77777777" w:rsidR="00922B2B" w:rsidRDefault="00922B2B">
      <w:pPr>
        <w:pStyle w:val="Normal1"/>
        <w:rPr>
          <w:b/>
          <w:sz w:val="22"/>
          <w:szCs w:val="22"/>
        </w:rPr>
      </w:pPr>
    </w:p>
    <w:p w14:paraId="02F48526" w14:textId="77777777" w:rsidR="00922B2B" w:rsidRDefault="006C6036">
      <w:pPr>
        <w:pStyle w:val="Normal1"/>
        <w:rPr>
          <w:b/>
          <w:sz w:val="22"/>
          <w:szCs w:val="22"/>
        </w:rPr>
      </w:pPr>
      <w:r>
        <w:rPr>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w:t>
      </w:r>
    </w:p>
    <w:p w14:paraId="79A4B5FA" w14:textId="77777777" w:rsidR="00922B2B" w:rsidRDefault="00922B2B">
      <w:pPr>
        <w:pStyle w:val="Normal1"/>
      </w:pPr>
    </w:p>
    <w:p w14:paraId="3EE63A59" w14:textId="77777777" w:rsidR="00922B2B" w:rsidRDefault="006C6036">
      <w:pPr>
        <w:pStyle w:val="Normal1"/>
        <w:rPr>
          <w:b/>
        </w:rPr>
      </w:pPr>
      <w:r>
        <w:rPr>
          <w:b/>
        </w:rPr>
        <w:t>From the PDP Manual - Section 13 – Council Deliberation</w:t>
      </w:r>
    </w:p>
    <w:p w14:paraId="215942EC" w14:textId="77777777" w:rsidR="00922B2B" w:rsidRDefault="00922B2B">
      <w:pPr>
        <w:pStyle w:val="Normal1"/>
      </w:pPr>
    </w:p>
    <w:p w14:paraId="7869225C" w14:textId="77777777" w:rsidR="00922B2B" w:rsidRDefault="006C6036">
      <w:pPr>
        <w:pStyle w:val="Normal1"/>
        <w:rPr>
          <w:sz w:val="22"/>
          <w:szCs w:val="22"/>
        </w:rPr>
      </w:pPr>
      <w:r>
        <w:rPr>
          <w:sz w:val="22"/>
          <w:szCs w:val="22"/>
        </w:rPr>
        <w:t>The GNSO Council is expected to vote on the recommendations contained in the Final Report. Approval of the PDP recommendations contained in the Final Report requires an affirmative vote meeting the thresholds set forth at Article 11, Section 3(</w:t>
      </w:r>
      <w:proofErr w:type="spellStart"/>
      <w:r>
        <w:rPr>
          <w:sz w:val="22"/>
          <w:szCs w:val="22"/>
        </w:rPr>
        <w:t>i</w:t>
      </w:r>
      <w:proofErr w:type="spellEnd"/>
      <w:r>
        <w:rPr>
          <w:sz w:val="22"/>
          <w:szCs w:val="22"/>
        </w:rPr>
        <w:t>) viii – x.</w:t>
      </w:r>
    </w:p>
    <w:p w14:paraId="74582053" w14:textId="77777777" w:rsidR="00922B2B" w:rsidRDefault="00922B2B">
      <w:pPr>
        <w:pStyle w:val="Normal1"/>
        <w:rPr>
          <w:sz w:val="22"/>
          <w:szCs w:val="22"/>
        </w:rPr>
      </w:pPr>
    </w:p>
    <w:p w14:paraId="63B06AE8" w14:textId="318B796F" w:rsidR="00DF587E" w:rsidRPr="00DF587E" w:rsidRDefault="006C6036" w:rsidP="00DF587E">
      <w:pPr>
        <w:pStyle w:val="Normal1"/>
        <w:rPr>
          <w:sz w:val="22"/>
          <w:szCs w:val="22"/>
        </w:rPr>
      </w:pPr>
      <w:r>
        <w:rPr>
          <w:sz w:val="22"/>
          <w:szCs w:val="22"/>
        </w:rPr>
        <w:t>In the event that the Final Report includes recommendations that did not achieve the consensus within the PDP Team, the GNSO Council should deliberate on whether to adopt them or remand the recommendations for further analysis and work.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interdependent or modifying recommendations wherever possible. In the event the GNSO Council expresses concerns or proposes changes to the PDP recommendations, it may be more appropriate to pass these concerns or recommendations for changes back to the respective PDP Team for input and follow-up.</w:t>
      </w:r>
    </w:p>
    <w:sectPr w:rsidR="00DF587E" w:rsidRPr="00DF587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8FCF" w14:textId="77777777" w:rsidR="005276F6" w:rsidRDefault="005276F6">
      <w:r>
        <w:separator/>
      </w:r>
    </w:p>
  </w:endnote>
  <w:endnote w:type="continuationSeparator" w:id="0">
    <w:p w14:paraId="64D431BC" w14:textId="77777777" w:rsidR="005276F6" w:rsidRDefault="0052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1B43" w14:textId="77777777" w:rsidR="005276F6" w:rsidRDefault="005276F6">
      <w:r>
        <w:separator/>
      </w:r>
    </w:p>
  </w:footnote>
  <w:footnote w:type="continuationSeparator" w:id="0">
    <w:p w14:paraId="11714C46" w14:textId="77777777" w:rsidR="005276F6" w:rsidRDefault="005276F6">
      <w:r>
        <w:continuationSeparator/>
      </w:r>
    </w:p>
  </w:footnote>
  <w:footnote w:id="1">
    <w:p w14:paraId="59D14A9B" w14:textId="77777777" w:rsidR="00922B2B" w:rsidRDefault="006C6036">
      <w:pPr>
        <w:pStyle w:val="Normal1"/>
        <w:spacing w:before="120"/>
        <w:rPr>
          <w:color w:val="000000"/>
          <w:sz w:val="18"/>
          <w:szCs w:val="18"/>
        </w:rPr>
      </w:pPr>
      <w:r>
        <w:rPr>
          <w:vertAlign w:val="superscript"/>
        </w:rPr>
        <w:footnoteRef/>
      </w:r>
      <w:r>
        <w:rPr>
          <w:sz w:val="18"/>
          <w:szCs w:val="18"/>
        </w:rPr>
        <w:t xml:space="preserve"> </w:t>
      </w:r>
      <w:r>
        <w:rPr>
          <w:color w:val="000000"/>
          <w:sz w:val="18"/>
          <w:szCs w:val="18"/>
        </w:rPr>
        <w:t xml:space="preserve">The designations “Full consensus,” “Consensus,” and “Strong support but significant opposition” may also be used to signify levels of “consensus against” a particular recommendation if the consensus position of the Working Group warrants it. If this is the case, any “Minority View” will be in favor of the particular recommendation. It is expected that designations of “consensus against” will be rare and Working Groups are encouraged to draft (and revise) recommendations so that a level of consensus can be expressed “for” rather than “against” a recommendation. However, it is recognized that there can be times when a “consensus against” designation is both appropriate and unavoidable as a practical matter. A “consensus against” position should be distinguished from a position of “Divergence” (or “No Consensus”), which is applied where no consensus has emerged either for or against a recommendation (i.e., the consensus level of the Working Group cannot be described as “Full consensus,” “Consensus” or “Strong support but significant opposition” either for or against a recommendation). </w:t>
      </w:r>
    </w:p>
  </w:footnote>
  <w:footnote w:id="2">
    <w:p w14:paraId="4D27F95E" w14:textId="77777777" w:rsidR="00922B2B" w:rsidRDefault="006C6036">
      <w:pPr>
        <w:pStyle w:val="Normal1"/>
        <w:pBdr>
          <w:top w:val="nil"/>
          <w:left w:val="nil"/>
          <w:bottom w:val="nil"/>
          <w:right w:val="nil"/>
          <w:between w:val="nil"/>
        </w:pBdr>
        <w:spacing w:before="120"/>
        <w:rPr>
          <w:color w:val="000000"/>
          <w:sz w:val="18"/>
          <w:szCs w:val="18"/>
        </w:rPr>
      </w:pPr>
      <w:r>
        <w:rPr>
          <w:vertAlign w:val="superscript"/>
        </w:rPr>
        <w:footnoteRef/>
      </w:r>
      <w:r>
        <w:rPr>
          <w:rFonts w:eastAsia="Calibri"/>
          <w:color w:val="000000"/>
          <w:sz w:val="18"/>
          <w:szCs w:val="18"/>
        </w:rPr>
        <w:t xml:space="preserv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F7F8B"/>
    <w:multiLevelType w:val="multilevel"/>
    <w:tmpl w:val="B5D2B294"/>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7A3BC4"/>
    <w:multiLevelType w:val="multilevel"/>
    <w:tmpl w:val="100AB124"/>
    <w:lvl w:ilvl="0">
      <w:start w:val="1"/>
      <w:numFmt w:val="lowerRoman"/>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7B8B5394"/>
    <w:multiLevelType w:val="multilevel"/>
    <w:tmpl w:val="5A34FF32"/>
    <w:lvl w:ilvl="0">
      <w:start w:val="1"/>
      <w:numFmt w:val="bullet"/>
      <w:lvlText w:val="•"/>
      <w:lvlJc w:val="left"/>
      <w:pPr>
        <w:ind w:left="0" w:firstLine="0"/>
      </w:pPr>
    </w:lvl>
    <w:lvl w:ilvl="1">
      <w:start w:val="1"/>
      <w:numFmt w:val="bullet"/>
      <w:lvlText w:val="●"/>
      <w:lvlJc w:val="left"/>
      <w:pPr>
        <w:ind w:left="360" w:hanging="360"/>
      </w:pPr>
      <w:rPr>
        <w:rFonts w:ascii="Noto Sans Symbols" w:eastAsia="Noto Sans Symbols" w:hAnsi="Noto Sans Symbols" w:cs="Noto Sans Symbols"/>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2B"/>
    <w:rsid w:val="002B3E70"/>
    <w:rsid w:val="00301038"/>
    <w:rsid w:val="003A62BE"/>
    <w:rsid w:val="005276F6"/>
    <w:rsid w:val="006C6036"/>
    <w:rsid w:val="00731794"/>
    <w:rsid w:val="00922B2B"/>
    <w:rsid w:val="009F237F"/>
    <w:rsid w:val="00A70418"/>
    <w:rsid w:val="00A81C58"/>
    <w:rsid w:val="00CF09CB"/>
    <w:rsid w:val="00CF5EDF"/>
    <w:rsid w:val="00DF587E"/>
    <w:rsid w:val="00E7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63310"/>
  <w15:docId w15:val="{4813B501-C5CA-466F-9747-3D42C2AD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Hyperlink">
    <w:name w:val="Hyperlink"/>
    <w:basedOn w:val="DefaultParagraphFont"/>
    <w:uiPriority w:val="99"/>
    <w:unhideWhenUsed/>
    <w:rsid w:val="00E709A0"/>
    <w:rPr>
      <w:color w:val="0000FF"/>
      <w:u w:val="single"/>
    </w:rPr>
  </w:style>
  <w:style w:type="paragraph" w:styleId="NormalWeb">
    <w:name w:val="Normal (Web)"/>
    <w:basedOn w:val="Normal"/>
    <w:uiPriority w:val="99"/>
    <w:unhideWhenUsed/>
    <w:rsid w:val="00E709A0"/>
    <w:pPr>
      <w:widowControl/>
      <w:jc w:val="left"/>
    </w:pPr>
    <w:rPr>
      <w:rFonts w:eastAsiaTheme="minorHAnsi"/>
      <w:sz w:val="22"/>
      <w:szCs w:val="22"/>
      <w:lang w:eastAsia="en-US"/>
    </w:rPr>
  </w:style>
  <w:style w:type="character" w:styleId="UnresolvedMention">
    <w:name w:val="Unresolved Mention"/>
    <w:basedOn w:val="DefaultParagraphFont"/>
    <w:uiPriority w:val="99"/>
    <w:semiHidden/>
    <w:unhideWhenUsed/>
    <w:rsid w:val="00E709A0"/>
    <w:rPr>
      <w:color w:val="605E5C"/>
      <w:shd w:val="clear" w:color="auto" w:fill="E1DFDD"/>
    </w:rPr>
  </w:style>
  <w:style w:type="character" w:styleId="CommentReference">
    <w:name w:val="annotation reference"/>
    <w:basedOn w:val="DefaultParagraphFont"/>
    <w:uiPriority w:val="99"/>
    <w:semiHidden/>
    <w:unhideWhenUsed/>
    <w:rsid w:val="00E709A0"/>
    <w:rPr>
      <w:sz w:val="16"/>
      <w:szCs w:val="16"/>
    </w:rPr>
  </w:style>
  <w:style w:type="paragraph" w:styleId="CommentText">
    <w:name w:val="annotation text"/>
    <w:basedOn w:val="Normal"/>
    <w:link w:val="CommentTextChar"/>
    <w:uiPriority w:val="99"/>
    <w:semiHidden/>
    <w:unhideWhenUsed/>
    <w:rsid w:val="00E709A0"/>
    <w:rPr>
      <w:sz w:val="20"/>
      <w:szCs w:val="20"/>
    </w:rPr>
  </w:style>
  <w:style w:type="character" w:customStyle="1" w:styleId="CommentTextChar">
    <w:name w:val="Comment Text Char"/>
    <w:basedOn w:val="DefaultParagraphFont"/>
    <w:link w:val="CommentText"/>
    <w:uiPriority w:val="99"/>
    <w:semiHidden/>
    <w:rsid w:val="00E709A0"/>
    <w:rPr>
      <w:sz w:val="20"/>
      <w:szCs w:val="20"/>
    </w:rPr>
  </w:style>
  <w:style w:type="paragraph" w:styleId="CommentSubject">
    <w:name w:val="annotation subject"/>
    <w:basedOn w:val="CommentText"/>
    <w:next w:val="CommentText"/>
    <w:link w:val="CommentSubjectChar"/>
    <w:uiPriority w:val="99"/>
    <w:semiHidden/>
    <w:unhideWhenUsed/>
    <w:rsid w:val="00E709A0"/>
    <w:rPr>
      <w:b/>
      <w:bCs/>
    </w:rPr>
  </w:style>
  <w:style w:type="character" w:customStyle="1" w:styleId="CommentSubjectChar">
    <w:name w:val="Comment Subject Char"/>
    <w:basedOn w:val="CommentTextChar"/>
    <w:link w:val="CommentSubject"/>
    <w:uiPriority w:val="99"/>
    <w:semiHidden/>
    <w:rsid w:val="00E70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374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Chris Disspain</cp:lastModifiedBy>
  <cp:revision>3</cp:revision>
  <dcterms:created xsi:type="dcterms:W3CDTF">2022-03-14T19:21:00Z</dcterms:created>
  <dcterms:modified xsi:type="dcterms:W3CDTF">2022-03-14T19:21:00Z</dcterms:modified>
</cp:coreProperties>
</file>