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w:t>
          </w:r>
          <w:proofErr w:type="spellStart"/>
          <w:r w:rsidR="009D0156" w:rsidRPr="009D0156">
            <w:rPr>
              <w:rFonts w:asciiTheme="majorHAnsi" w:hAnsiTheme="majorHAnsi" w:cstheme="minorBidi"/>
            </w:rPr>
            <w:t>i</w:t>
          </w:r>
          <w:proofErr w:type="spellEnd"/>
          <w:r w:rsidR="009D0156" w:rsidRPr="009D0156">
            <w:rPr>
              <w:rFonts w:asciiTheme="majorHAnsi" w:hAnsiTheme="majorHAnsi" w:cstheme="minorBidi"/>
            </w:rPr>
            <w:t xml:space="preserve">) deliberations on charter questions, (ii) preliminary recommendations, and </w:t>
          </w:r>
          <w:r w:rsidR="009D0156" w:rsidRPr="001B0C6B">
            <w:rPr>
              <w:rFonts w:asciiTheme="majorHAnsi" w:hAnsiTheme="majorHAnsi" w:cstheme="minorBidi"/>
            </w:rPr>
            <w:t xml:space="preserve">(iii) additional identified issues to consider before the </w:t>
          </w:r>
          <w:r w:rsidR="00A85B49" w:rsidRPr="001B0C6B">
            <w:rPr>
              <w:rFonts w:asciiTheme="majorHAnsi" w:hAnsiTheme="majorHAnsi" w:cstheme="minorBidi"/>
            </w:rPr>
            <w:t>working group</w:t>
          </w:r>
          <w:r w:rsidR="009D0156" w:rsidRPr="001B0C6B">
            <w:rPr>
              <w:rFonts w:asciiTheme="majorHAnsi" w:hAnsiTheme="majorHAnsi" w:cstheme="minorBidi"/>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FF0DDF"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7088CB9D" w14:textId="73F6B6C8" w:rsidR="00513C38" w:rsidRDefault="001519C5" w:rsidP="00392078">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13C38" w:rsidRPr="00831108">
            <w:rPr>
              <w:rFonts w:asciiTheme="majorHAnsi" w:hAnsiTheme="majorHAnsi"/>
              <w:noProof/>
            </w:rPr>
            <w:t>1 Executive Summary</w:t>
          </w:r>
          <w:r w:rsidR="00513C38">
            <w:rPr>
              <w:noProof/>
            </w:rPr>
            <w:tab/>
          </w:r>
          <w:r w:rsidR="00513C38">
            <w:rPr>
              <w:noProof/>
            </w:rPr>
            <w:fldChar w:fldCharType="begin"/>
          </w:r>
          <w:r w:rsidR="00513C38">
            <w:rPr>
              <w:noProof/>
            </w:rPr>
            <w:instrText xml:space="preserve"> PAGEREF _Toc105508325 \h </w:instrText>
          </w:r>
          <w:r w:rsidR="00513C38">
            <w:rPr>
              <w:noProof/>
            </w:rPr>
          </w:r>
          <w:r w:rsidR="00513C38">
            <w:rPr>
              <w:noProof/>
            </w:rPr>
            <w:fldChar w:fldCharType="separate"/>
          </w:r>
          <w:r w:rsidR="001B0C6B">
            <w:rPr>
              <w:noProof/>
            </w:rPr>
            <w:t>3</w:t>
          </w:r>
          <w:r w:rsidR="00513C38">
            <w:rPr>
              <w:noProof/>
            </w:rPr>
            <w:fldChar w:fldCharType="end"/>
          </w:r>
        </w:p>
        <w:p w14:paraId="4AF840FE" w14:textId="54FD6FA2"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2 Working Group Approach</w:t>
          </w:r>
          <w:r>
            <w:rPr>
              <w:noProof/>
            </w:rPr>
            <w:tab/>
          </w:r>
          <w:r>
            <w:rPr>
              <w:noProof/>
            </w:rPr>
            <w:fldChar w:fldCharType="begin"/>
          </w:r>
          <w:r>
            <w:rPr>
              <w:noProof/>
            </w:rPr>
            <w:instrText xml:space="preserve"> PAGEREF _Toc105508326 \h </w:instrText>
          </w:r>
          <w:r>
            <w:rPr>
              <w:noProof/>
            </w:rPr>
          </w:r>
          <w:r>
            <w:rPr>
              <w:noProof/>
            </w:rPr>
            <w:fldChar w:fldCharType="separate"/>
          </w:r>
          <w:r w:rsidR="001B0C6B">
            <w:rPr>
              <w:noProof/>
            </w:rPr>
            <w:t>7</w:t>
          </w:r>
          <w:r>
            <w:rPr>
              <w:noProof/>
            </w:rPr>
            <w:fldChar w:fldCharType="end"/>
          </w:r>
        </w:p>
        <w:p w14:paraId="30E22CF6" w14:textId="20C64550" w:rsidR="00513C38" w:rsidRDefault="00513C38" w:rsidP="00392078">
          <w:pPr>
            <w:pStyle w:val="TOC1"/>
            <w:rPr>
              <w:rFonts w:asciiTheme="minorHAnsi" w:eastAsiaTheme="minorEastAsia" w:hAnsiTheme="minorHAnsi" w:cstheme="minorBidi"/>
              <w:noProof/>
              <w:sz w:val="24"/>
              <w:szCs w:val="24"/>
              <w:u w:val="none"/>
            </w:rPr>
          </w:pPr>
          <w:r w:rsidRPr="00831108">
            <w:rPr>
              <w:noProof/>
            </w:rPr>
            <w:t>3 Working Group Responses to Charter Questions and Preliminary Recommendations</w:t>
          </w:r>
          <w:r>
            <w:rPr>
              <w:noProof/>
            </w:rPr>
            <w:tab/>
          </w:r>
          <w:r>
            <w:rPr>
              <w:noProof/>
            </w:rPr>
            <w:fldChar w:fldCharType="begin"/>
          </w:r>
          <w:r>
            <w:rPr>
              <w:noProof/>
            </w:rPr>
            <w:instrText xml:space="preserve"> PAGEREF _Toc105508327 \h </w:instrText>
          </w:r>
          <w:r>
            <w:rPr>
              <w:noProof/>
            </w:rPr>
          </w:r>
          <w:r>
            <w:rPr>
              <w:noProof/>
            </w:rPr>
            <w:fldChar w:fldCharType="separate"/>
          </w:r>
          <w:r w:rsidR="001B0C6B">
            <w:rPr>
              <w:noProof/>
            </w:rPr>
            <w:t>11</w:t>
          </w:r>
          <w:r>
            <w:rPr>
              <w:noProof/>
            </w:rPr>
            <w:fldChar w:fldCharType="end"/>
          </w:r>
        </w:p>
        <w:p w14:paraId="6FE3A74A" w14:textId="36496C1F"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4 Next Steps</w:t>
          </w:r>
          <w:r>
            <w:rPr>
              <w:noProof/>
            </w:rPr>
            <w:tab/>
          </w:r>
          <w:r>
            <w:rPr>
              <w:noProof/>
            </w:rPr>
            <w:fldChar w:fldCharType="begin"/>
          </w:r>
          <w:r>
            <w:rPr>
              <w:noProof/>
            </w:rPr>
            <w:instrText xml:space="preserve"> PAGEREF _Toc105508328 \h </w:instrText>
          </w:r>
          <w:r>
            <w:rPr>
              <w:noProof/>
            </w:rPr>
          </w:r>
          <w:r>
            <w:rPr>
              <w:noProof/>
            </w:rPr>
            <w:fldChar w:fldCharType="separate"/>
          </w:r>
          <w:r w:rsidR="001B0C6B">
            <w:rPr>
              <w:noProof/>
            </w:rPr>
            <w:t>41</w:t>
          </w:r>
          <w:r>
            <w:rPr>
              <w:noProof/>
            </w:rPr>
            <w:fldChar w:fldCharType="end"/>
          </w:r>
        </w:p>
        <w:p w14:paraId="0B95BE7E" w14:textId="726B1D52"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A - Background</w:t>
          </w:r>
          <w:r>
            <w:rPr>
              <w:noProof/>
            </w:rPr>
            <w:tab/>
          </w:r>
          <w:r>
            <w:rPr>
              <w:noProof/>
            </w:rPr>
            <w:fldChar w:fldCharType="begin"/>
          </w:r>
          <w:r>
            <w:rPr>
              <w:noProof/>
            </w:rPr>
            <w:instrText xml:space="preserve"> PAGEREF _Toc105508329 \h </w:instrText>
          </w:r>
          <w:r>
            <w:rPr>
              <w:noProof/>
            </w:rPr>
          </w:r>
          <w:r>
            <w:rPr>
              <w:noProof/>
            </w:rPr>
            <w:fldChar w:fldCharType="separate"/>
          </w:r>
          <w:r w:rsidR="001B0C6B">
            <w:rPr>
              <w:noProof/>
            </w:rPr>
            <w:t>42</w:t>
          </w:r>
          <w:r>
            <w:rPr>
              <w:noProof/>
            </w:rPr>
            <w:fldChar w:fldCharType="end"/>
          </w:r>
        </w:p>
        <w:p w14:paraId="0AB99DF3" w14:textId="3FE980F9"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B - Working Group Membership and Attendance</w:t>
          </w:r>
          <w:r>
            <w:rPr>
              <w:noProof/>
            </w:rPr>
            <w:tab/>
          </w:r>
          <w:r>
            <w:rPr>
              <w:noProof/>
            </w:rPr>
            <w:fldChar w:fldCharType="begin"/>
          </w:r>
          <w:r>
            <w:rPr>
              <w:noProof/>
            </w:rPr>
            <w:instrText xml:space="preserve"> PAGEREF _Toc105508330 \h </w:instrText>
          </w:r>
          <w:r>
            <w:rPr>
              <w:noProof/>
            </w:rPr>
          </w:r>
          <w:r>
            <w:rPr>
              <w:noProof/>
            </w:rPr>
            <w:fldChar w:fldCharType="separate"/>
          </w:r>
          <w:r w:rsidR="001B0C6B">
            <w:rPr>
              <w:noProof/>
            </w:rPr>
            <w:t>44</w:t>
          </w:r>
          <w:r>
            <w:rPr>
              <w:noProof/>
            </w:rPr>
            <w:fldChar w:fldCharType="end"/>
          </w:r>
        </w:p>
        <w:p w14:paraId="0DED3345" w14:textId="7DED739A"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C - Community Input</w:t>
          </w:r>
          <w:r>
            <w:rPr>
              <w:noProof/>
            </w:rPr>
            <w:tab/>
          </w:r>
          <w:r>
            <w:rPr>
              <w:noProof/>
            </w:rPr>
            <w:fldChar w:fldCharType="begin"/>
          </w:r>
          <w:r>
            <w:rPr>
              <w:noProof/>
            </w:rPr>
            <w:instrText xml:space="preserve"> PAGEREF _Toc105508331 \h </w:instrText>
          </w:r>
          <w:r>
            <w:rPr>
              <w:noProof/>
            </w:rPr>
          </w:r>
          <w:r>
            <w:rPr>
              <w:noProof/>
            </w:rPr>
            <w:fldChar w:fldCharType="separate"/>
          </w:r>
          <w:r w:rsidR="001B0C6B">
            <w:rPr>
              <w:noProof/>
            </w:rPr>
            <w:t>48</w:t>
          </w:r>
          <w:r>
            <w:rPr>
              <w:noProof/>
            </w:rPr>
            <w:fldChar w:fldCharType="end"/>
          </w:r>
        </w:p>
        <w:p w14:paraId="5FD49630" w14:textId="49B332A0"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D – EPDP Phase 1, Recommendation 27, Wave 1 Analysis</w:t>
          </w:r>
          <w:r>
            <w:rPr>
              <w:noProof/>
            </w:rPr>
            <w:tab/>
          </w:r>
          <w:r>
            <w:rPr>
              <w:noProof/>
            </w:rPr>
            <w:fldChar w:fldCharType="begin"/>
          </w:r>
          <w:r>
            <w:rPr>
              <w:noProof/>
            </w:rPr>
            <w:instrText xml:space="preserve"> PAGEREF _Toc105508332 \h </w:instrText>
          </w:r>
          <w:r>
            <w:rPr>
              <w:noProof/>
            </w:rPr>
          </w:r>
          <w:r>
            <w:rPr>
              <w:noProof/>
            </w:rPr>
            <w:fldChar w:fldCharType="separate"/>
          </w:r>
          <w:r w:rsidR="001B0C6B">
            <w:rPr>
              <w:noProof/>
            </w:rPr>
            <w:t>49</w:t>
          </w:r>
          <w:r>
            <w:rPr>
              <w:noProof/>
            </w:rPr>
            <w:fldChar w:fldCharType="end"/>
          </w:r>
        </w:p>
        <w:p w14:paraId="79928B26" w14:textId="6569EAF2"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E – Proposed Transfer Policy Swim Lane Diagram</w:t>
          </w:r>
          <w:r>
            <w:rPr>
              <w:noProof/>
            </w:rPr>
            <w:tab/>
          </w:r>
          <w:r>
            <w:rPr>
              <w:noProof/>
            </w:rPr>
            <w:fldChar w:fldCharType="begin"/>
          </w:r>
          <w:r>
            <w:rPr>
              <w:noProof/>
            </w:rPr>
            <w:instrText xml:space="preserve"> PAGEREF _Toc105508333 \h </w:instrText>
          </w:r>
          <w:r>
            <w:rPr>
              <w:noProof/>
            </w:rPr>
          </w:r>
          <w:r>
            <w:rPr>
              <w:noProof/>
            </w:rPr>
            <w:fldChar w:fldCharType="separate"/>
          </w:r>
          <w:r w:rsidR="001B0C6B">
            <w:rPr>
              <w:noProof/>
            </w:rPr>
            <w:t>55</w:t>
          </w:r>
          <w:r>
            <w:rPr>
              <w:noProof/>
            </w:rPr>
            <w:fldChar w:fldCharType="end"/>
          </w:r>
        </w:p>
        <w:p w14:paraId="7338AC29" w14:textId="1015130F"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392078">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0" w:name="_Toc105508325"/>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hyperlink r:id="rId9" w:anchor="temp-spec" w:history="1">
        <w:r w:rsidRPr="004A5A95">
          <w:rPr>
            <w:rStyle w:val="Hyperlink"/>
            <w:rFonts w:asciiTheme="majorHAnsi" w:hAnsiTheme="majorHAnsi"/>
          </w:rPr>
          <w:t>Temporary Specification for gTLD Registration Data</w:t>
        </w:r>
      </w:hyperlink>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hyperlink r:id="rId10" w:anchor="202102" w:history="1">
        <w:r w:rsidR="00795E91" w:rsidRPr="00B9102F">
          <w:rPr>
            <w:rStyle w:val="Hyperlink"/>
            <w:rFonts w:asciiTheme="majorHAnsi" w:hAnsiTheme="majorHAnsi"/>
          </w:rPr>
          <w:t>initiated</w:t>
        </w:r>
      </w:hyperlink>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xml:space="preserve">) and </w:t>
      </w:r>
      <w:proofErr w:type="spellStart"/>
      <w:r w:rsidRPr="00B9102F">
        <w:rPr>
          <w:rFonts w:asciiTheme="majorHAnsi" w:hAnsiTheme="majorHAnsi"/>
        </w:rPr>
        <w:t>AuthInfo</w:t>
      </w:r>
      <w:proofErr w:type="spellEnd"/>
      <w:r w:rsidRPr="00B9102F">
        <w:rPr>
          <w:rFonts w:asciiTheme="majorHAnsi" w:hAnsiTheme="majorHAnsi"/>
        </w:rPr>
        <w:t xml:space="preserve">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w:t>
      </w:r>
      <w:proofErr w:type="spellStart"/>
      <w:r w:rsidRPr="00B9102F">
        <w:rPr>
          <w:rFonts w:asciiTheme="majorHAnsi" w:hAnsiTheme="majorHAnsi"/>
        </w:rPr>
        <w:t>NACKing</w:t>
      </w:r>
      <w:proofErr w:type="spellEnd"/>
      <w:r w:rsidRPr="00B9102F">
        <w:rPr>
          <w:rFonts w:asciiTheme="majorHAnsi" w:hAnsiTheme="majorHAnsi"/>
        </w:rPr>
        <w:t>)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hyperlink r:id="rId11" w:anchor="202103" w:history="1">
        <w:r w:rsidRPr="00B9102F">
          <w:rPr>
            <w:rStyle w:val="Hyperlink"/>
            <w:rFonts w:asciiTheme="majorHAnsi" w:hAnsiTheme="majorHAnsi"/>
          </w:rPr>
          <w:t>approved</w:t>
        </w:r>
      </w:hyperlink>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proofErr w:type="spellStart"/>
      <w:r w:rsidRPr="00B9102F">
        <w:rPr>
          <w:rFonts w:asciiTheme="majorHAnsi" w:hAnsiTheme="majorHAnsi"/>
        </w:rPr>
        <w:t>AuthInfo</w:t>
      </w:r>
      <w:proofErr w:type="spellEnd"/>
      <w:r w:rsidRPr="00B9102F">
        <w:rPr>
          <w:rFonts w:asciiTheme="majorHAnsi" w:hAnsiTheme="majorHAnsi"/>
        </w:rPr>
        <w:t xml:space="preserve">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w:t>
      </w:r>
      <w:proofErr w:type="spellStart"/>
      <w:r w:rsidRPr="00B9102F">
        <w:rPr>
          <w:rFonts w:asciiTheme="majorHAnsi" w:hAnsiTheme="majorHAnsi"/>
        </w:rPr>
        <w:t>NACKing</w:t>
      </w:r>
      <w:proofErr w:type="spellEnd"/>
      <w:r w:rsidRPr="00B9102F">
        <w:rPr>
          <w:rFonts w:asciiTheme="majorHAnsi" w:hAnsiTheme="majorHAnsi"/>
        </w:rPr>
        <w:t>)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hyperlink w:anchor="Rec1" w:history="1">
        <w:r w:rsidR="007A6FFA" w:rsidRPr="00F8396E">
          <w:rPr>
            <w:rStyle w:val="Hyperlink"/>
            <w:rFonts w:asciiTheme="majorHAnsi" w:hAnsiTheme="majorHAnsi"/>
            <w:b/>
            <w:bCs/>
          </w:rPr>
          <w:t>Gaining FOA</w:t>
        </w:r>
      </w:hyperlink>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hyperlink w:anchor="Rec2" w:history="1">
        <w:r w:rsidR="007A6FFA" w:rsidRPr="00F8396E">
          <w:rPr>
            <w:rStyle w:val="Hyperlink"/>
            <w:rFonts w:asciiTheme="majorHAnsi" w:hAnsiTheme="majorHAnsi"/>
            <w:b/>
            <w:bCs/>
          </w:rPr>
          <w:t>Losing FOA</w:t>
        </w:r>
      </w:hyperlink>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hyperlink w:anchor="Rec3" w:history="1">
        <w:r w:rsidR="007A6FFA" w:rsidRPr="00F8396E">
          <w:rPr>
            <w:rStyle w:val="Hyperlink"/>
            <w:rFonts w:asciiTheme="majorHAnsi" w:hAnsiTheme="majorHAnsi"/>
            <w:b/>
            <w:bCs/>
          </w:rPr>
          <w:t>Notification of TAC Provision</w:t>
        </w:r>
      </w:hyperlink>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hyperlink w:anchor="Rec4" w:history="1">
        <w:r w:rsidR="000C4629" w:rsidRPr="00F8396E">
          <w:rPr>
            <w:rStyle w:val="Hyperlink"/>
            <w:rFonts w:asciiTheme="majorHAnsi" w:hAnsiTheme="majorHAnsi"/>
            <w:b/>
            <w:bCs/>
          </w:rPr>
          <w:t>Notification of Transfer Completion</w:t>
        </w:r>
      </w:hyperlink>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hyperlink w:anchor="Rec5" w:history="1">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proofErr w:type="spellStart"/>
        <w:r w:rsidR="000C4629" w:rsidRPr="00F8396E">
          <w:rPr>
            <w:rStyle w:val="Hyperlink"/>
            <w:rFonts w:asciiTheme="majorHAnsi" w:hAnsiTheme="majorHAnsi"/>
            <w:b/>
            <w:bCs/>
          </w:rPr>
          <w:t>AuthInfo</w:t>
        </w:r>
        <w:proofErr w:type="spellEnd"/>
        <w:r w:rsidR="000C4629" w:rsidRPr="00F8396E">
          <w:rPr>
            <w:rStyle w:val="Hyperlink"/>
            <w:rFonts w:asciiTheme="majorHAnsi" w:hAnsiTheme="majorHAnsi"/>
            <w:b/>
            <w:bCs/>
          </w:rPr>
          <w:t xml:space="preserve"> Code</w:t>
        </w:r>
        <w:r w:rsidR="00B15E25" w:rsidRPr="00F8396E">
          <w:rPr>
            <w:rStyle w:val="Hyperlink"/>
            <w:rFonts w:asciiTheme="majorHAnsi" w:hAnsiTheme="majorHAnsi"/>
            <w:b/>
            <w:bCs/>
          </w:rPr>
          <w:t>” to “Transfer Authorization Code (TAC)”</w:t>
        </w:r>
      </w:hyperlink>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hyperlink w:anchor="Rec6"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hyperlink>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hyperlink w:anchor="Rec7"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hyperlink>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hyperlink w:anchor="Rec8" w:history="1">
        <w:r w:rsidR="00A34332" w:rsidRPr="00F8396E">
          <w:rPr>
            <w:rStyle w:val="Hyperlink"/>
            <w:rFonts w:asciiTheme="majorHAnsi" w:hAnsiTheme="majorHAnsi"/>
            <w:b/>
            <w:bCs/>
          </w:rPr>
          <w:t>Verification of TAC Composition</w:t>
        </w:r>
      </w:hyperlink>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hyperlink w:anchor="Rec9" w:history="1">
        <w:r w:rsidR="00A34332" w:rsidRPr="00F8396E">
          <w:rPr>
            <w:rStyle w:val="Hyperlink"/>
            <w:rFonts w:asciiTheme="majorHAnsi" w:hAnsiTheme="majorHAnsi"/>
            <w:b/>
            <w:bCs/>
          </w:rPr>
          <w:t>TAC Generation, Storage, and Provision</w:t>
        </w:r>
      </w:hyperlink>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hyperlink w:anchor="Rec10" w:history="1">
        <w:r w:rsidR="00A34332" w:rsidRPr="00F8396E">
          <w:rPr>
            <w:rStyle w:val="Hyperlink"/>
            <w:rFonts w:asciiTheme="majorHAnsi" w:hAnsiTheme="majorHAnsi"/>
            <w:b/>
            <w:bCs/>
          </w:rPr>
          <w:t>Verification of TAC Validity</w:t>
        </w:r>
      </w:hyperlink>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hyperlink w:anchor="Rec11" w:history="1">
        <w:r w:rsidR="00A34332" w:rsidRPr="00F8396E">
          <w:rPr>
            <w:rStyle w:val="Hyperlink"/>
            <w:rFonts w:asciiTheme="majorHAnsi" w:hAnsiTheme="majorHAnsi"/>
            <w:b/>
            <w:bCs/>
          </w:rPr>
          <w:t>TAC is One-Time Use</w:t>
        </w:r>
      </w:hyperlink>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hyperlink w:anchor="Rec12" w:history="1">
        <w:r w:rsidR="00B20038" w:rsidRPr="00F8396E">
          <w:rPr>
            <w:rStyle w:val="Hyperlink"/>
            <w:rFonts w:asciiTheme="majorHAnsi" w:hAnsiTheme="majorHAnsi"/>
            <w:b/>
            <w:bCs/>
          </w:rPr>
          <w:t>Service Level Agreement (SLA) for TAC Provision</w:t>
        </w:r>
      </w:hyperlink>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hyperlink w:anchor="Rec13" w:history="1">
        <w:r w:rsidR="00B20038" w:rsidRPr="00F8396E">
          <w:rPr>
            <w:rStyle w:val="Hyperlink"/>
            <w:rFonts w:asciiTheme="majorHAnsi" w:hAnsiTheme="majorHAnsi"/>
            <w:b/>
            <w:bCs/>
          </w:rPr>
          <w:t>TAC Time to Live (TTL)</w:t>
        </w:r>
      </w:hyperlink>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hyperlink w:anchor="Rec14" w:history="1">
        <w:r w:rsidR="00B15E25" w:rsidRPr="00F8396E">
          <w:rPr>
            <w:rStyle w:val="Hyperlink"/>
            <w:rFonts w:asciiTheme="majorHAnsi" w:hAnsiTheme="majorHAnsi"/>
            <w:b/>
            <w:bCs/>
          </w:rPr>
          <w:t xml:space="preserve">Terminology Updates: </w:t>
        </w:r>
        <w:proofErr w:type="spellStart"/>
        <w:r w:rsidR="00B15E25" w:rsidRPr="00F8396E">
          <w:rPr>
            <w:rStyle w:val="Hyperlink"/>
            <w:rFonts w:asciiTheme="majorHAnsi" w:hAnsiTheme="majorHAnsi"/>
            <w:b/>
            <w:bCs/>
          </w:rPr>
          <w:t>Whois</w:t>
        </w:r>
        <w:proofErr w:type="spellEnd"/>
      </w:hyperlink>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hyperlink w:anchor="Rec15" w:history="1">
        <w:r w:rsidR="00B15E25" w:rsidRPr="00F8396E">
          <w:rPr>
            <w:rStyle w:val="Hyperlink"/>
            <w:rFonts w:asciiTheme="majorHAnsi" w:hAnsiTheme="majorHAnsi"/>
            <w:b/>
            <w:bCs/>
          </w:rPr>
          <w:t>Terminology Updates: Administrative Contact and Transfer Contact</w:t>
        </w:r>
      </w:hyperlink>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hyperlink w:anchor="Rec16" w:history="1">
        <w:r w:rsidR="00245383" w:rsidRPr="00F8396E">
          <w:rPr>
            <w:rStyle w:val="Hyperlink"/>
            <w:rFonts w:asciiTheme="majorHAnsi" w:hAnsiTheme="majorHAnsi"/>
            <w:b/>
            <w:bCs/>
          </w:rPr>
          <w:t>Transfer Restriction After Initial Registration</w:t>
        </w:r>
      </w:hyperlink>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hyperlink w:anchor="Rec17" w:history="1">
        <w:r w:rsidR="00245383" w:rsidRPr="00F8396E">
          <w:rPr>
            <w:rStyle w:val="Hyperlink"/>
            <w:rFonts w:asciiTheme="majorHAnsi" w:hAnsiTheme="majorHAnsi"/>
            <w:b/>
            <w:bCs/>
          </w:rPr>
          <w:t>Transfer Restriction After Inter-Registrar Transfer</w:t>
        </w:r>
      </w:hyperlink>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hyperlink w:anchor="Rec18" w:history="1">
        <w:r w:rsidR="00245383" w:rsidRPr="00F8396E">
          <w:rPr>
            <w:rStyle w:val="Hyperlink"/>
            <w:rFonts w:asciiTheme="majorHAnsi" w:hAnsiTheme="majorHAnsi"/>
            <w:b/>
            <w:bCs/>
          </w:rPr>
          <w:t>Format of Transfer Policy Section I.A.3.7</w:t>
        </w:r>
      </w:hyperlink>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hyperlink w:anchor="Rec19" w:history="1">
        <w:r w:rsidR="00245383" w:rsidRPr="00F8396E">
          <w:rPr>
            <w:rStyle w:val="Hyperlink"/>
            <w:rFonts w:asciiTheme="majorHAnsi" w:hAnsiTheme="majorHAnsi"/>
            <w:b/>
            <w:bCs/>
          </w:rPr>
          <w:t>Revised Reasons that a Registrar of Record MAY Deny a Transfer</w:t>
        </w:r>
      </w:hyperlink>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hyperlink w:anchor="Rec20" w:history="1">
        <w:r w:rsidRPr="00F8396E">
          <w:rPr>
            <w:rStyle w:val="Hyperlink"/>
            <w:rFonts w:asciiTheme="majorHAnsi" w:hAnsiTheme="majorHAnsi"/>
            <w:b/>
            <w:bCs/>
          </w:rPr>
          <w:t>New Reasons that a Registrar of Record MUST Deny a Transfer</w:t>
        </w:r>
      </w:hyperlink>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hyperlink w:anchor="Rec21" w:history="1">
        <w:r w:rsidRPr="00F8396E">
          <w:rPr>
            <w:rStyle w:val="Hyperlink"/>
            <w:rFonts w:asciiTheme="majorHAnsi" w:hAnsiTheme="majorHAnsi"/>
            <w:b/>
            <w:bCs/>
          </w:rPr>
          <w:t>Revised Reasons that a Registrar of Record MUST Deny a Transfer</w:t>
        </w:r>
      </w:hyperlink>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hyperlink w:anchor="Rec22" w:history="1">
        <w:r w:rsidRPr="00F8396E">
          <w:rPr>
            <w:rStyle w:val="Hyperlink"/>
            <w:rFonts w:asciiTheme="majorHAnsi" w:hAnsiTheme="majorHAnsi"/>
            <w:b/>
            <w:bCs/>
          </w:rPr>
          <w:t>Revised Reasons that a Registrar of Record MUST NOT Deny a Transfer</w:t>
        </w:r>
      </w:hyperlink>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6BBA6A72"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r w:rsidR="00196020">
        <w:rPr>
          <w:rFonts w:asciiTheme="majorHAnsi" w:hAnsiTheme="majorHAnsi"/>
        </w:rPr>
        <w:t>42</w:t>
      </w:r>
      <w:r w:rsidR="00196020" w:rsidRPr="005478FC">
        <w:rPr>
          <w:rFonts w:asciiTheme="majorHAnsi" w:hAnsiTheme="majorHAnsi"/>
        </w:rPr>
        <w:t xml:space="preserve"> </w:t>
      </w:r>
      <w:r w:rsidRPr="005478FC">
        <w:rPr>
          <w:rFonts w:asciiTheme="majorHAnsi" w:hAnsiTheme="majorHAnsi"/>
        </w:rPr>
        <w:t xml:space="preserve">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 xml:space="preserve">s methods and process for reaching preliminary </w:t>
      </w:r>
      <w:proofErr w:type="gramStart"/>
      <w:r w:rsidRPr="005478FC">
        <w:rPr>
          <w:rFonts w:asciiTheme="majorHAnsi" w:eastAsia="Times New Roman" w:hAnsiTheme="majorHAnsi"/>
        </w:rPr>
        <w:t>recommendations;</w:t>
      </w:r>
      <w:proofErr w:type="gramEnd"/>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6141B4">
        <w:rPr>
          <w:rFonts w:asciiTheme="majorHAnsi" w:eastAsia="Times New Roman" w:hAnsiTheme="majorHAnsi"/>
        </w:rPr>
        <w:t xml:space="preserve">and questions for community </w:t>
      </w:r>
      <w:proofErr w:type="gramStart"/>
      <w:r w:rsidR="005478FC" w:rsidRPr="006141B4">
        <w:rPr>
          <w:rFonts w:asciiTheme="majorHAnsi" w:eastAsia="Times New Roman" w:hAnsiTheme="majorHAnsi"/>
        </w:rPr>
        <w:t>input</w:t>
      </w:r>
      <w:r w:rsidR="005478FC" w:rsidRPr="005478FC">
        <w:rPr>
          <w:rFonts w:asciiTheme="majorHAnsi" w:eastAsia="Times New Roman" w:hAnsiTheme="majorHAnsi"/>
        </w:rPr>
        <w:t>;</w:t>
      </w:r>
      <w:proofErr w:type="gramEnd"/>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Background on the PDP and issues under </w:t>
      </w:r>
      <w:proofErr w:type="gramStart"/>
      <w:r w:rsidRPr="005478FC">
        <w:rPr>
          <w:rFonts w:asciiTheme="majorHAnsi" w:eastAsia="Times New Roman" w:hAnsiTheme="majorHAnsi"/>
        </w:rPr>
        <w:t>consideration;</w:t>
      </w:r>
      <w:proofErr w:type="gramEnd"/>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 xml:space="preserve">ttendance records, and links to Statements of Interest as </w:t>
      </w:r>
      <w:proofErr w:type="gramStart"/>
      <w:r w:rsidRPr="005478FC">
        <w:rPr>
          <w:rFonts w:asciiTheme="majorHAnsi" w:eastAsia="Times New Roman" w:hAnsiTheme="majorHAnsi"/>
        </w:rPr>
        <w:t>applicable;</w:t>
      </w:r>
      <w:proofErr w:type="gramEnd"/>
    </w:p>
    <w:p w14:paraId="459016C8" w14:textId="699281BC" w:rsidR="001243F1" w:rsidRPr="006C73E2" w:rsidRDefault="005478FC" w:rsidP="00196020">
      <w:pPr>
        <w:pStyle w:val="Bullets"/>
        <w:rPr>
          <w:rFonts w:asciiTheme="majorHAnsi" w:hAnsi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Supporting Organization</w:t>
      </w:r>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14AD99F1" w:rsidR="00892464" w:rsidRPr="001B0C6B" w:rsidRDefault="0081344A" w:rsidP="00196020">
      <w:pPr>
        <w:pStyle w:val="Bullets"/>
        <w:rPr>
          <w:rFonts w:asciiTheme="majorHAnsi" w:hAnsiTheme="majorHAnsi" w:cstheme="majorHAnsi"/>
        </w:rPr>
        <w:sectPr w:rsidR="00892464" w:rsidRPr="001B0C6B" w:rsidSect="001B0C6B">
          <w:headerReference w:type="default" r:id="rId12"/>
          <w:footerReference w:type="even" r:id="rId13"/>
          <w:footerReference w:type="default" r:id="rId14"/>
          <w:headerReference w:type="first" r:id="rId15"/>
          <w:footerReference w:type="first" r:id="rId16"/>
          <w:type w:val="continuous"/>
          <w:pgSz w:w="12240" w:h="15840"/>
          <w:pgMar w:top="1440" w:right="1797" w:bottom="1440" w:left="1797" w:header="720" w:footer="720" w:gutter="0"/>
          <w:cols w:space="720"/>
          <w:docGrid w:linePitch="360"/>
        </w:sectPr>
      </w:pPr>
      <w:r>
        <w:rPr>
          <w:rFonts w:asciiTheme="majorHAnsi" w:eastAsia="Times New Roman" w:hAnsiTheme="majorHAnsi"/>
        </w:rPr>
        <w:t>A swim</w:t>
      </w:r>
      <w:r w:rsidR="00196020">
        <w:rPr>
          <w:rFonts w:asciiTheme="majorHAnsi" w:eastAsia="Times New Roman" w:hAnsiTheme="majorHAnsi"/>
        </w:rPr>
        <w:t xml:space="preserve"> </w:t>
      </w:r>
      <w:r>
        <w:rPr>
          <w:rFonts w:asciiTheme="majorHAnsi" w:eastAsia="Times New Roman" w:hAnsiTheme="majorHAnsi"/>
        </w:rPr>
        <w:t xml:space="preserve">lane diagram documenting the </w:t>
      </w:r>
      <w:r w:rsidR="006C73E2">
        <w:rPr>
          <w:rFonts w:asciiTheme="majorHAnsi" w:eastAsia="Times New Roman" w:hAnsiTheme="majorHAnsi"/>
        </w:rPr>
        <w:t xml:space="preserve">possible </w:t>
      </w:r>
      <w:r>
        <w:rPr>
          <w:rFonts w:asciiTheme="majorHAnsi" w:eastAsia="Times New Roman" w:hAnsiTheme="majorHAnsi"/>
        </w:rPr>
        <w:t>future-state process flow for inter-Registrar transfers as it will exist if all recommendations are approved and implemented.</w:t>
      </w:r>
      <w:r w:rsidR="006C73E2">
        <w:rPr>
          <w:rFonts w:asciiTheme="majorHAnsi" w:eastAsia="Times New Roman" w:hAnsiTheme="majorHAnsi"/>
        </w:rPr>
        <w:t xml:space="preserve"> Note that this diagram is a working product of the deliberations process to support understanding of the recommendations’ impact. It is not intended to be authoritative.</w:t>
      </w:r>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1" w:name="_Toc105508326"/>
      <w:r>
        <w:rPr>
          <w:rFonts w:asciiTheme="majorHAnsi" w:hAnsiTheme="majorHAnsi"/>
        </w:rPr>
        <w:lastRenderedPageBreak/>
        <w:t>Working Group Approach</w:t>
      </w:r>
      <w:bookmarkEnd w:id="1"/>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hyperlink r:id="rId17" w:history="1">
        <w:r w:rsidRPr="00DC37ED">
          <w:rPr>
            <w:rStyle w:val="Hyperlink"/>
            <w:rFonts w:asciiTheme="majorHAnsi" w:hAnsiTheme="majorHAnsi"/>
          </w:rPr>
          <w:t>project plan</w:t>
        </w:r>
      </w:hyperlink>
      <w:r w:rsidRPr="00462B36">
        <w:rPr>
          <w:rFonts w:asciiTheme="majorHAnsi" w:hAnsiTheme="majorHAnsi"/>
        </w:rPr>
        <w:t xml:space="preserve">, which was delivered to the GNSO Council for its consideration during the </w:t>
      </w:r>
      <w:hyperlink r:id="rId18" w:history="1">
        <w:r w:rsidRPr="00DC37ED">
          <w:rPr>
            <w:rStyle w:val="Hyperlink"/>
            <w:rFonts w:asciiTheme="majorHAnsi" w:hAnsiTheme="majorHAnsi"/>
          </w:rPr>
          <w:t>22 July 202</w:t>
        </w:r>
        <w:r w:rsidR="007A0A46" w:rsidRPr="00DC37ED">
          <w:rPr>
            <w:rStyle w:val="Hyperlink"/>
            <w:rFonts w:asciiTheme="majorHAnsi" w:hAnsiTheme="majorHAnsi"/>
          </w:rPr>
          <w:t>1</w:t>
        </w:r>
      </w:hyperlink>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denying (</w:t>
      </w:r>
      <w:proofErr w:type="spellStart"/>
      <w:r w:rsidR="006F22E8" w:rsidRPr="006F22E8">
        <w:rPr>
          <w:rFonts w:asciiTheme="majorHAnsi" w:hAnsiTheme="majorHAnsi"/>
        </w:rPr>
        <w:t>NACKing</w:t>
      </w:r>
      <w:proofErr w:type="spellEnd"/>
      <w:r w:rsidR="006F22E8" w:rsidRPr="006F22E8">
        <w:rPr>
          <w:rFonts w:asciiTheme="majorHAnsi" w:hAnsiTheme="majorHAnsi"/>
        </w:rPr>
        <w:t xml:space="preserve">)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hyperlink r:id="rId19" w:anchor="20211216-1" w:history="1">
        <w:r w:rsidR="00D775AB" w:rsidRPr="00D775AB">
          <w:rPr>
            <w:rStyle w:val="Hyperlink"/>
            <w:rFonts w:asciiTheme="majorHAnsi" w:hAnsiTheme="majorHAnsi"/>
          </w:rPr>
          <w:t>adopted</w:t>
        </w:r>
      </w:hyperlink>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hyperlink r:id="rId20" w:history="1">
        <w:r w:rsidR="006F22E8" w:rsidRPr="006F22E8">
          <w:rPr>
            <w:rStyle w:val="Hyperlink"/>
            <w:rFonts w:ascii="Calibri" w:eastAsiaTheme="majorEastAsia" w:hAnsi="Calibri" w:cs="Calibri"/>
          </w:rPr>
          <w:t>sought written input</w:t>
        </w:r>
      </w:hyperlink>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007B111E"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hyperlink r:id="rId21" w:history="1">
        <w:r w:rsidRPr="00326E24">
          <w:rPr>
            <w:rStyle w:val="Hyperlink"/>
            <w:rFonts w:asciiTheme="majorHAnsi" w:hAnsiTheme="majorHAnsi"/>
          </w:rPr>
          <w:t>ICANN71</w:t>
        </w:r>
      </w:hyperlink>
      <w:r w:rsidRPr="00FF0A78">
        <w:rPr>
          <w:rFonts w:asciiTheme="majorHAnsi" w:hAnsiTheme="majorHAnsi"/>
        </w:rPr>
        <w:t xml:space="preserve">, </w:t>
      </w:r>
      <w:hyperlink r:id="rId22" w:history="1">
        <w:r w:rsidRPr="00326E24">
          <w:rPr>
            <w:rStyle w:val="Hyperlink"/>
            <w:rFonts w:asciiTheme="majorHAnsi" w:hAnsiTheme="majorHAnsi"/>
          </w:rPr>
          <w:t>ICANN72</w:t>
        </w:r>
      </w:hyperlink>
      <w:r w:rsidRPr="00FF0A78">
        <w:rPr>
          <w:rFonts w:asciiTheme="majorHAnsi" w:hAnsiTheme="majorHAnsi"/>
        </w:rPr>
        <w:t xml:space="preserve">, </w:t>
      </w:r>
      <w:hyperlink r:id="rId23" w:history="1">
        <w:r w:rsidRPr="00326E24">
          <w:rPr>
            <w:rStyle w:val="Hyperlink"/>
            <w:rFonts w:asciiTheme="majorHAnsi" w:hAnsiTheme="majorHAnsi"/>
          </w:rPr>
          <w:t>ICANN73</w:t>
        </w:r>
      </w:hyperlink>
      <w:r w:rsidRPr="00FF0A78">
        <w:rPr>
          <w:rFonts w:asciiTheme="majorHAnsi" w:hAnsiTheme="majorHAnsi"/>
        </w:rPr>
        <w:t xml:space="preserve">, and </w:t>
      </w:r>
      <w:hyperlink r:id="rId24" w:history="1">
        <w:r w:rsidRPr="00326E24">
          <w:rPr>
            <w:rStyle w:val="Hyperlink"/>
            <w:rFonts w:asciiTheme="majorHAnsi" w:hAnsiTheme="majorHAnsi"/>
          </w:rPr>
          <w:t>ICANN74</w:t>
        </w:r>
      </w:hyperlink>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hyperlink r:id="rId25" w:history="1">
        <w:r w:rsidRPr="00326E24">
          <w:rPr>
            <w:rStyle w:val="Hyperlink"/>
            <w:rFonts w:asciiTheme="majorHAnsi" w:hAnsiTheme="majorHAnsi"/>
          </w:rPr>
          <w:t>wiki workspace</w:t>
        </w:r>
      </w:hyperlink>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hyperlink r:id="rId26" w:history="1">
        <w:r w:rsidR="005D37BC" w:rsidRPr="00326E24">
          <w:rPr>
            <w:rStyle w:val="Hyperlink"/>
            <w:rFonts w:asciiTheme="majorHAnsi" w:hAnsiTheme="majorHAnsi"/>
          </w:rPr>
          <w:t>early input</w:t>
        </w:r>
      </w:hyperlink>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w:t>
      </w:r>
      <w:proofErr w:type="gramStart"/>
      <w:r w:rsidRPr="00F7174E">
        <w:rPr>
          <w:rFonts w:asciiTheme="majorHAnsi" w:hAnsiTheme="majorHAnsi"/>
        </w:rPr>
        <w:t>interests</w:t>
      </w:r>
      <w:proofErr w:type="gramEnd"/>
      <w:r w:rsidRPr="00F7174E">
        <w:rPr>
          <w:rFonts w:asciiTheme="majorHAnsi" w:hAnsiTheme="majorHAnsi"/>
        </w:rPr>
        <w:t xml:space="preserve">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hyperlink r:id="rId27" w:history="1">
        <w:r w:rsidRPr="00F7174E">
          <w:rPr>
            <w:rStyle w:val="Hyperlink"/>
            <w:rFonts w:asciiTheme="majorHAnsi" w:hAnsiTheme="majorHAnsi"/>
          </w:rPr>
          <w:t>wiki</w:t>
        </w:r>
      </w:hyperlink>
      <w:r w:rsidRPr="00F7174E">
        <w:rPr>
          <w:rFonts w:asciiTheme="majorHAnsi" w:hAnsiTheme="majorHAnsi"/>
        </w:rPr>
        <w:t>. When a new charter topic was introduced, the leadership team provided a working document for the topic, including (</w:t>
      </w:r>
      <w:proofErr w:type="spellStart"/>
      <w:r w:rsidRPr="00F7174E">
        <w:rPr>
          <w:rFonts w:asciiTheme="majorHAnsi" w:hAnsiTheme="majorHAnsi"/>
        </w:rPr>
        <w:t>i</w:t>
      </w:r>
      <w:proofErr w:type="spellEnd"/>
      <w:r w:rsidRPr="00F7174E">
        <w:rPr>
          <w:rFonts w:asciiTheme="majorHAnsi" w:hAnsiTheme="majorHAnsi"/>
        </w:rPr>
        <w:t xml:space="preserve">)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5690FC04" w:rsidR="00344834" w:rsidRDefault="00344834" w:rsidP="00344834">
      <w:pPr>
        <w:rPr>
          <w:rFonts w:asciiTheme="majorHAnsi" w:hAnsiTheme="majorHAnsi"/>
        </w:rPr>
      </w:pPr>
    </w:p>
    <w:p w14:paraId="249DE4ED" w14:textId="25119346" w:rsidR="006C73E2" w:rsidRDefault="006C73E2" w:rsidP="006C73E2">
      <w:pPr>
        <w:pStyle w:val="Heading2"/>
        <w:rPr>
          <w:rFonts w:asciiTheme="majorHAnsi" w:hAnsiTheme="majorHAnsi"/>
        </w:rPr>
      </w:pPr>
      <w:r>
        <w:rPr>
          <w:rFonts w:asciiTheme="majorHAnsi" w:hAnsiTheme="majorHAnsi"/>
        </w:rPr>
        <w:t>Swim</w:t>
      </w:r>
      <w:r w:rsidR="00196020">
        <w:rPr>
          <w:rFonts w:asciiTheme="majorHAnsi" w:hAnsiTheme="majorHAnsi"/>
        </w:rPr>
        <w:t xml:space="preserve"> L</w:t>
      </w:r>
      <w:r>
        <w:rPr>
          <w:rFonts w:asciiTheme="majorHAnsi" w:hAnsiTheme="majorHAnsi"/>
        </w:rPr>
        <w:t>ane Diagram</w:t>
      </w:r>
    </w:p>
    <w:p w14:paraId="5864190F" w14:textId="77777777" w:rsidR="006C73E2" w:rsidRPr="00F7174E" w:rsidRDefault="006C73E2" w:rsidP="006C73E2"/>
    <w:p w14:paraId="6595CFE4" w14:textId="61FC7411" w:rsidR="00897A33" w:rsidRPr="00897A33" w:rsidRDefault="006C73E2" w:rsidP="00897A33">
      <w:pPr>
        <w:rPr>
          <w:rFonts w:asciiTheme="majorHAnsi" w:hAnsiTheme="majorHAnsi"/>
          <w:bCs/>
        </w:rPr>
        <w:sectPr w:rsidR="00897A33" w:rsidRPr="00897A33" w:rsidSect="001B0C6B">
          <w:headerReference w:type="default" r:id="rId28"/>
          <w:footerReference w:type="even" r:id="rId29"/>
          <w:footerReference w:type="default" r:id="rId30"/>
          <w:headerReference w:type="first" r:id="rId31"/>
          <w:footerReference w:type="first" r:id="rId32"/>
          <w:type w:val="continuous"/>
          <w:pgSz w:w="12240" w:h="15840"/>
          <w:pgMar w:top="1440" w:right="1797" w:bottom="1440" w:left="1797" w:header="720" w:footer="720" w:gutter="0"/>
          <w:cols w:space="720"/>
          <w:docGrid w:linePitch="360"/>
        </w:sectPr>
      </w:pPr>
      <w:r>
        <w:rPr>
          <w:rFonts w:asciiTheme="majorHAnsi" w:hAnsiTheme="majorHAnsi"/>
        </w:rPr>
        <w:t xml:space="preserve">To further support deliberations and </w:t>
      </w:r>
      <w:r w:rsidR="00897A33">
        <w:rPr>
          <w:rFonts w:asciiTheme="majorHAnsi" w:hAnsiTheme="majorHAnsi"/>
        </w:rPr>
        <w:t>document the expected</w:t>
      </w:r>
      <w:r>
        <w:rPr>
          <w:rFonts w:asciiTheme="majorHAnsi" w:hAnsiTheme="majorHAnsi"/>
        </w:rPr>
        <w:t xml:space="preserve"> impact of proposed recommendations, </w:t>
      </w:r>
      <w:r w:rsidR="00897A33">
        <w:rPr>
          <w:rFonts w:asciiTheme="majorHAnsi" w:hAnsiTheme="majorHAnsi"/>
        </w:rPr>
        <w:t>the working group developed a swim</w:t>
      </w:r>
      <w:r w:rsidR="00196020">
        <w:rPr>
          <w:rFonts w:asciiTheme="majorHAnsi" w:hAnsiTheme="majorHAnsi"/>
        </w:rPr>
        <w:t xml:space="preserve"> </w:t>
      </w:r>
      <w:r w:rsidR="00897A33">
        <w:rPr>
          <w:rFonts w:asciiTheme="majorHAnsi" w:hAnsiTheme="majorHAnsi"/>
        </w:rPr>
        <w:t xml:space="preserve">lane diagram to visually represent </w:t>
      </w:r>
      <w:r w:rsidR="00897A33">
        <w:rPr>
          <w:rFonts w:asciiTheme="majorHAnsi" w:hAnsiTheme="majorHAnsi"/>
          <w:bCs/>
        </w:rPr>
        <w:t>the</w:t>
      </w:r>
      <w:r w:rsidR="00897A33" w:rsidRPr="00897A33">
        <w:rPr>
          <w:rFonts w:asciiTheme="majorHAnsi" w:hAnsiTheme="majorHAnsi"/>
          <w:bCs/>
        </w:rPr>
        <w:t xml:space="preserve"> possible future-state process flow for inter-Registrar transfers as it will exist if all recommendations are approved and implemented. </w:t>
      </w:r>
      <w:r w:rsidR="00897A33">
        <w:rPr>
          <w:rFonts w:asciiTheme="majorHAnsi" w:hAnsiTheme="majorHAnsi"/>
          <w:bCs/>
        </w:rPr>
        <w:t>This diagram serves as a working document to support</w:t>
      </w:r>
      <w:r w:rsidR="00897A33" w:rsidRPr="00897A33">
        <w:rPr>
          <w:rFonts w:asciiTheme="majorHAnsi" w:hAnsiTheme="majorHAnsi"/>
          <w:bCs/>
        </w:rPr>
        <w:t xml:space="preserve"> the deliberations process</w:t>
      </w:r>
      <w:r w:rsidR="00897A33">
        <w:rPr>
          <w:rFonts w:asciiTheme="majorHAnsi" w:hAnsiTheme="majorHAnsi"/>
          <w:bCs/>
        </w:rPr>
        <w:t xml:space="preserve"> and is not </w:t>
      </w:r>
      <w:r w:rsidR="00897A33" w:rsidRPr="00897A33">
        <w:rPr>
          <w:rFonts w:asciiTheme="majorHAnsi" w:hAnsiTheme="majorHAnsi"/>
          <w:bCs/>
        </w:rPr>
        <w:t>intended to be authoritative</w:t>
      </w:r>
      <w:r w:rsidR="00897A33">
        <w:rPr>
          <w:rFonts w:asciiTheme="majorHAnsi" w:hAnsiTheme="majorHAnsi"/>
          <w:bCs/>
        </w:rPr>
        <w:t>, but it is included in this Initial Report to demonstrate the working group’s understanding of the recommendations’ impact</w:t>
      </w:r>
      <w:r w:rsidR="00015419">
        <w:rPr>
          <w:rFonts w:asciiTheme="majorHAnsi" w:hAnsiTheme="majorHAnsi"/>
          <w:bCs/>
        </w:rPr>
        <w:t xml:space="preserve"> on the inter-Registrar transfer process</w:t>
      </w:r>
      <w:r w:rsidR="00897A33">
        <w:rPr>
          <w:rFonts w:asciiTheme="majorHAnsi" w:hAnsiTheme="majorHAnsi"/>
          <w:bCs/>
        </w:rPr>
        <w:t>.</w:t>
      </w:r>
      <w:r w:rsidR="00015419">
        <w:rPr>
          <w:rFonts w:asciiTheme="majorHAnsi" w:hAnsiTheme="majorHAnsi"/>
          <w:bCs/>
        </w:rPr>
        <w:t xml:space="preserve"> The swim</w:t>
      </w:r>
      <w:r w:rsidR="00196020">
        <w:rPr>
          <w:rFonts w:asciiTheme="majorHAnsi" w:hAnsiTheme="majorHAnsi"/>
          <w:bCs/>
        </w:rPr>
        <w:t xml:space="preserve"> </w:t>
      </w:r>
      <w:r w:rsidR="00015419">
        <w:rPr>
          <w:rFonts w:asciiTheme="majorHAnsi" w:hAnsiTheme="majorHAnsi"/>
          <w:bCs/>
        </w:rPr>
        <w:t xml:space="preserve">lane diagram is included in </w:t>
      </w:r>
      <w:r w:rsidR="00015419" w:rsidRPr="001B0C6B">
        <w:rPr>
          <w:rFonts w:asciiTheme="majorHAnsi" w:hAnsiTheme="majorHAnsi"/>
          <w:bCs/>
        </w:rPr>
        <w:t>Annex E</w:t>
      </w:r>
      <w:r w:rsidR="00015419">
        <w:rPr>
          <w:rFonts w:asciiTheme="majorHAnsi" w:hAnsiTheme="majorHAnsi"/>
          <w:bCs/>
        </w:rPr>
        <w:t xml:space="preserve"> of this report.</w:t>
      </w:r>
    </w:p>
    <w:p w14:paraId="13210D4F" w14:textId="77777777" w:rsidR="006C73E2" w:rsidRPr="00F7174E" w:rsidRDefault="006C73E2"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hyperlink r:id="rId33" w:history="1">
        <w:r w:rsidRPr="00344834">
          <w:rPr>
            <w:rStyle w:val="Hyperlink"/>
            <w:rFonts w:asciiTheme="majorHAnsi" w:eastAsiaTheme="majorEastAsia" w:hAnsiTheme="majorHAnsi" w:cstheme="majorHAnsi"/>
          </w:rPr>
          <w:t>Transfer Policy Status Report</w:t>
        </w:r>
      </w:hyperlink>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w:t>
      </w:r>
      <w:proofErr w:type="gramStart"/>
      <w:r w:rsidRPr="00344834">
        <w:rPr>
          <w:rFonts w:asciiTheme="majorHAnsi" w:hAnsiTheme="majorHAnsi" w:cstheme="majorHAnsi"/>
        </w:rPr>
        <w:t>In the course of</w:t>
      </w:r>
      <w:proofErr w:type="gramEnd"/>
      <w:r w:rsidRPr="00344834">
        <w:rPr>
          <w:rFonts w:asciiTheme="majorHAnsi" w:hAnsiTheme="majorHAnsi" w:cstheme="majorHAnsi"/>
        </w:rPr>
        <w:t xml:space="preserve">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hyperlink r:id="rId34"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w:t>
      </w:r>
      <w:proofErr w:type="gramStart"/>
      <w:r w:rsidRPr="00344834">
        <w:rPr>
          <w:rFonts w:asciiTheme="majorHAnsi" w:hAnsiTheme="majorHAnsi"/>
        </w:rPr>
        <w:t>input</w:t>
      </w:r>
      <w:proofErr w:type="gramEnd"/>
      <w:r w:rsidRPr="00344834">
        <w:rPr>
          <w:rFonts w:asciiTheme="majorHAnsi" w:hAnsiTheme="majorHAnsi"/>
        </w:rPr>
        <w:t xml:space="preserve">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w:t>
      </w:r>
      <w:r w:rsidRPr="00344834">
        <w:rPr>
          <w:rFonts w:asciiTheme="majorHAnsi" w:hAnsiTheme="majorHAnsi"/>
        </w:rPr>
        <w:lastRenderedPageBreak/>
        <w:t xml:space="preserve">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D8C13E0"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hyperlink r:id="rId35"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The GNSO Council Liaison, Greg </w:t>
      </w:r>
      <w:proofErr w:type="spellStart"/>
      <w:r w:rsidRPr="00344834">
        <w:rPr>
          <w:rFonts w:asciiTheme="majorHAnsi" w:hAnsiTheme="majorHAnsi" w:cstheme="majorHAnsi"/>
        </w:rPr>
        <w:t>DiBiase</w:t>
      </w:r>
      <w:proofErr w:type="spellEnd"/>
      <w:r w:rsidRPr="00344834">
        <w:rPr>
          <w:rFonts w:asciiTheme="majorHAnsi" w:hAnsiTheme="majorHAnsi" w:cstheme="majorHAnsi"/>
        </w:rPr>
        <w:t xml:space="preserve">, served as an additional point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2" w:name="_Toc105508327"/>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2"/>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hyperlink r:id="rId36" w:history="1">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hyperlink>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w:t>
      </w:r>
      <w:proofErr w:type="spellStart"/>
      <w:r w:rsidR="00002375" w:rsidRPr="00002375">
        <w:rPr>
          <w:rFonts w:asciiTheme="majorHAnsi" w:hAnsiTheme="majorHAnsi" w:cstheme="majorHAnsi"/>
        </w:rPr>
        <w:t>AuthInfo</w:t>
      </w:r>
      <w:proofErr w:type="spellEnd"/>
      <w:r w:rsidR="00002375" w:rsidRPr="00002375">
        <w:rPr>
          <w:rFonts w:asciiTheme="majorHAnsi" w:hAnsiTheme="majorHAnsi" w:cstheme="majorHAnsi"/>
        </w:rPr>
        <w:t xml:space="preserve">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w:t>
      </w:r>
      <w:proofErr w:type="spellStart"/>
      <w:r w:rsidR="00002375">
        <w:rPr>
          <w:rFonts w:asciiTheme="majorHAnsi" w:hAnsiTheme="majorHAnsi" w:cstheme="majorHAnsi"/>
        </w:rPr>
        <w:t>NACKing</w:t>
      </w:r>
      <w:proofErr w:type="spellEnd"/>
      <w:r w:rsidR="00002375">
        <w:rPr>
          <w:rFonts w:asciiTheme="majorHAnsi" w:hAnsiTheme="majorHAnsi" w:cstheme="majorHAnsi"/>
        </w:rPr>
        <w:t>)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hyperlink r:id="rId37" w:history="1">
        <w:r w:rsidRPr="000F4B93">
          <w:rPr>
            <w:rStyle w:val="Hyperlink"/>
            <w:rFonts w:asciiTheme="majorHAnsi" w:hAnsiTheme="majorHAnsi"/>
          </w:rPr>
          <w:t>Final Issue Report</w:t>
        </w:r>
      </w:hyperlink>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w:t>
      </w:r>
      <w:proofErr w:type="spellStart"/>
      <w:r w:rsidRPr="00AF54E2">
        <w:rPr>
          <w:rFonts w:asciiTheme="majorHAnsi" w:hAnsiTheme="majorHAnsi" w:cstheme="majorHAnsi"/>
          <w:color w:val="000000" w:themeColor="text1"/>
        </w:rPr>
        <w:t>AuthInfo</w:t>
      </w:r>
      <w:proofErr w:type="spellEnd"/>
      <w:r w:rsidRPr="00AF54E2">
        <w:rPr>
          <w:rFonts w:asciiTheme="majorHAnsi" w:hAnsiTheme="majorHAnsi" w:cstheme="majorHAnsi"/>
          <w:color w:val="000000" w:themeColor="text1"/>
        </w:rPr>
        <w:t xml:space="preserve">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w:t>
      </w:r>
      <w:proofErr w:type="gramStart"/>
      <w:r w:rsidRPr="00AF54E2">
        <w:rPr>
          <w:rFonts w:asciiTheme="majorHAnsi" w:hAnsiTheme="majorHAnsi" w:cstheme="majorHAnsi"/>
          <w:color w:val="000000" w:themeColor="text1"/>
        </w:rPr>
        <w:t>In order for</w:t>
      </w:r>
      <w:proofErr w:type="gramEnd"/>
      <w:r w:rsidRPr="00AF54E2">
        <w:rPr>
          <w:rFonts w:asciiTheme="majorHAnsi" w:hAnsiTheme="majorHAnsi" w:cstheme="majorHAnsi"/>
          <w:color w:val="000000" w:themeColor="text1"/>
        </w:rPr>
        <w:t xml:space="preserve">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considered that it is likely possible from a technical perspective to facilitate the transfer of the RNH’s contact information from the Registrar of Record to the Gaining Registrar for the purposes of confirming the RNH’s intent to transfer. </w:t>
      </w:r>
      <w:r w:rsidRPr="00AF54E2">
        <w:rPr>
          <w:rFonts w:asciiTheme="majorHAnsi" w:hAnsiTheme="majorHAnsi" w:cstheme="majorHAnsi"/>
          <w:color w:val="000000" w:themeColor="text1"/>
        </w:rPr>
        <w:lastRenderedPageBreak/>
        <w:t>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In its deliberations on applicable law, the working group considered the principles of data minimization and privacy by design. Under these principles, </w:t>
      </w:r>
      <w:proofErr w:type="gramStart"/>
      <w:r w:rsidRPr="00AF54E2">
        <w:rPr>
          <w:rFonts w:asciiTheme="majorHAnsi" w:hAnsiTheme="majorHAnsi" w:cstheme="majorHAnsi"/>
          <w:color w:val="000000" w:themeColor="text1"/>
        </w:rPr>
        <w:t>in order to</w:t>
      </w:r>
      <w:proofErr w:type="gramEnd"/>
      <w:r w:rsidRPr="00AF54E2">
        <w:rPr>
          <w:rFonts w:asciiTheme="majorHAnsi" w:hAnsiTheme="majorHAnsi" w:cstheme="majorHAnsi"/>
          <w:color w:val="000000" w:themeColor="text1"/>
        </w:rPr>
        <w:t xml:space="preserve">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7DF119ED" w:rsidR="00AF54E2" w:rsidRPr="00AF54E2" w:rsidRDefault="00AF54E2" w:rsidP="00AF54E2">
      <w:pPr>
        <w:rPr>
          <w:rFonts w:asciiTheme="majorHAnsi" w:hAnsiTheme="majorHAnsi" w:cstheme="majorHAnsi"/>
        </w:rPr>
      </w:pPr>
    </w:p>
    <w:p w14:paraId="7F3926A1"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looked at the value that the Gaining FOA provided to ensure that equivalent value is covered by elements of the process going forward.</w:t>
      </w:r>
    </w:p>
    <w:p w14:paraId="4E8BE566" w14:textId="77777777" w:rsidR="00AF54E2" w:rsidRPr="00AF54E2" w:rsidRDefault="00AF54E2" w:rsidP="00AF54E2">
      <w:pPr>
        <w:rPr>
          <w:rFonts w:asciiTheme="majorHAnsi" w:hAnsiTheme="majorHAnsi" w:cstheme="majorHAnsi"/>
          <w:color w:val="000000" w:themeColor="text1"/>
        </w:rPr>
      </w:pPr>
    </w:p>
    <w:p w14:paraId="67EC5E15"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71E23846" w14:textId="77777777" w:rsidR="00AF54E2" w:rsidRPr="00AF54E2" w:rsidRDefault="00AF54E2" w:rsidP="00AF54E2">
      <w:pPr>
        <w:rPr>
          <w:rFonts w:asciiTheme="majorHAnsi" w:hAnsiTheme="majorHAnsi" w:cstheme="majorHAnsi"/>
          <w:color w:val="000000" w:themeColor="text1"/>
        </w:rPr>
      </w:pPr>
    </w:p>
    <w:p w14:paraId="0E95BDCF" w14:textId="79F147DD"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believes that the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ensure that the RNH receives the necessary information with respect to an inter-</w:t>
      </w:r>
      <w:r w:rsidR="00563290">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 These notifications provide instructions on what to do if the RNH wants to either stop or reverse the process because the action on the account is unauthorized or unintended. With respect to the confirmation function that the Gaining FOA served, the working group believes that this is duplicative and therefore unnecessary. The provision of the TAC is sufficient confirmation that the RNH intends to transfer the domain, and therefore the Gaining Registrar does not need to request this confirmation via another means. </w:t>
      </w:r>
    </w:p>
    <w:p w14:paraId="219F62BA" w14:textId="77777777" w:rsidR="00AF54E2" w:rsidRPr="00AF54E2" w:rsidRDefault="00AF54E2" w:rsidP="00AF54E2">
      <w:pPr>
        <w:rPr>
          <w:rFonts w:asciiTheme="majorHAnsi" w:hAnsiTheme="majorHAnsi" w:cstheme="majorHAnsi"/>
          <w:color w:val="000000" w:themeColor="text1"/>
        </w:rPr>
      </w:pPr>
    </w:p>
    <w:p w14:paraId="7A9B39B5" w14:textId="14A65489"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recalled that the Gaining FOA pre-dated the TAC, and that prior to the introduction of the TAC, the Gaining FOA was an essential element for facilitating the transfer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provided a function that was important to prevent the unauthorized transfer of domains. With the introduction of the TAC, an additional layer of security was added to the process, and the Gaining FOA became less essential. The </w:t>
      </w:r>
      <w:r w:rsidRPr="00AF54E2">
        <w:rPr>
          <w:rFonts w:asciiTheme="majorHAnsi" w:hAnsiTheme="majorHAnsi" w:cstheme="majorHAnsi"/>
          <w:color w:val="000000" w:themeColor="text1"/>
        </w:rPr>
        <w:lastRenderedPageBreak/>
        <w:t xml:space="preserve">working group further noted that it has recommended a series of measures to increase the security of the TAC and reduce the risk that the TAC is obtained by an unauthorized person, as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7-13. </w:t>
      </w:r>
      <w:r w:rsidRPr="00AF54E2">
        <w:rPr>
          <w:rFonts w:asciiTheme="majorHAnsi" w:hAnsiTheme="majorHAnsi" w:cstheme="majorHAnsi"/>
          <w:color w:val="000000" w:themeColor="text1"/>
        </w:rPr>
        <w:t>With added security measures, the TAC becomes a stronger means to demonstrate that the TAC holder is an appropriate party to request the transfer, which makes the authorization element of the Gaining FOA unnecessary.</w:t>
      </w:r>
    </w:p>
    <w:p w14:paraId="577FF450" w14:textId="26CF8F74" w:rsidR="00274DD8" w:rsidRPr="00AF54E2" w:rsidRDefault="00AF54E2" w:rsidP="00E23B15">
      <w:pPr>
        <w:rPr>
          <w:rFonts w:asciiTheme="majorHAnsi" w:hAnsiTheme="majorHAnsi" w:cstheme="majorHAnsi"/>
          <w:color w:val="000000" w:themeColor="text1"/>
        </w:rPr>
      </w:pPr>
      <w:r w:rsidRPr="00AF54E2">
        <w:rPr>
          <w:rFonts w:asciiTheme="majorHAnsi" w:hAnsiTheme="majorHAnsi" w:cstheme="majorHAnsi"/>
          <w:color w:val="000000" w:themeColor="text1"/>
        </w:rPr>
        <w:br/>
        <w:t>The working group not</w:t>
      </w:r>
      <w:r w:rsidR="00FF0990">
        <w:rPr>
          <w:rFonts w:asciiTheme="majorHAnsi" w:hAnsiTheme="majorHAnsi" w:cstheme="majorHAnsi"/>
          <w:color w:val="000000" w:themeColor="text1"/>
        </w:rPr>
        <w:t>ed</w:t>
      </w:r>
      <w:r w:rsidRPr="00AF54E2">
        <w:rPr>
          <w:rFonts w:asciiTheme="majorHAnsi" w:hAnsiTheme="majorHAnsi" w:cstheme="majorHAnsi"/>
          <w:color w:val="000000" w:themeColor="text1"/>
        </w:rPr>
        <w:t xml:space="preserve"> that while it was in use, the Gaining FOA provided a record to assist ICANN’s Contractual Compliance department in investigating complaints, especially those related to unauthorized transfers. It also supported the resolution of disputes. The </w:t>
      </w:r>
      <w:r w:rsidR="00EB5DF1">
        <w:rPr>
          <w:rFonts w:asciiTheme="majorHAnsi" w:hAnsiTheme="majorHAnsi" w:cstheme="majorHAnsi"/>
          <w:color w:val="000000" w:themeColor="text1"/>
        </w:rPr>
        <w:t>w</w:t>
      </w:r>
      <w:r w:rsidRPr="00AF54E2">
        <w:rPr>
          <w:rFonts w:asciiTheme="majorHAnsi" w:hAnsiTheme="majorHAnsi" w:cstheme="majorHAnsi"/>
          <w:color w:val="000000" w:themeColor="text1"/>
        </w:rPr>
        <w:t xml:space="preserve">orking </w:t>
      </w:r>
      <w:r w:rsidR="00EB5DF1">
        <w:rPr>
          <w:rFonts w:asciiTheme="majorHAnsi" w:hAnsiTheme="majorHAnsi" w:cstheme="majorHAnsi"/>
          <w:color w:val="000000" w:themeColor="text1"/>
        </w:rPr>
        <w:t>g</w:t>
      </w:r>
      <w:r w:rsidRPr="00AF54E2">
        <w:rPr>
          <w:rFonts w:asciiTheme="majorHAnsi" w:hAnsiTheme="majorHAnsi" w:cstheme="majorHAnsi"/>
          <w:color w:val="000000" w:themeColor="text1"/>
        </w:rPr>
        <w:t xml:space="preserve">roup noted that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 xml:space="preserve">will provide the necessary paper trail for this purpose. </w:t>
      </w:r>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15E0643" w:rsidR="00AF54E2" w:rsidRPr="00AF54E2" w:rsidRDefault="002647D7" w:rsidP="00AF54E2">
      <w:pPr>
        <w:rPr>
          <w:color w:val="000000" w:themeColor="text1"/>
        </w:rPr>
      </w:pPr>
      <w:bookmarkStart w:id="3"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3"/>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23FB22C3" w:rsidR="00AF54E2" w:rsidRDefault="00AF54E2" w:rsidP="00AF54E2">
      <w:r w:rsidRPr="00AF54E2">
        <w:rPr>
          <w:rFonts w:ascii="Calibri" w:hAnsi="Calibri" w:cs="Calibri"/>
          <w:color w:val="000000" w:themeColor="text1"/>
        </w:rPr>
        <w:t>As described in the above response to charter questions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The language from the Temporary Specification provides, “[u]</w:t>
      </w:r>
      <w:proofErr w:type="spellStart"/>
      <w:r w:rsidRPr="0034730F">
        <w:rPr>
          <w:rFonts w:ascii="Calibri" w:eastAsiaTheme="minorEastAsia" w:hAnsi="Calibri" w:cstheme="minorBidi"/>
          <w:i/>
          <w:iCs/>
          <w:lang w:eastAsia="en-US"/>
        </w:rPr>
        <w:t>ntil</w:t>
      </w:r>
      <w:proofErr w:type="spellEnd"/>
      <w:r w:rsidRPr="0034730F">
        <w:rPr>
          <w:rFonts w:ascii="Calibri" w:eastAsiaTheme="minorEastAsia" w:hAnsi="Calibri" w:cstheme="minorBidi"/>
          <w:i/>
          <w:iCs/>
          <w:lang w:eastAsia="en-US"/>
        </w:rPr>
        <w:t xml:space="preserve">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4FE1EF20"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 xml:space="preserve">roup determines the Gaining FOA is no longer needed, does the </w:t>
      </w:r>
      <w:proofErr w:type="spellStart"/>
      <w:r w:rsidRPr="0034730F">
        <w:rPr>
          <w:rFonts w:ascii="Calibri" w:hAnsi="Calibri" w:cs="Calibri"/>
          <w:i/>
          <w:iCs/>
          <w:color w:val="000000"/>
        </w:rPr>
        <w:t>AuthInfo</w:t>
      </w:r>
      <w:proofErr w:type="spellEnd"/>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 xml:space="preserve">security requirements around the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 xml:space="preserve">requirements added to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62B79659" w:rsidR="00AF54E2" w:rsidRPr="00AF54E2" w:rsidRDefault="00AF54E2" w:rsidP="00AF54E2">
      <w:pPr>
        <w:rPr>
          <w:color w:val="000000" w:themeColor="text1"/>
        </w:rPr>
      </w:pPr>
      <w:r w:rsidRPr="00AF54E2">
        <w:rPr>
          <w:rFonts w:ascii="Calibri" w:hAnsi="Calibri" w:cs="Calibri"/>
          <w:color w:val="000000" w:themeColor="text1"/>
        </w:rPr>
        <w:t xml:space="preserve">The working group has presented a series of enhancements to the security of the Transfer Authorization Code (TAC), formerly known as </w:t>
      </w:r>
      <w:r w:rsidR="0014573D">
        <w:rPr>
          <w:rFonts w:ascii="Calibri" w:hAnsi="Calibri" w:cs="Calibri"/>
          <w:color w:val="000000" w:themeColor="text1"/>
        </w:rPr>
        <w:t xml:space="preserve">the </w:t>
      </w:r>
      <w:proofErr w:type="spellStart"/>
      <w:r w:rsidRPr="00AF54E2">
        <w:rPr>
          <w:rFonts w:ascii="Calibri" w:hAnsi="Calibri" w:cs="Calibri"/>
          <w:color w:val="000000" w:themeColor="text1"/>
        </w:rPr>
        <w:t>AuthInfo</w:t>
      </w:r>
      <w:proofErr w:type="spellEnd"/>
      <w:r w:rsidRPr="00AF54E2">
        <w:rPr>
          <w:rFonts w:ascii="Calibri" w:hAnsi="Calibri" w:cs="Calibri"/>
          <w:color w:val="000000" w:themeColor="text1"/>
        </w:rPr>
        <w:t xml:space="preserve"> Code, in </w:t>
      </w:r>
      <w:r w:rsidR="00AF3D0D">
        <w:rPr>
          <w:rFonts w:ascii="Calibri" w:hAnsi="Calibri" w:cs="Calibri"/>
          <w:color w:val="000000" w:themeColor="text1"/>
        </w:rPr>
        <w:t>Preliminary R</w:t>
      </w:r>
      <w:r w:rsidRPr="00AF54E2">
        <w:rPr>
          <w:rFonts w:ascii="Calibri" w:hAnsi="Calibri" w:cs="Calibri"/>
          <w:color w:val="000000" w:themeColor="text1"/>
        </w:rPr>
        <w:t>ecommendation</w:t>
      </w:r>
      <w:r w:rsidR="004B63F0">
        <w:rPr>
          <w:rFonts w:ascii="Calibri" w:hAnsi="Calibri" w:cs="Calibri"/>
          <w:color w:val="000000" w:themeColor="text1"/>
        </w:rPr>
        <w:t xml:space="preserve">s 7-13. </w:t>
      </w:r>
      <w:r w:rsidRPr="00AF54E2">
        <w:rPr>
          <w:rFonts w:ascii="Calibri" w:hAnsi="Calibri" w:cs="Calibri"/>
          <w:color w:val="000000" w:themeColor="text1"/>
        </w:rPr>
        <w:t>The working group believes that the TAC will provide sufficient security with these improvements in place.</w:t>
      </w:r>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 xml:space="preserve">roup determines the Gaining FOA is no longer needed, does the transmission of the </w:t>
      </w:r>
      <w:proofErr w:type="spellStart"/>
      <w:r w:rsidRPr="0034730F">
        <w:rPr>
          <w:rFonts w:asciiTheme="majorHAnsi" w:hAnsiTheme="majorHAnsi" w:cstheme="majorHAnsi"/>
          <w:i/>
          <w:iCs/>
        </w:rPr>
        <w:t>AuthInfo</w:t>
      </w:r>
      <w:proofErr w:type="spellEnd"/>
      <w:r w:rsidRPr="0034730F">
        <w:rPr>
          <w:rFonts w:asciiTheme="majorHAnsi" w:hAnsiTheme="majorHAnsi" w:cstheme="majorHAnsi"/>
          <w:i/>
          <w:iCs/>
        </w:rPr>
        <w:t xml:space="preserve">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70F27633" w14:textId="1E3E3B51" w:rsidR="00AF54E2" w:rsidRDefault="00AF54E2" w:rsidP="00AF54E2">
      <w:r w:rsidRPr="00AF54E2">
        <w:rPr>
          <w:rFonts w:ascii="Calibri" w:hAnsi="Calibri" w:cs="Calibri"/>
          <w:color w:val="000000" w:themeColor="text1"/>
        </w:rPr>
        <w:t xml:space="preserve">It is the working group’s view that a sufficient “paper trail” will be provided by records associated with provision of the TAC and notifications to the RNH outlined in </w:t>
      </w:r>
      <w:r w:rsidR="00AF3D0D">
        <w:rPr>
          <w:rFonts w:ascii="Calibri" w:hAnsi="Calibri" w:cs="Calibri"/>
          <w:color w:val="000000" w:themeColor="text1"/>
        </w:rPr>
        <w:t>Preliminary R</w:t>
      </w:r>
      <w:r w:rsidRPr="00AF54E2">
        <w:rPr>
          <w:rFonts w:ascii="Calibri" w:hAnsi="Calibri" w:cs="Calibri"/>
          <w:color w:val="000000" w:themeColor="text1"/>
        </w:rPr>
        <w:t>ecommendations</w:t>
      </w:r>
      <w:r w:rsidR="004B63F0">
        <w:rPr>
          <w:rFonts w:ascii="Calibri" w:hAnsi="Calibri" w:cs="Calibri"/>
          <w:color w:val="000000" w:themeColor="text1"/>
        </w:rPr>
        <w:t xml:space="preserve"> 3-4.</w:t>
      </w: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w:t>
      </w:r>
      <w:r w:rsidRPr="0034730F">
        <w:rPr>
          <w:rFonts w:asciiTheme="majorHAnsi" w:hAnsiTheme="majorHAnsi" w:cstheme="majorHAnsi"/>
          <w:i/>
          <w:iCs/>
          <w:lang w:eastAsia="en-US"/>
        </w:rPr>
        <w:lastRenderedPageBreak/>
        <w:t xml:space="preserve">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5ECAE0F7"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egistrars must remove the lock within five days per requirements of the Transfer Policy.</w:t>
      </w:r>
      <w:r w:rsidR="0058103F">
        <w:rPr>
          <w:rStyle w:val="FootnoteReference"/>
          <w:rFonts w:cs="Calibri"/>
          <w:color w:val="000000" w:themeColor="text1"/>
        </w:rPr>
        <w:footnoteReference w:id="5"/>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A7364">
        <w:rPr>
          <w:rFonts w:ascii="Calibri" w:hAnsi="Calibri" w:cs="Calibri"/>
          <w:color w:val="000000" w:themeColor="text1"/>
        </w:rPr>
        <w:t>20-21</w:t>
      </w:r>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6"/>
      </w:r>
      <w:r w:rsidRPr="006620C4">
        <w:rPr>
          <w:rFonts w:ascii="Calibri" w:hAnsi="Calibri" w:cs="Calibri"/>
          <w:color w:val="000000" w:themeColor="text1"/>
        </w:rPr>
        <w:t xml:space="preserve"> while the restrictions discussed in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A7364">
        <w:rPr>
          <w:rFonts w:ascii="Calibri" w:hAnsi="Calibri" w:cs="Calibri"/>
          <w:color w:val="000000" w:themeColor="text1"/>
        </w:rPr>
        <w:t>20-21</w:t>
      </w:r>
      <w:r w:rsidRPr="006620C4">
        <w:rPr>
          <w:rFonts w:ascii="Calibri" w:hAnsi="Calibri" w:cs="Calibri"/>
          <w:color w:val="000000" w:themeColor="text1"/>
        </w:rPr>
        <w:t xml:space="preserve"> are triggered by a specific event and are not removable upon the request of the registrant.</w:t>
      </w:r>
    </w:p>
    <w:p w14:paraId="635BB512" w14:textId="2DF139E0"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It is the working group’s view that Registrars are in the best position to determine whether locking a domain by default upon registration is appropriate for their customers in combination with other security features implemented by the Registrar. The working group notes that there will be greater security related to inter-Registrar transfers following the implementation of </w:t>
      </w:r>
      <w:r w:rsidR="00AF3D0D">
        <w:rPr>
          <w:rFonts w:ascii="Calibri" w:hAnsi="Calibri" w:cs="Calibri"/>
          <w:color w:val="000000" w:themeColor="text1"/>
        </w:rPr>
        <w:t xml:space="preserve">Preliminary </w:t>
      </w:r>
      <w:r w:rsidR="0058103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F86541">
        <w:rPr>
          <w:rFonts w:ascii="Calibri" w:hAnsi="Calibri" w:cs="Calibri"/>
          <w:color w:val="000000" w:themeColor="text1"/>
        </w:rPr>
        <w:t>7-13</w:t>
      </w:r>
      <w:r w:rsidRPr="006620C4">
        <w:rPr>
          <w:rFonts w:ascii="Calibri" w:hAnsi="Calibri" w:cs="Calibri"/>
          <w:color w:val="000000" w:themeColor="text1"/>
        </w:rPr>
        <w:t xml:space="preserve"> for enhanced security of the TAC. 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7B73A76E" w14:textId="3B48EE57" w:rsidR="003535E1" w:rsidRPr="003535E1" w:rsidRDefault="003535E1" w:rsidP="003535E1">
      <w:pPr>
        <w:rPr>
          <w:color w:val="000000" w:themeColor="text1"/>
        </w:rPr>
      </w:pPr>
      <w:r w:rsidRPr="003535E1">
        <w:rPr>
          <w:rFonts w:ascii="Calibri" w:hAnsi="Calibri" w:cs="Calibri"/>
          <w:color w:val="000000" w:themeColor="text1"/>
        </w:rPr>
        <w:t xml:space="preserve">The working group acknowledged that the Losing FOA serves </w:t>
      </w:r>
      <w:proofErr w:type="gramStart"/>
      <w:r w:rsidRPr="003535E1">
        <w:rPr>
          <w:rFonts w:ascii="Calibri" w:hAnsi="Calibri" w:cs="Calibri"/>
          <w:color w:val="000000" w:themeColor="text1"/>
        </w:rPr>
        <w:t>a number of</w:t>
      </w:r>
      <w:proofErr w:type="gramEnd"/>
      <w:r w:rsidRPr="003535E1">
        <w:rPr>
          <w:rFonts w:ascii="Calibri" w:hAnsi="Calibri" w:cs="Calibri"/>
          <w:color w:val="000000" w:themeColor="text1"/>
        </w:rPr>
        <w:t xml:space="preserve"> important functions:</w:t>
      </w:r>
      <w:r w:rsidRPr="003535E1">
        <w:rPr>
          <w:color w:val="000000" w:themeColor="text1"/>
        </w:rPr>
        <w:br/>
      </w:r>
    </w:p>
    <w:p w14:paraId="1EEB0E97"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notifies the RNH that a transfer has been requested.</w:t>
      </w:r>
    </w:p>
    <w:p w14:paraId="3A9B726D"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In cases where the party requesting the TAC is different from the RNH receiving the Losing FOA, the Losing FOA provides an extra layer of security in the form of a “second factor” to ensure that the RNH is aware that the transfer is taking place.</w:t>
      </w:r>
    </w:p>
    <w:p w14:paraId="78818295"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t>
      </w:r>
    </w:p>
    <w:p w14:paraId="1B7B76CE" w14:textId="77777777" w:rsidR="003535E1" w:rsidRPr="003535E1" w:rsidRDefault="003535E1" w:rsidP="003535E1">
      <w:pPr>
        <w:rPr>
          <w:color w:val="000000" w:themeColor="text1"/>
        </w:rPr>
      </w:pPr>
    </w:p>
    <w:p w14:paraId="6A898D3B"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t>
      </w:r>
    </w:p>
    <w:p w14:paraId="39FC0CD1" w14:textId="77777777" w:rsidR="003535E1" w:rsidRPr="003535E1" w:rsidRDefault="003535E1" w:rsidP="003535E1">
      <w:pPr>
        <w:rPr>
          <w:color w:val="000000" w:themeColor="text1"/>
        </w:rPr>
      </w:pPr>
    </w:p>
    <w:p w14:paraId="1584757C" w14:textId="12DAF078" w:rsidR="003535E1" w:rsidRPr="003535E1" w:rsidRDefault="003535E1" w:rsidP="003535E1">
      <w:pPr>
        <w:rPr>
          <w:color w:val="000000" w:themeColor="text1"/>
        </w:rPr>
      </w:pPr>
      <w:r w:rsidRPr="003535E1">
        <w:rPr>
          <w:rFonts w:ascii="Calibri" w:hAnsi="Calibri" w:cs="Calibri"/>
          <w:color w:val="000000" w:themeColor="text1"/>
        </w:rPr>
        <w: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t>
      </w:r>
      <w:r w:rsidR="00AF3D0D">
        <w:rPr>
          <w:rFonts w:ascii="Calibri" w:hAnsi="Calibri" w:cs="Calibri"/>
          <w:color w:val="000000" w:themeColor="text1"/>
        </w:rPr>
        <w:t xml:space="preserve">Preliminary </w:t>
      </w:r>
      <w:r w:rsidR="00C16489">
        <w:rPr>
          <w:rFonts w:ascii="Calibri" w:hAnsi="Calibri" w:cs="Calibri"/>
          <w:color w:val="000000" w:themeColor="text1"/>
        </w:rPr>
        <w:t>R</w:t>
      </w:r>
      <w:r w:rsidRPr="003535E1">
        <w:rPr>
          <w:rFonts w:ascii="Calibri" w:hAnsi="Calibri" w:cs="Calibri"/>
          <w:color w:val="000000" w:themeColor="text1"/>
        </w:rPr>
        <w:t>ecommendations</w:t>
      </w:r>
      <w:r w:rsidR="00F86541">
        <w:rPr>
          <w:rFonts w:ascii="Calibri" w:hAnsi="Calibri" w:cs="Calibri"/>
          <w:color w:val="000000" w:themeColor="text1"/>
        </w:rPr>
        <w:t xml:space="preserve"> 7-13</w:t>
      </w:r>
      <w:r w:rsidRPr="003535E1">
        <w:rPr>
          <w:rFonts w:ascii="Calibri" w:hAnsi="Calibri" w:cs="Calibri"/>
          <w:color w:val="000000" w:themeColor="text1"/>
        </w:rPr>
        <w:t>, the risk of unauthorized transfer should be reduced.</w:t>
      </w:r>
    </w:p>
    <w:p w14:paraId="159BDB6F" w14:textId="77777777" w:rsidR="003535E1" w:rsidRPr="003535E1" w:rsidRDefault="003535E1" w:rsidP="003535E1">
      <w:pPr>
        <w:rPr>
          <w:color w:val="000000" w:themeColor="text1"/>
        </w:rPr>
      </w:pPr>
    </w:p>
    <w:p w14:paraId="173DEC72"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t>
      </w:r>
    </w:p>
    <w:p w14:paraId="3DA490F4" w14:textId="77777777" w:rsidR="003535E1" w:rsidRPr="003535E1" w:rsidRDefault="003535E1" w:rsidP="003535E1">
      <w:pPr>
        <w:rPr>
          <w:color w:val="000000" w:themeColor="text1"/>
        </w:rPr>
      </w:pPr>
    </w:p>
    <w:p w14:paraId="361879E3" w14:textId="380FC014" w:rsidR="003535E1" w:rsidRPr="003535E1" w:rsidRDefault="003535E1" w:rsidP="005F32F8">
      <w:pPr>
        <w:rPr>
          <w:color w:val="000000" w:themeColor="text1"/>
        </w:rPr>
      </w:pPr>
      <w:proofErr w:type="gramStart"/>
      <w:r w:rsidRPr="003535E1">
        <w:rPr>
          <w:rFonts w:ascii="Calibri" w:hAnsi="Calibri" w:cs="Calibri"/>
          <w:color w:val="000000" w:themeColor="text1"/>
        </w:rPr>
        <w:t>Taking into account</w:t>
      </w:r>
      <w:proofErr w:type="gramEnd"/>
      <w:r w:rsidRPr="003535E1">
        <w:rPr>
          <w:rFonts w:ascii="Calibri" w:hAnsi="Calibri" w:cs="Calibri"/>
          <w:color w:val="000000" w:themeColor="text1"/>
        </w:rPr>
        <w:t xml:space="preserve"> these considerations, the working group determined that the Losing FOA requirement should be eliminated and replaced with new requirements. These new requirements allow the transfer to occur in nearly real time while ensuring that: 1. The RNH is informed of an inter-Registrar transfer</w:t>
      </w:r>
      <w:r w:rsidR="0014573D">
        <w:rPr>
          <w:rFonts w:ascii="Calibri" w:hAnsi="Calibri" w:cs="Calibri"/>
          <w:color w:val="000000" w:themeColor="text1"/>
        </w:rPr>
        <w:t>,</w:t>
      </w:r>
      <w:r w:rsidRPr="003535E1">
        <w:rPr>
          <w:rFonts w:ascii="Calibri" w:hAnsi="Calibri" w:cs="Calibri"/>
          <w:color w:val="000000" w:themeColor="text1"/>
        </w:rPr>
        <w:t xml:space="preserve"> and 2. A sufficient record of the process is maintained to support investigation of complaints and resolution of disputes.</w:t>
      </w:r>
    </w:p>
    <w:p w14:paraId="7ACEFA52" w14:textId="77777777" w:rsidR="005F32F8" w:rsidRDefault="005F32F8" w:rsidP="005F32F8">
      <w:pPr>
        <w:rPr>
          <w:rFonts w:asciiTheme="majorHAnsi" w:hAnsiTheme="majorHAnsi"/>
          <w:b/>
          <w:bCs/>
        </w:rPr>
      </w:pPr>
    </w:p>
    <w:p w14:paraId="0B38AA61" w14:textId="4444C755"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5BD36E57" w14:textId="11E1B891" w:rsidR="0057629F" w:rsidRDefault="0057629F" w:rsidP="005F32F8">
      <w:pPr>
        <w:rPr>
          <w:rFonts w:asciiTheme="majorHAnsi" w:hAnsiTheme="majorHAnsi"/>
          <w:b/>
          <w:bCs/>
        </w:rPr>
      </w:pPr>
    </w:p>
    <w:p w14:paraId="2561C9E7" w14:textId="117762FB" w:rsidR="0057629F" w:rsidRPr="0057629F" w:rsidRDefault="00AF3D0D" w:rsidP="0057629F">
      <w:bookmarkStart w:id="4" w:name="Rec2"/>
      <w:r>
        <w:rPr>
          <w:rFonts w:ascii="Calibri" w:hAnsi="Calibri" w:cs="Calibri"/>
          <w:b/>
          <w:bCs/>
          <w:color w:val="000000"/>
          <w:u w:val="single"/>
        </w:rPr>
        <w:lastRenderedPageBreak/>
        <w:t xml:space="preserve">Preliminary </w:t>
      </w:r>
      <w:r w:rsidR="0057629F" w:rsidRPr="0057629F">
        <w:rPr>
          <w:rFonts w:ascii="Calibri" w:hAnsi="Calibri" w:cs="Calibri"/>
          <w:b/>
          <w:bCs/>
          <w:color w:val="000000"/>
          <w:u w:val="single"/>
        </w:rPr>
        <w:t>Recommendation 2</w:t>
      </w:r>
      <w:bookmarkEnd w:id="4"/>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eliminating from the Transfer Policy the requirement that the Registrar of Record send a Losing Form of Authorization.</w:t>
      </w:r>
      <w:r w:rsidR="0057629F">
        <w:rPr>
          <w:rStyle w:val="FootnoteReference"/>
          <w:rFonts w:cs="Calibri"/>
          <w:color w:val="000000"/>
        </w:rPr>
        <w:footnoteReference w:id="7"/>
      </w:r>
      <w:r w:rsidR="0057629F" w:rsidRPr="0057629F">
        <w:rPr>
          <w:rFonts w:ascii="Calibri" w:hAnsi="Calibri" w:cs="Calibri"/>
          <w:color w:val="000000"/>
        </w:rPr>
        <w:t xml:space="preserve"> This requirement is detailed in section I.A.3 of the Transfer Policy.</w:t>
      </w:r>
    </w:p>
    <w:p w14:paraId="338B7A83" w14:textId="77777777" w:rsidR="0057629F" w:rsidRPr="0057629F" w:rsidRDefault="0057629F" w:rsidP="0057629F"/>
    <w:p w14:paraId="78D85247" w14:textId="378347BD" w:rsidR="0057629F" w:rsidRDefault="00AF3D0D" w:rsidP="0057629F">
      <w:pPr>
        <w:rPr>
          <w:rFonts w:ascii="Calibri" w:hAnsi="Calibri" w:cs="Calibri"/>
          <w:color w:val="000000"/>
        </w:rPr>
      </w:pPr>
      <w:bookmarkStart w:id="5" w:name="Rec3"/>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3</w:t>
      </w:r>
      <w:bookmarkEnd w:id="5"/>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“Notification of TAC Provision”</w:t>
      </w:r>
      <w:r w:rsidR="0057629F">
        <w:rPr>
          <w:rStyle w:val="FootnoteReference"/>
          <w:rFonts w:cs="Calibri"/>
          <w:color w:val="000000"/>
        </w:rPr>
        <w:footnoteReference w:id="8"/>
      </w:r>
      <w:r w:rsidR="0057629F" w:rsidRPr="0057629F">
        <w:rPr>
          <w:rFonts w:ascii="Calibri" w:hAnsi="Calibri" w:cs="Calibri"/>
          <w:color w:val="000000"/>
        </w:rPr>
        <w:t xml:space="preserve"> to the RNH, as listed </w:t>
      </w:r>
      <w:r w:rsidR="0057629F" w:rsidRPr="0057629F">
        <w:rPr>
          <w:rFonts w:ascii="Calibri" w:hAnsi="Calibri" w:cs="Calibri"/>
          <w:color w:val="000000"/>
          <w:shd w:val="clear" w:color="auto" w:fill="FFFFFF"/>
        </w:rPr>
        <w:t>in the Registration Data at the time of the TAC request,</w:t>
      </w:r>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provides the TAC.</w:t>
      </w:r>
      <w:r w:rsidR="0057629F">
        <w:rPr>
          <w:rStyle w:val="FootnoteReference"/>
          <w:rFonts w:cs="Calibri"/>
          <w:color w:val="000000"/>
        </w:rPr>
        <w:footnoteReference w:id="9"/>
      </w:r>
      <w:r w:rsidR="0057629F" w:rsidRPr="0057629F">
        <w:rPr>
          <w:rFonts w:ascii="Calibri" w:hAnsi="Calibri" w:cs="Calibri"/>
          <w:color w:val="000000"/>
        </w:rPr>
        <w:t xml:space="preserve"> </w:t>
      </w:r>
    </w:p>
    <w:p w14:paraId="3EE993CA" w14:textId="34B8BCF0" w:rsidR="0057629F" w:rsidRDefault="0057629F" w:rsidP="0057629F">
      <w:pPr>
        <w:rPr>
          <w:rFonts w:ascii="Calibri" w:hAnsi="Calibri" w:cs="Calibri"/>
          <w:color w:val="000000"/>
        </w:rPr>
      </w:pPr>
    </w:p>
    <w:p w14:paraId="65ABEDC1" w14:textId="77777777"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This notification MUST be written in the language of the registration agreement and MAY also be provided in English or other languages. </w:t>
      </w:r>
    </w:p>
    <w:p w14:paraId="0FCCFAE7" w14:textId="77777777" w:rsidR="0057629F" w:rsidRPr="0057629F" w:rsidRDefault="0057629F" w:rsidP="00FE28C0">
      <w:pPr>
        <w:ind w:left="567"/>
      </w:pPr>
    </w:p>
    <w:p w14:paraId="45C23813" w14:textId="77777777"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The following elements MUST be included in the “Notification of TAC Provision”:  </w:t>
      </w:r>
    </w:p>
    <w:p w14:paraId="46EE07AB" w14:textId="77777777" w:rsidR="0057629F" w:rsidRP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Domain name(s)</w:t>
      </w:r>
    </w:p>
    <w:p w14:paraId="44C3F4C2"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Date and time that the TAC was provided and information about when the TAC will expire</w:t>
      </w:r>
    </w:p>
    <w:p w14:paraId="047D2FBB"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Instructions detailing how the RNH can </w:t>
      </w:r>
      <w:proofErr w:type="gramStart"/>
      <w:r w:rsidRPr="0057629F">
        <w:rPr>
          <w:rFonts w:ascii="Calibri" w:hAnsi="Calibri" w:cs="Calibri"/>
          <w:color w:val="000000"/>
        </w:rPr>
        <w:t>take action</w:t>
      </w:r>
      <w:proofErr w:type="gramEnd"/>
      <w:r w:rsidRPr="0057629F">
        <w:rPr>
          <w:rFonts w:ascii="Calibri" w:hAnsi="Calibri" w:cs="Calibri"/>
          <w:color w:val="000000"/>
        </w:rPr>
        <w:t xml:space="preserve"> if the request is invalid (how to invalidate the TAC)</w:t>
      </w:r>
    </w:p>
    <w:p w14:paraId="636814E9" w14:textId="5A3C4F67"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If the TAC has not been provided via another method of communication, this communication will include the TAC</w:t>
      </w:r>
    </w:p>
    <w:p w14:paraId="2E34FFCE" w14:textId="77777777" w:rsidR="0057629F" w:rsidRPr="0057629F" w:rsidRDefault="0057629F" w:rsidP="0057629F"/>
    <w:p w14:paraId="1B724029" w14:textId="58FD5B26" w:rsidR="0057629F" w:rsidRDefault="00AF3D0D" w:rsidP="005F32F8">
      <w:bookmarkStart w:id="6" w:name="Rec4"/>
      <w:r>
        <w:rPr>
          <w:rFonts w:ascii="Calibri" w:hAnsi="Calibri" w:cs="Calibri"/>
          <w:b/>
          <w:bCs/>
          <w:color w:val="000000"/>
          <w:u w:val="single"/>
        </w:rPr>
        <w:t xml:space="preserve">Preliminary </w:t>
      </w:r>
      <w:r w:rsidR="00FE28C0" w:rsidRPr="00FE28C0">
        <w:rPr>
          <w:rFonts w:ascii="Calibri" w:hAnsi="Calibri" w:cs="Calibri"/>
          <w:b/>
          <w:bCs/>
          <w:color w:val="000000"/>
          <w:u w:val="single"/>
        </w:rPr>
        <w:t>Recommendation 4</w:t>
      </w:r>
      <w:bookmarkEnd w:id="6"/>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0"/>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1"/>
      </w:r>
      <w:r w:rsidR="00FE28C0" w:rsidRPr="00FE28C0">
        <w:rPr>
          <w:rFonts w:ascii="Calibri" w:hAnsi="Calibri" w:cs="Calibri"/>
          <w:color w:val="000000"/>
        </w:rPr>
        <w:t xml:space="preserve"> to the RNH, as listed in the Registration Data at the time of the transfer request, without undue delay but no later than 24 hours after the transfer is completed. </w:t>
      </w:r>
    </w:p>
    <w:p w14:paraId="13FB421C" w14:textId="77777777" w:rsidR="00FE28C0" w:rsidRDefault="00FE28C0" w:rsidP="00FE28C0">
      <w:pPr>
        <w:ind w:left="720"/>
        <w:rPr>
          <w:rFonts w:ascii="Calibri" w:hAnsi="Calibri" w:cs="Calibri"/>
          <w:b/>
          <w:bCs/>
          <w:color w:val="000000"/>
          <w:u w:val="single"/>
        </w:rPr>
      </w:pPr>
    </w:p>
    <w:p w14:paraId="56FD9C3E" w14:textId="6725109D"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This notification MUST be written in the language of the registration agreement and MAY also be provided in English or 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w:t>
      </w:r>
      <w:r w:rsidRPr="00FE28C0">
        <w:rPr>
          <w:rFonts w:ascii="Calibri" w:hAnsi="Calibri" w:cs="Calibri"/>
          <w:color w:val="000000"/>
        </w:rPr>
        <w:lastRenderedPageBreak/>
        <w:t xml:space="preserve">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p>
    <w:p w14:paraId="0F0D500A" w14:textId="0CD5BD2C"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Domain name(s)</w:t>
      </w:r>
    </w:p>
    <w:p w14:paraId="0CC44BBB"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0A80AAD0"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 xml:space="preserve">Instructions detailing how the RNH can </w:t>
      </w:r>
      <w:proofErr w:type="gramStart"/>
      <w:r w:rsidRPr="00FE28C0">
        <w:rPr>
          <w:rFonts w:ascii="Calibri" w:hAnsi="Calibri" w:cs="Calibri"/>
          <w:color w:val="000000"/>
        </w:rPr>
        <w:t>take action</w:t>
      </w:r>
      <w:proofErr w:type="gramEnd"/>
      <w:r w:rsidRPr="00FE28C0">
        <w:rPr>
          <w:rFonts w:ascii="Calibri" w:hAnsi="Calibri" w:cs="Calibri"/>
          <w:color w:val="000000"/>
        </w:rPr>
        <w:t xml:space="preserve"> if the transfer was invalid (how to initiate a reversal)</w:t>
      </w:r>
    </w:p>
    <w:p w14:paraId="19BD40B4" w14:textId="77777777" w:rsidR="006141B4" w:rsidRDefault="006141B4" w:rsidP="006141B4">
      <w:pPr>
        <w:ind w:left="720"/>
        <w:rPr>
          <w:rFonts w:asciiTheme="majorHAnsi" w:hAnsiTheme="majorHAnsi" w:cstheme="majorHAnsi"/>
        </w:rPr>
      </w:pPr>
    </w:p>
    <w:p w14:paraId="23C05FA3" w14:textId="3107DFEA" w:rsidR="00E55DBB" w:rsidRDefault="006141B4" w:rsidP="006141B4">
      <w:pPr>
        <w:ind w:left="720"/>
        <w:rPr>
          <w:rFonts w:asciiTheme="majorHAnsi" w:hAnsiTheme="majorHAnsi" w:cstheme="majorHAnsi"/>
        </w:rPr>
      </w:pPr>
      <w:r w:rsidRPr="006141B4">
        <w:rPr>
          <w:rFonts w:asciiTheme="majorHAnsi" w:hAnsiTheme="majorHAnsi" w:cstheme="majorHAnsi"/>
        </w:rPr>
        <w:t xml:space="preserve">Note: The </w:t>
      </w:r>
      <w:r>
        <w:rPr>
          <w:rFonts w:asciiTheme="majorHAnsi" w:hAnsiTheme="majorHAnsi" w:cstheme="majorHAnsi"/>
        </w:rPr>
        <w:t>working group has included the following question for community input regarding Preliminary Recommendation 4.3 as part of the public comment process on the Initial Report:</w:t>
      </w:r>
    </w:p>
    <w:p w14:paraId="1625DEDD" w14:textId="117343AD" w:rsidR="00196020" w:rsidRDefault="00196020" w:rsidP="006141B4">
      <w:pPr>
        <w:ind w:left="720"/>
        <w:rPr>
          <w:rFonts w:asciiTheme="majorHAnsi" w:hAnsiTheme="majorHAnsi" w:cstheme="majorHAnsi"/>
        </w:rPr>
      </w:pPr>
    </w:p>
    <w:p w14:paraId="78E65F4A" w14:textId="77777777" w:rsidR="002269EC" w:rsidRPr="002269EC" w:rsidRDefault="002269EC" w:rsidP="002269EC">
      <w:pPr>
        <w:pStyle w:val="NormalWeb"/>
        <w:spacing w:before="0" w:beforeAutospacing="0" w:after="0" w:afterAutospacing="0"/>
        <w:ind w:left="709"/>
        <w:rPr>
          <w:rFonts w:asciiTheme="majorHAnsi" w:hAnsiTheme="majorHAnsi" w:cstheme="majorHAnsi"/>
          <w:i/>
          <w:iCs/>
          <w:sz w:val="24"/>
          <w:szCs w:val="24"/>
        </w:rPr>
      </w:pPr>
      <w:r w:rsidRPr="002269EC">
        <w:rPr>
          <w:rFonts w:asciiTheme="majorHAnsi" w:hAnsiTheme="majorHAnsi" w:cstheme="majorHAnsi"/>
          <w:i/>
          <w:iCs/>
          <w:color w:val="000000"/>
          <w:sz w:val="24"/>
          <w:szCs w:val="24"/>
        </w:rPr>
        <w:t xml:space="preserve">As detailed in Recommendations 3-4, the working group is recommending replacing the </w:t>
      </w:r>
      <w:hyperlink r:id="rId38" w:history="1">
        <w:r w:rsidRPr="002269EC">
          <w:rPr>
            <w:rStyle w:val="Hyperlink"/>
            <w:rFonts w:asciiTheme="majorHAnsi" w:hAnsiTheme="majorHAnsi" w:cstheme="majorHAnsi"/>
            <w:i/>
            <w:iCs/>
            <w:color w:val="1155CC"/>
            <w:sz w:val="24"/>
            <w:szCs w:val="24"/>
          </w:rPr>
          <w:t>Standardized Losing FOA</w:t>
        </w:r>
      </w:hyperlink>
      <w:r w:rsidRPr="002269EC">
        <w:rPr>
          <w:rFonts w:asciiTheme="majorHAnsi" w:hAnsiTheme="majorHAnsi" w:cstheme="majorHAnsi"/>
          <w:i/>
          <w:iCs/>
          <w:color w:val="000000"/>
          <w:sz w:val="24"/>
          <w:szCs w:val="24"/>
        </w:rPr>
        <w:t xml:space="preserve"> with two notifications to the Registered Name Holder: (</w:t>
      </w:r>
      <w:proofErr w:type="spellStart"/>
      <w:r w:rsidRPr="002269EC">
        <w:rPr>
          <w:rFonts w:asciiTheme="majorHAnsi" w:hAnsiTheme="majorHAnsi" w:cstheme="majorHAnsi"/>
          <w:i/>
          <w:iCs/>
          <w:color w:val="000000"/>
          <w:sz w:val="24"/>
          <w:szCs w:val="24"/>
        </w:rPr>
        <w:t>i</w:t>
      </w:r>
      <w:proofErr w:type="spellEnd"/>
      <w:r w:rsidRPr="002269EC">
        <w:rPr>
          <w:rFonts w:asciiTheme="majorHAnsi" w:hAnsiTheme="majorHAnsi" w:cstheme="majorHAnsi"/>
          <w:i/>
          <w:iCs/>
          <w:color w:val="000000"/>
          <w:sz w:val="24"/>
          <w:szCs w:val="24"/>
        </w:rPr>
        <w:t xml:space="preserve">) a required “Notification of TAC Provision” and (ii) a required “Notification of Transfer Completion”. Recommendation 4 details the minimum elements to be included in the Notification of Transfer Completion, including, for example, domain name, date/time of transfer completion, instructions on how to </w:t>
      </w:r>
      <w:proofErr w:type="gramStart"/>
      <w:r w:rsidRPr="002269EC">
        <w:rPr>
          <w:rFonts w:asciiTheme="majorHAnsi" w:hAnsiTheme="majorHAnsi" w:cstheme="majorHAnsi"/>
          <w:i/>
          <w:iCs/>
          <w:color w:val="000000"/>
          <w:sz w:val="24"/>
          <w:szCs w:val="24"/>
        </w:rPr>
        <w:t>take action</w:t>
      </w:r>
      <w:proofErr w:type="gramEnd"/>
      <w:r w:rsidRPr="002269EC">
        <w:rPr>
          <w:rFonts w:asciiTheme="majorHAnsi" w:hAnsiTheme="majorHAnsi" w:cstheme="majorHAnsi"/>
          <w:i/>
          <w:iCs/>
          <w:color w:val="000000"/>
          <w:sz w:val="24"/>
          <w:szCs w:val="24"/>
        </w:rPr>
        <w:t xml:space="preserve"> if the transfer is invalid. The working group discussed the possibility of including the IANA ID of the Gaining Registrar within this notification. </w:t>
      </w:r>
    </w:p>
    <w:p w14:paraId="38E287A7" w14:textId="77777777" w:rsidR="002269EC" w:rsidRPr="002269EC" w:rsidRDefault="002269EC" w:rsidP="002269EC">
      <w:pPr>
        <w:ind w:left="709"/>
        <w:rPr>
          <w:rFonts w:asciiTheme="majorHAnsi" w:hAnsiTheme="majorHAnsi" w:cstheme="majorHAnsi"/>
          <w:i/>
          <w:iCs/>
        </w:rPr>
      </w:pPr>
    </w:p>
    <w:p w14:paraId="657AEF8D" w14:textId="77777777" w:rsidR="002269EC" w:rsidRPr="002269EC" w:rsidRDefault="002269EC" w:rsidP="002269EC">
      <w:pPr>
        <w:pStyle w:val="NormalWeb"/>
        <w:spacing w:before="0" w:beforeAutospacing="0" w:after="0" w:afterAutospacing="0"/>
        <w:ind w:left="709"/>
        <w:rPr>
          <w:rFonts w:asciiTheme="majorHAnsi" w:hAnsiTheme="majorHAnsi" w:cstheme="majorHAnsi"/>
          <w:i/>
          <w:iCs/>
          <w:sz w:val="24"/>
          <w:szCs w:val="24"/>
        </w:rPr>
      </w:pPr>
      <w:r w:rsidRPr="002269EC">
        <w:rPr>
          <w:rFonts w:asciiTheme="majorHAnsi" w:hAnsiTheme="majorHAnsi" w:cstheme="majorHAnsi"/>
          <w:i/>
          <w:iCs/>
          <w:color w:val="000000"/>
          <w:sz w:val="24"/>
          <w:szCs w:val="24"/>
        </w:rPr>
        <w:t>Note: The IANA ID is the unique number provided by ICANN to each accredited Registrar. The IANA ID can be helpful in identifying the correct Registrar, especially in situations where Registrars have similar names and/or have multiple subsidiaries with similar names.</w:t>
      </w:r>
    </w:p>
    <w:p w14:paraId="3844E4EA" w14:textId="77777777" w:rsidR="002269EC" w:rsidRPr="002269EC" w:rsidRDefault="002269EC" w:rsidP="002269EC">
      <w:pPr>
        <w:ind w:left="709"/>
        <w:rPr>
          <w:rFonts w:asciiTheme="majorHAnsi" w:hAnsiTheme="majorHAnsi" w:cstheme="majorHAnsi"/>
          <w:i/>
          <w:iCs/>
        </w:rPr>
      </w:pPr>
    </w:p>
    <w:p w14:paraId="460EC60A" w14:textId="77777777" w:rsidR="002269EC" w:rsidRPr="002269EC" w:rsidRDefault="002269EC" w:rsidP="002269EC">
      <w:pPr>
        <w:pStyle w:val="NormalWeb"/>
        <w:spacing w:before="0" w:beforeAutospacing="0" w:after="0" w:afterAutospacing="0"/>
        <w:ind w:left="709"/>
        <w:rPr>
          <w:rFonts w:asciiTheme="majorHAnsi" w:hAnsiTheme="majorHAnsi" w:cstheme="majorHAnsi"/>
          <w:i/>
          <w:iCs/>
          <w:sz w:val="24"/>
          <w:szCs w:val="24"/>
        </w:rPr>
      </w:pPr>
      <w:r w:rsidRPr="002269EC">
        <w:rPr>
          <w:rFonts w:asciiTheme="majorHAnsi" w:hAnsiTheme="majorHAnsi" w:cstheme="majorHAnsi"/>
          <w:i/>
          <w:iCs/>
          <w:color w:val="000000"/>
          <w:sz w:val="24"/>
          <w:szCs w:val="24"/>
        </w:rPr>
        <w:t>In the working group’s discussion, Registrars noted that not all Registry Operators use the Gaining Registrar’s IANA ID when notifying a Losing Registrar of a pending transfer request. Instead, some Registry Operators use a separate, internal client ID that does not correspond to the IANA ID. Registry representatives asked if this question could be included in the public comment forum to allow additional time to discuss if it would be feasible to include the IANA ID when notifying the Registrar via EPP or otherwise, which would then allow the Losing Registrar to provide the IANA ID in the Notification of Transfer Completion. Please note all commenters are welcome to respond to this question, not just Registry Operators. </w:t>
      </w:r>
    </w:p>
    <w:p w14:paraId="3FD05017" w14:textId="77777777" w:rsidR="002269EC" w:rsidRPr="002269EC" w:rsidRDefault="002269EC" w:rsidP="002269EC">
      <w:pPr>
        <w:ind w:left="709"/>
        <w:rPr>
          <w:rFonts w:asciiTheme="majorHAnsi" w:hAnsiTheme="majorHAnsi" w:cstheme="majorHAnsi"/>
          <w:i/>
          <w:iCs/>
        </w:rPr>
      </w:pPr>
    </w:p>
    <w:p w14:paraId="6F09914D" w14:textId="471569BC" w:rsidR="002269EC" w:rsidRPr="002269EC" w:rsidRDefault="002269EC" w:rsidP="002269EC">
      <w:pPr>
        <w:pStyle w:val="NormalWeb"/>
        <w:spacing w:before="0" w:beforeAutospacing="0" w:after="0" w:afterAutospacing="0"/>
        <w:ind w:left="709"/>
        <w:rPr>
          <w:rFonts w:asciiTheme="majorHAnsi" w:hAnsiTheme="majorHAnsi" w:cstheme="majorHAnsi"/>
          <w:i/>
          <w:iCs/>
          <w:sz w:val="24"/>
          <w:szCs w:val="24"/>
        </w:rPr>
      </w:pPr>
      <w:r w:rsidRPr="002269EC">
        <w:rPr>
          <w:rFonts w:asciiTheme="majorHAnsi" w:hAnsiTheme="majorHAnsi" w:cstheme="majorHAnsi"/>
          <w:b/>
          <w:bCs/>
          <w:i/>
          <w:iCs/>
          <w:color w:val="000000"/>
          <w:sz w:val="24"/>
          <w:szCs w:val="24"/>
        </w:rPr>
        <w:t xml:space="preserve">Question to the community: Should the Gaining Registrar’s IANA ID be provided by the Registry Operator to the Losing Registrar so that it may be included in </w:t>
      </w:r>
      <w:r w:rsidRPr="002269EC">
        <w:rPr>
          <w:rFonts w:asciiTheme="majorHAnsi" w:hAnsiTheme="majorHAnsi" w:cstheme="majorHAnsi"/>
          <w:b/>
          <w:bCs/>
          <w:i/>
          <w:iCs/>
          <w:color w:val="000000"/>
          <w:sz w:val="24"/>
          <w:szCs w:val="24"/>
        </w:rPr>
        <w:lastRenderedPageBreak/>
        <w:t>the Notification of Transfer Completion sent by the Losing Registrar to the Registered Name Holder? Why or why not?  Please explain.</w:t>
      </w:r>
    </w:p>
    <w:p w14:paraId="3DF32724" w14:textId="77777777" w:rsidR="00196020" w:rsidRPr="00196020" w:rsidRDefault="00196020" w:rsidP="00196020">
      <w:pPr>
        <w:ind w:left="720"/>
        <w:rPr>
          <w:rFonts w:asciiTheme="majorHAnsi" w:hAnsiTheme="majorHAnsi" w:cstheme="majorHAnsi"/>
          <w:b/>
          <w:bCs/>
          <w:i/>
          <w:iCs/>
        </w:rPr>
      </w:pPr>
    </w:p>
    <w:p w14:paraId="7CF983F4" w14:textId="0C5FA174" w:rsidR="00E55DBB" w:rsidRDefault="00E55DBB" w:rsidP="00E55DBB">
      <w:pPr>
        <w:pStyle w:val="Heading3"/>
        <w:rPr>
          <w:rFonts w:asciiTheme="majorHAnsi" w:hAnsiTheme="majorHAnsi"/>
        </w:rPr>
      </w:pPr>
      <w:r>
        <w:rPr>
          <w:rFonts w:asciiTheme="majorHAnsi" w:hAnsiTheme="majorHAnsi"/>
        </w:rPr>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es of Registrars and 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2"/>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77777777" w:rsidR="00571421" w:rsidRPr="00571421" w:rsidRDefault="00571421" w:rsidP="00571421">
      <w:pPr>
        <w:rPr>
          <w:color w:val="000000" w:themeColor="text1"/>
        </w:rPr>
      </w:pPr>
      <w:r w:rsidRPr="00571421">
        <w:rPr>
          <w:rFonts w:ascii="Calibri" w:hAnsi="Calibri" w:cs="Calibri"/>
          <w:color w:val="000000" w:themeColor="text1"/>
        </w:rPr>
        <w:t>The working group did not identify any additional proposals to pursue in this regard.</w:t>
      </w:r>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w:t>
      </w:r>
      <w:proofErr w:type="spellStart"/>
      <w:r>
        <w:rPr>
          <w:rFonts w:asciiTheme="majorHAnsi" w:hAnsiTheme="majorHAnsi"/>
        </w:rPr>
        <w:t>AuthInfo</w:t>
      </w:r>
      <w:proofErr w:type="spellEnd"/>
      <w:r>
        <w:rPr>
          <w:rFonts w:asciiTheme="majorHAnsi" w:hAnsiTheme="majorHAnsi"/>
        </w:rPr>
        <w:t xml:space="preserve">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hyperlink r:id="rId39" w:history="1">
        <w:r w:rsidRPr="000F4B93">
          <w:rPr>
            <w:rStyle w:val="Hyperlink"/>
            <w:rFonts w:asciiTheme="majorHAnsi" w:hAnsiTheme="majorHAnsi"/>
          </w:rPr>
          <w:t>Final Issue Report</w:t>
        </w:r>
      </w:hyperlink>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t xml:space="preserve">Is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w:t>
      </w:r>
      <w:proofErr w:type="spellStart"/>
      <w:r w:rsidRPr="00CB0A4E">
        <w:rPr>
          <w:rFonts w:asciiTheme="majorHAnsi" w:hAnsiTheme="majorHAnsi" w:cstheme="majorHAnsi"/>
          <w:color w:val="000000" w:themeColor="text1"/>
          <w:sz w:val="24"/>
          <w:szCs w:val="24"/>
        </w:rPr>
        <w:t>AuthInfo</w:t>
      </w:r>
      <w:proofErr w:type="spellEnd"/>
      <w:r w:rsidRPr="00CB0A4E">
        <w:rPr>
          <w:rFonts w:asciiTheme="majorHAnsi" w:hAnsiTheme="majorHAnsi" w:cstheme="majorHAnsi"/>
          <w:color w:val="000000" w:themeColor="text1"/>
          <w:sz w:val="24"/>
          <w:szCs w:val="24"/>
        </w:rPr>
        <w:t xml:space="preserve"> Code and ensure that terminology is clear before addressing specific security requirements. The working group used the following text on </w:t>
      </w:r>
      <w:hyperlink r:id="rId40" w:history="1">
        <w:r w:rsidRPr="000162AE">
          <w:rPr>
            <w:rStyle w:val="Hyperlink"/>
            <w:rFonts w:asciiTheme="majorHAnsi" w:hAnsiTheme="majorHAnsi" w:cstheme="majorHAnsi"/>
            <w:sz w:val="24"/>
            <w:szCs w:val="24"/>
          </w:rPr>
          <w:t>ICANN.org</w:t>
        </w:r>
      </w:hyperlink>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domain name in a generic top-level domain (gTLD). An Auth-Code is required for a Registered Name Holder to transfer a domain name from one Registrar to another.” The working group agreed that the term “identify” is inappropriate in this context, because 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considered that </w:t>
      </w:r>
      <w:proofErr w:type="gramStart"/>
      <w:r w:rsidRPr="00CB0A4E">
        <w:rPr>
          <w:rFonts w:asciiTheme="majorHAnsi" w:hAnsiTheme="majorHAnsi" w:cstheme="majorHAnsi"/>
          <w:color w:val="000000" w:themeColor="text1"/>
          <w:sz w:val="24"/>
          <w:szCs w:val="24"/>
        </w:rPr>
        <w:t>a number of</w:t>
      </w:r>
      <w:proofErr w:type="gramEnd"/>
      <w:r w:rsidRPr="00CB0A4E">
        <w:rPr>
          <w:rFonts w:asciiTheme="majorHAnsi" w:hAnsiTheme="majorHAnsi" w:cstheme="majorHAnsi"/>
          <w:color w:val="000000" w:themeColor="text1"/>
          <w:sz w:val="24"/>
          <w:szCs w:val="24"/>
        </w:rPr>
        <w:t xml:space="preserve"> different terms currently apply to the same concept, including </w:t>
      </w:r>
      <w:proofErr w:type="spellStart"/>
      <w:r w:rsidRPr="00CB0A4E">
        <w:rPr>
          <w:rFonts w:asciiTheme="majorHAnsi" w:hAnsiTheme="majorHAnsi" w:cstheme="majorHAnsi"/>
          <w:color w:val="000000" w:themeColor="text1"/>
          <w:sz w:val="24"/>
          <w:szCs w:val="24"/>
        </w:rPr>
        <w:t>AuthInfo</w:t>
      </w:r>
      <w:proofErr w:type="spellEnd"/>
      <w:r w:rsidRPr="00CB0A4E">
        <w:rPr>
          <w:rFonts w:asciiTheme="majorHAnsi" w:hAnsiTheme="majorHAnsi" w:cstheme="majorHAnsi"/>
          <w:color w:val="000000" w:themeColor="text1"/>
          <w:sz w:val="24"/>
          <w:szCs w:val="24"/>
        </w:rPr>
        <w:t xml:space="preserve">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Regarding the security of the TAC, the working group agreed that metrics could support deliberations on charter question b1. </w:t>
      </w:r>
      <w:proofErr w:type="gramStart"/>
      <w:r w:rsidRPr="00CB0A4E">
        <w:rPr>
          <w:rFonts w:asciiTheme="majorHAnsi" w:hAnsiTheme="majorHAnsi" w:cstheme="majorHAnsi"/>
          <w:color w:val="000000" w:themeColor="text1"/>
          <w:sz w:val="24"/>
          <w:szCs w:val="24"/>
        </w:rPr>
        <w:t>In particular, working</w:t>
      </w:r>
      <w:proofErr w:type="gramEnd"/>
      <w:r w:rsidRPr="00CB0A4E">
        <w:rPr>
          <w:rFonts w:asciiTheme="majorHAnsi" w:hAnsiTheme="majorHAnsi" w:cstheme="majorHAnsi"/>
          <w:color w:val="000000" w:themeColor="text1"/>
          <w:sz w:val="24"/>
          <w:szCs w:val="24"/>
        </w:rPr>
        <w:t xml:space="preserve">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3"/>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w:t>
      </w:r>
      <w:r w:rsidRPr="00CB0A4E">
        <w:rPr>
          <w:rFonts w:asciiTheme="majorHAnsi" w:hAnsiTheme="majorHAnsi" w:cstheme="majorHAnsi"/>
          <w:color w:val="000000" w:themeColor="text1"/>
          <w:sz w:val="24"/>
          <w:szCs w:val="24"/>
        </w:rPr>
        <w:lastRenderedPageBreak/>
        <w:t>about unauthorized transfers.</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While the working group agreed that it is difficult to 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7D3E2025" w:rsidR="001A6E43" w:rsidRPr="001A6E43" w:rsidRDefault="001A6E43" w:rsidP="001A6E43">
      <w:pPr>
        <w:rPr>
          <w:color w:val="000000" w:themeColor="text1"/>
        </w:rPr>
      </w:pPr>
      <w:r w:rsidRPr="001A6E43">
        <w:rPr>
          <w:rFonts w:ascii="Calibri" w:hAnsi="Calibri" w:cs="Calibri"/>
          <w:color w:val="000000" w:themeColor="text1"/>
        </w:rPr>
        <w:t xml:space="preserve">The working group considered that in addition to examining metrics regarding past performance, it is important to consider future-state objectives for the TAC. The working group agreed that from this perspective, additional security features are appropriate to protect the RNH, particularly </w:t>
      </w:r>
      <w:proofErr w:type="gramStart"/>
      <w:r w:rsidRPr="001A6E43">
        <w:rPr>
          <w:rFonts w:ascii="Calibri" w:hAnsi="Calibri" w:cs="Calibri"/>
          <w:color w:val="000000" w:themeColor="text1"/>
        </w:rPr>
        <w:t>in light of</w:t>
      </w:r>
      <w:proofErr w:type="gramEnd"/>
      <w:r w:rsidRPr="001A6E43">
        <w:rPr>
          <w:rFonts w:ascii="Calibri" w:hAnsi="Calibri" w:cs="Calibri"/>
          <w:color w:val="000000" w:themeColor="text1"/>
        </w:rPr>
        <w:t xml:space="preserve"> working group </w:t>
      </w:r>
      <w:r w:rsidR="0031288E">
        <w:rPr>
          <w:rFonts w:ascii="Calibri" w:hAnsi="Calibri" w:cs="Calibri"/>
          <w:color w:val="000000" w:themeColor="text1"/>
        </w:rPr>
        <w:t xml:space="preserve">preliminary </w:t>
      </w:r>
      <w:r w:rsidRPr="001A6E43">
        <w:rPr>
          <w:rFonts w:ascii="Calibri" w:hAnsi="Calibri" w:cs="Calibri"/>
          <w:color w:val="000000" w:themeColor="text1"/>
        </w:rPr>
        <w:t xml:space="preserve">recommendations to replace requirements for the Gaining and Losing FOA with notifications to the RNH. In considering potential security enhancements, the working group considered the benefits of requiring these measures, while also </w:t>
      </w:r>
      <w:proofErr w:type="gramStart"/>
      <w:r w:rsidRPr="001A6E43">
        <w:rPr>
          <w:rFonts w:ascii="Calibri" w:hAnsi="Calibri" w:cs="Calibri"/>
          <w:color w:val="000000" w:themeColor="text1"/>
        </w:rPr>
        <w:t>taking into account</w:t>
      </w:r>
      <w:proofErr w:type="gramEnd"/>
      <w:r w:rsidRPr="001A6E43">
        <w:rPr>
          <w:rFonts w:ascii="Calibri" w:hAnsi="Calibri" w:cs="Calibri"/>
          <w:color w:val="000000" w:themeColor="text1"/>
        </w:rPr>
        <w:t xml:space="preserve">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69856D28" w14:textId="63914E98" w:rsidR="001A6E43" w:rsidRPr="001A6E43" w:rsidRDefault="00AF3D0D" w:rsidP="001A6E43">
      <w:bookmarkStart w:id="7" w:name="Rec5"/>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5</w:t>
      </w:r>
      <w:bookmarkEnd w:id="7"/>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Transfer Policy and all related policies MUST use the term “Transfer Authorization Code (TAC)” in place of the </w:t>
      </w:r>
      <w:proofErr w:type="gramStart"/>
      <w:r w:rsidR="001A6E43" w:rsidRPr="001A6E43">
        <w:rPr>
          <w:rFonts w:ascii="Calibri" w:hAnsi="Calibri" w:cs="Calibri"/>
          <w:color w:val="000000"/>
        </w:rPr>
        <w:t>currently-used</w:t>
      </w:r>
      <w:proofErr w:type="gramEnd"/>
      <w:r w:rsidR="001A6E43" w:rsidRPr="001A6E43">
        <w:rPr>
          <w:rFonts w:ascii="Calibri" w:hAnsi="Calibri" w:cs="Calibri"/>
          <w:color w:val="000000"/>
        </w:rPr>
        <w:t xml:space="preserve"> term “</w:t>
      </w:r>
      <w:proofErr w:type="spellStart"/>
      <w:r w:rsidR="001A6E43" w:rsidRPr="001A6E43">
        <w:rPr>
          <w:rFonts w:ascii="Calibri" w:hAnsi="Calibri" w:cs="Calibri"/>
          <w:color w:val="000000"/>
        </w:rPr>
        <w:t>AuthInfo</w:t>
      </w:r>
      <w:proofErr w:type="spellEnd"/>
      <w:r w:rsidR="001A6E43" w:rsidRPr="001A6E43">
        <w:rPr>
          <w:rFonts w:ascii="Calibri" w:hAnsi="Calibri" w:cs="Calibri"/>
          <w:color w:val="000000"/>
        </w:rPr>
        <w:t xml:space="preserve"> Code” and related terms. This recommendation is for an update to terminology only and does not imply any other changes to the substance of the policies.</w:t>
      </w:r>
    </w:p>
    <w:p w14:paraId="3EB97AA9" w14:textId="77777777" w:rsidR="001A6E43" w:rsidRPr="001A6E43" w:rsidRDefault="001A6E43" w:rsidP="001A6E43">
      <w:r w:rsidRPr="001A6E43">
        <w:t> </w:t>
      </w:r>
    </w:p>
    <w:p w14:paraId="6CA38B25" w14:textId="0E6ACD24" w:rsidR="001A6E43" w:rsidRPr="001A6E43" w:rsidRDefault="00AF3D0D" w:rsidP="001A6E43">
      <w:bookmarkStart w:id="8" w:name="Rec6"/>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6</w:t>
      </w:r>
      <w:bookmarkEnd w:id="8"/>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r w:rsidR="00E10C97">
        <w:rPr>
          <w:rStyle w:val="FootnoteReference"/>
          <w:rFonts w:cs="Calibri"/>
          <w:color w:val="000000"/>
        </w:rPr>
        <w:footnoteReference w:id="15"/>
      </w:r>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6"/>
      </w:r>
      <w:r w:rsidR="001A6E43" w:rsidRPr="001A6E43">
        <w:rPr>
          <w:rFonts w:ascii="Calibri" w:hAnsi="Calibri" w:cs="Calibri"/>
          <w:color w:val="000000"/>
        </w:rPr>
        <w:t xml:space="preserve"> Relevant policy language MUST be updated to be consistent with this definition.</w:t>
      </w:r>
    </w:p>
    <w:p w14:paraId="16EE2F4B" w14:textId="7B5ADA72" w:rsidR="001A6E43" w:rsidRDefault="001A6E43" w:rsidP="005F32F8">
      <w:pPr>
        <w:rPr>
          <w:rFonts w:asciiTheme="majorHAnsi" w:hAnsiTheme="majorHAnsi"/>
          <w:b/>
          <w:bCs/>
        </w:rPr>
      </w:pPr>
    </w:p>
    <w:p w14:paraId="687899C7" w14:textId="10494EA0" w:rsidR="00EC628E" w:rsidRPr="001A6E43" w:rsidRDefault="00AF3D0D" w:rsidP="00BE6522">
      <w:pPr>
        <w:rPr>
          <w:rFonts w:asciiTheme="majorHAnsi" w:hAnsiTheme="majorHAnsi"/>
          <w:b/>
          <w:bCs/>
        </w:rPr>
      </w:pPr>
      <w:bookmarkStart w:id="9" w:name="Rec7"/>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9"/>
      <w:r w:rsidR="001A6E43" w:rsidRPr="001A6E43">
        <w:rPr>
          <w:rFonts w:asciiTheme="majorHAnsi" w:hAnsiTheme="majorHAnsi"/>
          <w:b/>
          <w:bCs/>
        </w:rPr>
        <w:t xml:space="preserve">: </w:t>
      </w:r>
      <w:r w:rsidR="00EC628E" w:rsidRPr="00EC628E">
        <w:rPr>
          <w:rFonts w:ascii="Calibri" w:hAnsi="Calibri" w:cs="Calibri"/>
          <w:color w:val="000000"/>
          <w:shd w:val="clear" w:color="auto" w:fill="FFFFFF"/>
          <w:lang w:eastAsia="en-US"/>
        </w:rPr>
        <w:t xml:space="preserve">The working group recommends that the minimum requirements for the composition of a TAC MUST be as specified in RFC 9154 (and its </w:t>
      </w:r>
      <w:r w:rsidR="00EC628E" w:rsidRPr="00EC628E">
        <w:rPr>
          <w:rFonts w:ascii="Calibri" w:hAnsi="Calibri" w:cs="Calibri"/>
          <w:color w:val="000000"/>
          <w:shd w:val="clear" w:color="auto" w:fill="FFFFFF"/>
          <w:lang w:eastAsia="en-US"/>
        </w:rPr>
        <w:lastRenderedPageBreak/>
        <w:t>update and replacement RFCs). In addition, where random values are required by RFC 9154, such values MUST be created according to BCP 106.</w:t>
      </w:r>
      <w:r w:rsidR="00EC628E">
        <w:rPr>
          <w:rStyle w:val="FootnoteReference"/>
          <w:rFonts w:cs="Calibri"/>
          <w:color w:val="000000"/>
          <w:shd w:val="clear" w:color="auto" w:fill="FFFFFF"/>
          <w:lang w:eastAsia="en-US"/>
        </w:rPr>
        <w:footnoteReference w:id="17"/>
      </w:r>
      <w:r w:rsidR="00EC628E" w:rsidRPr="00EC628E">
        <w:rPr>
          <w:rFonts w:ascii="Calibri" w:hAnsi="Calibri" w:cs="Calibri"/>
          <w:color w:val="000000"/>
          <w:shd w:val="clear" w:color="auto" w:fill="FFFFFF"/>
          <w:lang w:eastAsia="en-US"/>
        </w:rPr>
        <w:t xml:space="preserve">  </w:t>
      </w:r>
    </w:p>
    <w:p w14:paraId="677B370E" w14:textId="77777777" w:rsidR="001A6E43" w:rsidRPr="005F32F8" w:rsidRDefault="001A6E43" w:rsidP="005F32F8">
      <w:pPr>
        <w:rPr>
          <w:rFonts w:asciiTheme="majorHAnsi" w:hAnsiTheme="majorHAnsi"/>
          <w:b/>
          <w:bCs/>
        </w:rPr>
      </w:pPr>
    </w:p>
    <w:p w14:paraId="17E8A034" w14:textId="5AEBB178" w:rsidR="001A6E43" w:rsidRPr="001A6E43" w:rsidRDefault="00AF3D0D" w:rsidP="001A6E43">
      <w:bookmarkStart w:id="10" w:name="Rec8"/>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8</w:t>
      </w:r>
      <w:bookmarkEnd w:id="10"/>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Registry verifies at the time that the TAC is stored in the Registry system that the TAC meets the requirements specified in </w:t>
      </w:r>
      <w:r w:rsidR="0031288E">
        <w:rPr>
          <w:rFonts w:ascii="Calibri" w:hAnsi="Calibri" w:cs="Calibri"/>
          <w:color w:val="000000"/>
        </w:rPr>
        <w:t xml:space="preserve">Preliminary </w:t>
      </w:r>
      <w:r w:rsidR="001A6E43" w:rsidRPr="001A6E43">
        <w:rPr>
          <w:rFonts w:ascii="Calibri" w:hAnsi="Calibri" w:cs="Calibri"/>
          <w:color w:val="000000"/>
        </w:rPr>
        <w:t>Recommendation 7.</w:t>
      </w:r>
    </w:p>
    <w:p w14:paraId="29CD6AFB" w14:textId="77777777" w:rsidR="00E55DBB" w:rsidRPr="00E55DBB" w:rsidRDefault="00E55DBB" w:rsidP="00E55DBB"/>
    <w:p w14:paraId="32745098" w14:textId="01B79F30" w:rsidR="00E55DBB" w:rsidRDefault="00E55DBB" w:rsidP="00E55DBB">
      <w:pPr>
        <w:pStyle w:val="Heading3"/>
        <w:rPr>
          <w:rFonts w:asciiTheme="majorHAnsi" w:hAnsiTheme="majorHAnsi"/>
        </w:rPr>
      </w:pPr>
      <w:r>
        <w:rPr>
          <w:rFonts w:asciiTheme="majorHAnsi" w:hAnsiTheme="majorHAnsi"/>
        </w:rPr>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be the authoritative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5F012CB8" w:rsidR="00CB0A4E" w:rsidRPr="00CB0A4E"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should continue to generate the TAC, set the TAC in the Registry platform, and provide the TAC to the RNH or their designated representative. The working group further agreed that the Registry should continue to verify the validity of the TAC.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11"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11"/>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28254C7B" w:rsidR="00E10C97" w:rsidRPr="00E10C97" w:rsidRDefault="00E10C97" w:rsidP="00E10C97">
      <w:pPr>
        <w:ind w:left="720"/>
      </w:pPr>
      <w:r w:rsidRPr="00E10C97">
        <w:rPr>
          <w:rFonts w:ascii="Calibri" w:hAnsi="Calibri" w:cs="Calibri"/>
          <w:b/>
          <w:bCs/>
          <w:color w:val="000000"/>
          <w:u w:val="single"/>
        </w:rPr>
        <w:lastRenderedPageBreak/>
        <w:t>9.1</w:t>
      </w:r>
      <w:r w:rsidRPr="00E10C97">
        <w:rPr>
          <w:rFonts w:ascii="Calibri" w:hAnsi="Calibri" w:cs="Calibri"/>
          <w:color w:val="000000"/>
        </w:rPr>
        <w:t xml:space="preserve">: The TAC MUST </w:t>
      </w:r>
      <w:r w:rsidR="0014573D">
        <w:rPr>
          <w:rFonts w:ascii="Calibri" w:hAnsi="Calibri" w:cs="Calibri"/>
          <w:color w:val="000000"/>
        </w:rPr>
        <w:t xml:space="preserve">only be </w:t>
      </w:r>
      <w:r w:rsidRPr="00E10C97">
        <w:rPr>
          <w:rFonts w:ascii="Calibri" w:hAnsi="Calibri" w:cs="Calibri"/>
          <w:color w:val="000000"/>
        </w:rPr>
        <w:t>generated by the Registrar of Record upon request by the RNH or their designated representative.</w:t>
      </w:r>
    </w:p>
    <w:p w14:paraId="4308D882" w14:textId="77777777" w:rsidR="00E10C97" w:rsidRPr="00E10C97" w:rsidRDefault="00E10C97" w:rsidP="00E10C97"/>
    <w:p w14:paraId="35F3C73A" w14:textId="39F3E1FA" w:rsidR="006D2697" w:rsidRDefault="00E10C97" w:rsidP="006D2697">
      <w:pPr>
        <w:ind w:left="720"/>
        <w:rPr>
          <w:rFonts w:ascii="Calibri" w:hAnsi="Calibri" w:cs="Calibri"/>
          <w:color w:val="000000"/>
        </w:rPr>
      </w:pPr>
      <w:r w:rsidRPr="00E10C97">
        <w:rPr>
          <w:rFonts w:ascii="Calibri" w:hAnsi="Calibri" w:cs="Calibri"/>
          <w:b/>
          <w:bCs/>
          <w:color w:val="000000"/>
          <w:u w:val="single"/>
        </w:rPr>
        <w:t>9.2</w:t>
      </w:r>
      <w:r w:rsidRPr="00E10C97">
        <w:rPr>
          <w:rFonts w:ascii="Calibri" w:hAnsi="Calibri" w:cs="Calibri"/>
          <w:color w:val="000000"/>
        </w:rPr>
        <w:t xml:space="preserve">: When the Registrar of Record sets the TAC at the Registry, the Registry MUST </w:t>
      </w:r>
      <w:r w:rsidR="009A6466" w:rsidRPr="009A6466">
        <w:rPr>
          <w:rFonts w:ascii="Calibri" w:hAnsi="Calibri" w:cs="Calibri"/>
          <w:color w:val="000000"/>
        </w:rPr>
        <w:t>store the TAC securely, at least according to the minimum standard set forth in RFC 9154</w:t>
      </w:r>
      <w:r w:rsidR="009A6466">
        <w:rPr>
          <w:rFonts w:ascii="Calibri" w:hAnsi="Calibri" w:cs="Calibri"/>
          <w:color w:val="000000"/>
        </w:rPr>
        <w:t>.</w:t>
      </w:r>
    </w:p>
    <w:p w14:paraId="3B198CA3" w14:textId="77777777" w:rsidR="006D2697" w:rsidRDefault="006D2697" w:rsidP="006D2697">
      <w:pPr>
        <w:ind w:left="720"/>
        <w:rPr>
          <w:rFonts w:ascii="Calibri" w:hAnsi="Calibri" w:cs="Calibri"/>
          <w:color w:val="000000"/>
        </w:rPr>
      </w:pPr>
    </w:p>
    <w:p w14:paraId="65BA5A31" w14:textId="13C72F8E" w:rsidR="006D2697" w:rsidRPr="006D2697" w:rsidRDefault="006D2697" w:rsidP="006D2697">
      <w:pPr>
        <w:ind w:left="720"/>
        <w:rPr>
          <w:rFonts w:ascii="Calibri" w:hAnsi="Calibri" w:cs="Calibri"/>
          <w:color w:val="000000"/>
        </w:rPr>
      </w:pPr>
      <w:r w:rsidRPr="001B0C6B">
        <w:rPr>
          <w:rFonts w:ascii="Calibri" w:hAnsi="Calibri" w:cs="Calibri"/>
          <w:b/>
          <w:bCs/>
          <w:color w:val="000000"/>
          <w:u w:val="single"/>
        </w:rPr>
        <w:t>Implementation Guidance for Recommendation 9.2</w:t>
      </w:r>
      <w:r w:rsidRPr="006D2697">
        <w:rPr>
          <w:rFonts w:ascii="Calibri" w:hAnsi="Calibri" w:cs="Calibri"/>
          <w:color w:val="000000"/>
        </w:rPr>
        <w:t>: RFC 9154 recommends using a strong one-way cryptographic hash with at least a 256-bit hash function, such as SHA-256 [FIPS-180-4], and with a per-authorization information random salt with at least 128 bits.</w:t>
      </w:r>
      <w:r w:rsidR="00E40E9E">
        <w:rPr>
          <w:rStyle w:val="FootnoteReference"/>
          <w:rFonts w:cs="Calibri"/>
          <w:color w:val="000000"/>
        </w:rPr>
        <w:footnoteReference w:id="18"/>
      </w:r>
    </w:p>
    <w:p w14:paraId="1587E353" w14:textId="77777777" w:rsidR="00E10C97" w:rsidRPr="00E10C97" w:rsidRDefault="00E10C97" w:rsidP="00E10C97"/>
    <w:p w14:paraId="192891B7" w14:textId="77777777" w:rsidR="00E10C97" w:rsidRPr="00E10C97" w:rsidRDefault="00E10C97" w:rsidP="00E10C97">
      <w:pPr>
        <w:ind w:left="720"/>
      </w:pPr>
      <w:r w:rsidRPr="00E10C97">
        <w:rPr>
          <w:rFonts w:ascii="Calibri" w:hAnsi="Calibri" w:cs="Calibri"/>
          <w:b/>
          <w:bCs/>
          <w:color w:val="000000"/>
          <w:u w:val="single"/>
        </w:rPr>
        <w:t>9.3</w:t>
      </w:r>
      <w:r w:rsidRPr="00E10C97">
        <w:rPr>
          <w:rFonts w:ascii="Calibri" w:hAnsi="Calibri" w:cs="Calibri"/>
          <w:color w:val="000000"/>
        </w:rPr>
        <w:t>: When the Registrar of Record provides the TAC to the RNH or their designated representative, the Registrar of Record MUST also provide information about when the TAC will expire.</w:t>
      </w:r>
    </w:p>
    <w:p w14:paraId="446AD38D" w14:textId="77777777" w:rsidR="00E10C97" w:rsidRPr="00E10C97" w:rsidRDefault="00E10C97" w:rsidP="00E10C97"/>
    <w:p w14:paraId="754943D1" w14:textId="1BE5378B" w:rsidR="00E10C97" w:rsidRPr="00E10C97" w:rsidRDefault="00F4578A" w:rsidP="00E10C97">
      <w:bookmarkStart w:id="12" w:name="Rec10"/>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10</w:t>
      </w:r>
      <w:bookmarkEnd w:id="12"/>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confirms the following provision of </w:t>
      </w:r>
      <w:r w:rsidR="00E10C97" w:rsidRPr="00E10C97">
        <w:rPr>
          <w:rFonts w:ascii="Calibri" w:hAnsi="Calibri" w:cs="Calibri"/>
          <w:color w:val="000000"/>
          <w:shd w:val="clear" w:color="auto" w:fill="FFFFFF"/>
        </w:rPr>
        <w:t xml:space="preserve">Appendix G: Supplemental Procedures to the Transfer Policy contained in </w:t>
      </w:r>
      <w:r w:rsidR="00E10C97" w:rsidRPr="00E10C97">
        <w:rPr>
          <w:rFonts w:ascii="Calibri" w:hAnsi="Calibri" w:cs="Calibri"/>
          <w:color w:val="000000"/>
        </w:rPr>
        <w:t xml:space="preserve">the </w:t>
      </w:r>
      <w:r w:rsidR="00E10C97" w:rsidRPr="00E10C97">
        <w:rPr>
          <w:rFonts w:ascii="Calibri" w:hAnsi="Calibri" w:cs="Calibri"/>
          <w:color w:val="000000"/>
          <w:shd w:val="clear" w:color="auto" w:fill="FFFFFF"/>
        </w:rPr>
        <w:t>Temporary Specification for gTLD Registration Data: “</w:t>
      </w:r>
      <w:r w:rsidR="00E10C97" w:rsidRPr="00E10C97">
        <w:rPr>
          <w:rFonts w:ascii="Calibri" w:hAnsi="Calibri" w:cs="Calibri"/>
          <w:color w:val="000000"/>
        </w:rPr>
        <w:t>4. Registry Operator MUST verify that the "</w:t>
      </w:r>
      <w:proofErr w:type="spellStart"/>
      <w:r w:rsidR="00E10C97" w:rsidRPr="00E10C97">
        <w:rPr>
          <w:rFonts w:ascii="Calibri" w:hAnsi="Calibri" w:cs="Calibri"/>
          <w:color w:val="000000"/>
        </w:rPr>
        <w:t>AuthInfo</w:t>
      </w:r>
      <w:proofErr w:type="spellEnd"/>
      <w:r w:rsidR="00E10C97" w:rsidRPr="00E10C97">
        <w:rPr>
          <w:rFonts w:ascii="Calibri" w:hAnsi="Calibri" w:cs="Calibri"/>
          <w:color w:val="000000"/>
        </w:rPr>
        <w:t xml:space="preserve">" code provided by the Gaining Registrar is valid </w:t>
      </w:r>
      <w:proofErr w:type="gramStart"/>
      <w:r w:rsidR="00E10C97" w:rsidRPr="00E10C97">
        <w:rPr>
          <w:rFonts w:ascii="Calibri" w:hAnsi="Calibri" w:cs="Calibri"/>
          <w:color w:val="000000"/>
        </w:rPr>
        <w:t>in order to</w:t>
      </w:r>
      <w:proofErr w:type="gramEnd"/>
      <w:r w:rsidR="00E10C97" w:rsidRPr="00E10C97">
        <w:rPr>
          <w:rFonts w:ascii="Calibri" w:hAnsi="Calibri" w:cs="Calibri"/>
          <w:color w:val="000000"/>
        </w:rPr>
        <w:t xml:space="preserve"> accept an inter-registrar transfer request,” with terminology updates in accordance with other relevant recommendations.</w:t>
      </w:r>
    </w:p>
    <w:p w14:paraId="16BB9174" w14:textId="272DB415" w:rsidR="00E10C97" w:rsidRPr="00E10C97" w:rsidRDefault="00E10C97" w:rsidP="00E10C97">
      <w:r w:rsidRPr="00E10C97">
        <w:br/>
      </w:r>
      <w:bookmarkStart w:id="13"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13"/>
      <w:r w:rsidRPr="00E10C97">
        <w:rPr>
          <w:rFonts w:ascii="Calibri" w:hAnsi="Calibri" w:cs="Calibri"/>
          <w:b/>
          <w:bCs/>
          <w:color w:val="000000"/>
        </w:rPr>
        <w:t xml:space="preserve">: </w:t>
      </w:r>
      <w:r w:rsidRPr="00E10C97">
        <w:rPr>
          <w:rFonts w:ascii="Calibri" w:hAnsi="Calibri" w:cs="Calibri"/>
          <w:color w:val="000000"/>
        </w:rPr>
        <w:t>The working group recommends that the TAC</w:t>
      </w:r>
      <w:r w:rsidR="00E90092">
        <w:rPr>
          <w:rFonts w:ascii="Calibri" w:hAnsi="Calibri" w:cs="Calibri"/>
          <w:color w:val="000000"/>
        </w:rPr>
        <w:t xml:space="preserve"> </w:t>
      </w:r>
      <w:r w:rsidR="00E90092" w:rsidRPr="00E90092">
        <w:rPr>
          <w:rFonts w:ascii="Calibri" w:hAnsi="Calibri" w:cs="Calibri"/>
          <w:color w:val="000000"/>
        </w:rPr>
        <w:t>as created by the Registrar of Record according to Preliminary Recommendation 7,</w:t>
      </w:r>
      <w:r w:rsidR="0014573D">
        <w:rPr>
          <w:rFonts w:ascii="Calibri" w:hAnsi="Calibri" w:cs="Calibri"/>
          <w:color w:val="000000"/>
        </w:rPr>
        <w:t xml:space="preserve"> </w:t>
      </w:r>
      <w:r w:rsidRPr="00E10C97">
        <w:rPr>
          <w:rFonts w:ascii="Calibri" w:hAnsi="Calibri" w:cs="Calibri"/>
          <w:color w:val="000000"/>
        </w:rPr>
        <w:t xml:space="preserve">MUST be “one-time use.” In other words, it MUST be used no more than once per domain name. The Registry Operator MUST clear the TAC as part of completing the successful transfer request. </w:t>
      </w:r>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 xml:space="preserve">egistrars to provide the </w:t>
      </w:r>
      <w:proofErr w:type="spellStart"/>
      <w:r w:rsidRPr="0034730F">
        <w:rPr>
          <w:rFonts w:asciiTheme="majorHAnsi" w:hAnsiTheme="majorHAnsi" w:cstheme="majorHAnsi"/>
          <w:i/>
          <w:iCs/>
        </w:rPr>
        <w:t>AuthInfo</w:t>
      </w:r>
      <w:proofErr w:type="spellEnd"/>
      <w:r w:rsidRPr="0034730F">
        <w:rPr>
          <w:rFonts w:asciiTheme="majorHAnsi" w:hAnsiTheme="majorHAnsi" w:cstheme="majorHAnsi"/>
          <w:i/>
          <w:iCs/>
        </w:rPr>
        <w:t xml:space="preserve">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w:t>
      </w:r>
      <w:proofErr w:type="spellStart"/>
      <w:r w:rsidRPr="0034730F">
        <w:rPr>
          <w:rFonts w:asciiTheme="majorHAnsi" w:hAnsiTheme="majorHAnsi" w:cstheme="majorHAnsi"/>
          <w:i/>
          <w:iCs/>
        </w:rPr>
        <w:t>AuthInfo</w:t>
      </w:r>
      <w:proofErr w:type="spellEnd"/>
      <w:r w:rsidRPr="0034730F">
        <w:rPr>
          <w:rFonts w:asciiTheme="majorHAnsi" w:hAnsiTheme="majorHAnsi" w:cstheme="majorHAnsi"/>
          <w:i/>
          <w:iCs/>
        </w:rPr>
        <w:t xml:space="preserve">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2CB41E78" w:rsidR="00CB0A4E" w:rsidRPr="00CB0A4E" w:rsidRDefault="00CB0A4E" w:rsidP="005F32F8">
      <w:pPr>
        <w:rPr>
          <w:color w:val="000000" w:themeColor="text1"/>
        </w:rPr>
      </w:pPr>
      <w:r w:rsidRPr="00CB0A4E">
        <w:rPr>
          <w:rFonts w:ascii="Calibri" w:hAnsi="Calibri" w:cs="Calibri"/>
          <w:color w:val="000000" w:themeColor="text1"/>
        </w:rPr>
        <w:lastRenderedPageBreak/>
        <w:t xml:space="preserve">The working group agreed that the Transfer Policy should continue to require Registrars to provide the TAC to the RNH or their designated representative within a specified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following a request. While some working group members felt that the standard time frame for provision of the TAC should be shorter than five calendar days, 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provided.</w:t>
      </w:r>
      <w:r w:rsidRPr="00CB0A4E">
        <w:rPr>
          <w:rFonts w:ascii="Calibri" w:hAnsi="Calibri" w:cs="Calibri"/>
          <w:color w:val="000000" w:themeColor="text1"/>
          <w:shd w:val="clear" w:color="auto" w:fill="FFFF00"/>
        </w:rPr>
        <w:t xml:space="preserve"> </w:t>
      </w:r>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9E76828" w14:textId="6072DAA0" w:rsidR="00E10C97" w:rsidRPr="00E10C97" w:rsidRDefault="00F4578A" w:rsidP="005F32F8">
      <w:bookmarkStart w:id="14" w:name="Rec12"/>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12</w:t>
      </w:r>
      <w:bookmarkEnd w:id="14"/>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provide the TAC to the RNH or their designated representative within five calendar days of a request, although the working group recommends that the policy state the requirement as 120 hours rather than 5 calendar days to reduce any risk of confusion. The working group further recommends that the policy MUST make clear that 120 hours is the maximum and not the standard period in which the TAC is to be provided. </w:t>
      </w:r>
    </w:p>
    <w:p w14:paraId="0C25D113" w14:textId="77777777" w:rsidR="005F32F8" w:rsidRPr="00E55DBB" w:rsidRDefault="005F32F8" w:rsidP="00E55DBB"/>
    <w:p w14:paraId="6E0CD553" w14:textId="0197A046" w:rsidR="00E55DBB" w:rsidRDefault="00E55DBB" w:rsidP="00E55DBB">
      <w:pPr>
        <w:pStyle w:val="Heading3"/>
        <w:rPr>
          <w:rFonts w:asciiTheme="majorHAnsi" w:hAnsiTheme="majorHAnsi"/>
        </w:rPr>
      </w:pPr>
      <w:r>
        <w:rPr>
          <w:rFonts w:asciiTheme="majorHAnsi" w:hAnsiTheme="majorHAnsi"/>
        </w:rPr>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 xml:space="preserve">o Live (TTL) for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In other words, should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15"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15"/>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23CFE6EF"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A standard Time to Live (TTL) for the TAC MUST be 14 calendar days from the time it is set at the Registry, enforced by the Registries. </w:t>
      </w:r>
    </w:p>
    <w:p w14:paraId="2087A20F" w14:textId="77777777" w:rsidR="00E10C97" w:rsidRPr="00E10C97" w:rsidRDefault="00E10C97" w:rsidP="00E10C97">
      <w:pPr>
        <w:ind w:left="720"/>
      </w:pPr>
    </w:p>
    <w:p w14:paraId="5487BF99" w14:textId="12F551F2" w:rsidR="00E10C97" w:rsidRPr="00E10C97" w:rsidRDefault="00E10C97" w:rsidP="001B0C6B">
      <w:pPr>
        <w:ind w:left="720"/>
        <w:rPr>
          <w:rFonts w:ascii="Calibri" w:hAnsi="Calibri" w:cs="Calibri"/>
          <w:color w:val="000000"/>
        </w:rPr>
      </w:pPr>
      <w:r w:rsidRPr="00E10C97">
        <w:rPr>
          <w:rFonts w:ascii="Calibri" w:hAnsi="Calibri" w:cs="Calibri"/>
          <w:b/>
          <w:bCs/>
          <w:color w:val="000000"/>
          <w:u w:val="single"/>
        </w:rPr>
        <w:t>13.2:</w:t>
      </w:r>
      <w:r w:rsidRPr="00E10C97">
        <w:rPr>
          <w:rFonts w:ascii="Calibri" w:hAnsi="Calibri" w:cs="Calibri"/>
          <w:color w:val="000000"/>
        </w:rPr>
        <w:t xml:space="preserve"> The Registrar of Record MAY set the TAC to null</w:t>
      </w:r>
      <w:r w:rsidR="007E3AF9">
        <w:rPr>
          <w:rFonts w:ascii="Calibri" w:hAnsi="Calibri" w:cs="Calibri"/>
          <w:color w:val="000000"/>
        </w:rPr>
        <w:t xml:space="preserve"> a</w:t>
      </w:r>
      <w:r w:rsidRPr="00E10C97">
        <w:rPr>
          <w:rFonts w:ascii="Calibri" w:hAnsi="Calibri" w:cs="Calibri"/>
          <w:color w:val="000000"/>
        </w:rPr>
        <w:t>fter a period of less than 14 days by agreement by the Registrar of Record and the RNH.</w:t>
      </w:r>
    </w:p>
    <w:p w14:paraId="36CB1E15" w14:textId="17B3111E" w:rsidR="00E55DBB" w:rsidRDefault="00E55DBB" w:rsidP="00E55DBB"/>
    <w:p w14:paraId="1BBA89E4" w14:textId="1FC9ECB1" w:rsidR="000C23D3" w:rsidRDefault="00C45720" w:rsidP="002269EC">
      <w:pPr>
        <w:ind w:left="720"/>
        <w:rPr>
          <w:rFonts w:asciiTheme="majorHAnsi" w:hAnsiTheme="majorHAnsi" w:cstheme="majorHAnsi"/>
        </w:rPr>
      </w:pPr>
      <w:r w:rsidRPr="006141B4">
        <w:rPr>
          <w:rFonts w:asciiTheme="majorHAnsi" w:hAnsiTheme="majorHAnsi" w:cstheme="majorHAnsi"/>
        </w:rPr>
        <w:t xml:space="preserve">Note: The </w:t>
      </w:r>
      <w:r>
        <w:rPr>
          <w:rFonts w:asciiTheme="majorHAnsi" w:hAnsiTheme="majorHAnsi" w:cstheme="majorHAnsi"/>
        </w:rPr>
        <w:t xml:space="preserve">working group has included the following question for community input regarding Preliminary Recommendation </w:t>
      </w:r>
      <w:r w:rsidR="000C23D3">
        <w:rPr>
          <w:rFonts w:asciiTheme="majorHAnsi" w:hAnsiTheme="majorHAnsi" w:cstheme="majorHAnsi"/>
        </w:rPr>
        <w:t>13.1</w:t>
      </w:r>
      <w:r>
        <w:rPr>
          <w:rFonts w:asciiTheme="majorHAnsi" w:hAnsiTheme="majorHAnsi" w:cstheme="majorHAnsi"/>
        </w:rPr>
        <w:t xml:space="preserve"> as part of the public comment process on the Initial Report:</w:t>
      </w:r>
    </w:p>
    <w:p w14:paraId="208A0C7B" w14:textId="6B0441E7" w:rsidR="002269EC" w:rsidRDefault="002269EC" w:rsidP="002269EC">
      <w:pPr>
        <w:ind w:left="720"/>
        <w:rPr>
          <w:rFonts w:asciiTheme="majorHAnsi" w:hAnsiTheme="majorHAnsi" w:cstheme="majorHAnsi"/>
        </w:rPr>
      </w:pPr>
    </w:p>
    <w:p w14:paraId="3B066AB2" w14:textId="40D838FA"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i/>
          <w:iCs/>
        </w:rPr>
        <w:t xml:space="preserve">The working group noted that the standard Time to Live (TTL), as referenced in </w:t>
      </w:r>
      <w:hyperlink r:id="rId41" w:history="1">
        <w:r w:rsidRPr="002269EC">
          <w:rPr>
            <w:rStyle w:val="Hyperlink"/>
            <w:rFonts w:asciiTheme="majorHAnsi" w:hAnsiTheme="majorHAnsi" w:cstheme="majorHAnsi"/>
            <w:i/>
            <w:iCs/>
          </w:rPr>
          <w:t>Preliminary Recommendation 13.1</w:t>
        </w:r>
      </w:hyperlink>
      <w:r w:rsidRPr="002269EC">
        <w:rPr>
          <w:rFonts w:asciiTheme="majorHAnsi" w:hAnsiTheme="majorHAnsi" w:cstheme="majorHAnsi"/>
          <w:i/>
          <w:iCs/>
        </w:rPr>
        <w:t xml:space="preserve"> is the period of time that the TAC is valid once the TAC has been created. The purpose of the standard TTL is to enforce security around unused TACs (e.g.</w:t>
      </w:r>
      <w:r w:rsidR="0014573D">
        <w:rPr>
          <w:rFonts w:asciiTheme="majorHAnsi" w:hAnsiTheme="majorHAnsi" w:cstheme="majorHAnsi"/>
          <w:i/>
          <w:iCs/>
        </w:rPr>
        <w:t>,</w:t>
      </w:r>
      <w:r w:rsidRPr="002269EC">
        <w:rPr>
          <w:rFonts w:asciiTheme="majorHAnsi" w:hAnsiTheme="majorHAnsi" w:cstheme="majorHAnsi"/>
          <w:i/>
          <w:iCs/>
        </w:rPr>
        <w:t xml:space="preserve"> requested/received but not used), in a situation where the TAC may be stored in a registrant’s email or other communications storage. The working group agreed to a maximum standard TTL of 14 days.</w:t>
      </w:r>
    </w:p>
    <w:p w14:paraId="00380416" w14:textId="77777777" w:rsidR="002269EC" w:rsidRPr="002269EC" w:rsidRDefault="002269EC" w:rsidP="002269EC">
      <w:pPr>
        <w:ind w:left="720"/>
        <w:rPr>
          <w:rFonts w:asciiTheme="majorHAnsi" w:hAnsiTheme="majorHAnsi" w:cstheme="majorHAnsi"/>
          <w:i/>
          <w:iCs/>
        </w:rPr>
      </w:pPr>
    </w:p>
    <w:p w14:paraId="0001762B" w14:textId="77777777"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i/>
          <w:iCs/>
        </w:rPr>
        <w:t>In discussing this Charter Question, the working group initially discussed the benefits of placing the Registry in the role of enforcing the standard TTL. The working group noted that Registry authority would be more secure and streamlined due to the lesser number of Registry Operators as compared to ICANN-accredited Registrars. </w:t>
      </w:r>
    </w:p>
    <w:p w14:paraId="531F0F9C" w14:textId="77777777" w:rsidR="002269EC" w:rsidRPr="002269EC" w:rsidRDefault="002269EC" w:rsidP="002269EC">
      <w:pPr>
        <w:ind w:left="720"/>
        <w:rPr>
          <w:rFonts w:asciiTheme="majorHAnsi" w:hAnsiTheme="majorHAnsi" w:cstheme="majorHAnsi"/>
          <w:i/>
          <w:iCs/>
        </w:rPr>
      </w:pPr>
    </w:p>
    <w:p w14:paraId="69A6C087" w14:textId="77777777"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i/>
          <w:iCs/>
        </w:rPr>
        <w:t>Registry Operators, however, have expressed two concerns in taking on this role: 1) Registries do not have a customer relationship with registrants, and, accordingly, cautioned that having Registries preemptively invalidate a TAC directly impacts registrants; 2) this gives Registries a compliance responsibility over Registrars since they would be required to respond to authorities and potentially registrants investigating any concerns with the efficacy or expiry of a TAC.</w:t>
      </w:r>
    </w:p>
    <w:p w14:paraId="3D34F22E" w14:textId="77777777" w:rsidR="002269EC" w:rsidRPr="002269EC" w:rsidRDefault="002269EC" w:rsidP="002269EC">
      <w:pPr>
        <w:ind w:left="720"/>
        <w:rPr>
          <w:rFonts w:asciiTheme="majorHAnsi" w:hAnsiTheme="majorHAnsi" w:cstheme="majorHAnsi"/>
          <w:i/>
          <w:iCs/>
        </w:rPr>
      </w:pPr>
    </w:p>
    <w:p w14:paraId="333BA135" w14:textId="16C92FCA"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b/>
          <w:bCs/>
          <w:i/>
          <w:iCs/>
        </w:rPr>
        <w:t>Question to the community: Who is best positioned to manage the standard 14</w:t>
      </w:r>
      <w:r w:rsidR="00D4457E">
        <w:rPr>
          <w:rFonts w:asciiTheme="majorHAnsi" w:hAnsiTheme="majorHAnsi" w:cstheme="majorHAnsi"/>
          <w:b/>
          <w:bCs/>
          <w:i/>
          <w:iCs/>
        </w:rPr>
        <w:t>-</w:t>
      </w:r>
      <w:r w:rsidRPr="002269EC">
        <w:rPr>
          <w:rFonts w:asciiTheme="majorHAnsi" w:hAnsiTheme="majorHAnsi" w:cstheme="majorHAnsi"/>
          <w:b/>
          <w:bCs/>
          <w:i/>
          <w:iCs/>
        </w:rPr>
        <w:t>day TTL – the Registry or the Registrar, and why? Are there specific implications if the TTL is managed by the Losing Registrar?</w:t>
      </w:r>
    </w:p>
    <w:p w14:paraId="1D612731" w14:textId="77777777" w:rsidR="002269EC" w:rsidRPr="000C23D3" w:rsidRDefault="002269EC" w:rsidP="002269EC">
      <w:pPr>
        <w:rPr>
          <w:rFonts w:asciiTheme="majorHAnsi" w:hAnsiTheme="majorHAnsi" w:cstheme="majorHAnsi"/>
        </w:rPr>
      </w:pPr>
    </w:p>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t xml:space="preserve">Should the ability for registrants to request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420EB83F" w:rsidR="00CB0A4E" w:rsidRPr="00CB0A4E" w:rsidRDefault="00CB0A4E" w:rsidP="00BE6522">
      <w:pPr>
        <w:rPr>
          <w:color w:val="000000" w:themeColor="text1"/>
        </w:rPr>
      </w:pPr>
      <w:proofErr w:type="gramStart"/>
      <w:r w:rsidRPr="00CB0A4E">
        <w:rPr>
          <w:rFonts w:ascii="Calibri" w:hAnsi="Calibri" w:cs="Calibri"/>
          <w:color w:val="000000" w:themeColor="text1"/>
        </w:rPr>
        <w:t>As a general rule</w:t>
      </w:r>
      <w:proofErr w:type="gramEnd"/>
      <w:r w:rsidRPr="00CB0A4E">
        <w:rPr>
          <w:rFonts w:ascii="Calibri" w:hAnsi="Calibri" w:cs="Calibri"/>
          <w:color w:val="000000" w:themeColor="text1"/>
        </w:rPr>
        <w:t>,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w:t>
      </w:r>
      <w:r w:rsidR="006D2697">
        <w:rPr>
          <w:rFonts w:ascii="Calibri" w:hAnsi="Calibri" w:cs="Calibri"/>
          <w:color w:val="000000" w:themeColor="text1"/>
        </w:rPr>
        <w:t>n 7</w:t>
      </w:r>
      <w:r w:rsidR="0014573D">
        <w:rPr>
          <w:rFonts w:ascii="Calibri" w:hAnsi="Calibri" w:cs="Calibri"/>
          <w:color w:val="000000" w:themeColor="text1"/>
        </w:rPr>
        <w:t>)</w:t>
      </w:r>
      <w:r w:rsidRPr="00CB0A4E">
        <w:rPr>
          <w:rFonts w:ascii="Calibri" w:hAnsi="Calibri" w:cs="Calibri"/>
          <w:color w:val="000000" w:themeColor="text1"/>
        </w:rPr>
        <w:t xml:space="preserve">. The Working Group recognizes that for cases where multiple </w:t>
      </w:r>
      <w:r w:rsidRPr="00CB0A4E">
        <w:rPr>
          <w:rFonts w:ascii="Calibri" w:hAnsi="Calibri" w:cs="Calibri"/>
          <w:color w:val="000000" w:themeColor="text1"/>
        </w:rPr>
        <w:lastRenderedPageBreak/>
        <w:t>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transaction. At the time of publication of the Initial Report, the working group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 xml:space="preserve">Does the CPH TechOps research provide a logical starting point for future policy work on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49BF122B"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19"/>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w:t>
      </w:r>
      <w:proofErr w:type="spellStart"/>
      <w:r w:rsidRPr="00CB0A4E">
        <w:rPr>
          <w:rFonts w:ascii="Calibri" w:hAnsi="Calibri" w:cs="Calibri"/>
          <w:color w:val="000000" w:themeColor="text1"/>
        </w:rPr>
        <w:t>i</w:t>
      </w:r>
      <w:proofErr w:type="spellEnd"/>
      <w:r w:rsidRPr="00CB0A4E">
        <w:rPr>
          <w:rFonts w:ascii="Calibri" w:hAnsi="Calibri" w:cs="Calibri"/>
          <w:color w:val="000000" w:themeColor="text1"/>
        </w:rPr>
        <w:t xml:space="preserve">)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recommendations, the working group deliberated on each of the charter questions</w:t>
      </w:r>
      <w:r w:rsidR="0014573D">
        <w:rPr>
          <w:rFonts w:ascii="Calibri" w:hAnsi="Calibri" w:cs="Calibri"/>
          <w:color w:val="000000" w:themeColor="text1"/>
        </w:rPr>
        <w:t>,</w:t>
      </w:r>
      <w:r w:rsidRPr="00CB0A4E">
        <w:rPr>
          <w:rFonts w:ascii="Calibri" w:hAnsi="Calibri" w:cs="Calibri"/>
          <w:color w:val="000000" w:themeColor="text1"/>
        </w:rPr>
        <w:t xml:space="preserve"> </w:t>
      </w:r>
      <w:proofErr w:type="gramStart"/>
      <w:r w:rsidRPr="00CB0A4E">
        <w:rPr>
          <w:rFonts w:ascii="Calibri" w:hAnsi="Calibri" w:cs="Calibri"/>
          <w:color w:val="000000" w:themeColor="text1"/>
        </w:rPr>
        <w:t>taking into account</w:t>
      </w:r>
      <w:proofErr w:type="gramEnd"/>
      <w:r w:rsidRPr="00CB0A4E">
        <w:rPr>
          <w:rFonts w:ascii="Calibri" w:hAnsi="Calibri" w:cs="Calibri"/>
          <w:color w:val="000000" w:themeColor="text1"/>
        </w:rPr>
        <w:t xml:space="preserve"> both the relevant elements of the TechOps paper as well as all other available information and inputs.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 xml:space="preserve">Should </w:t>
      </w:r>
      <w:proofErr w:type="spellStart"/>
      <w:r w:rsidRPr="0034730F">
        <w:rPr>
          <w:rFonts w:ascii="Calibri" w:hAnsi="Calibri" w:cs="Calibri"/>
          <w:i/>
          <w:iCs/>
          <w:color w:val="000000"/>
        </w:rPr>
        <w:t>required</w:t>
      </w:r>
      <w:proofErr w:type="spellEnd"/>
      <w:r w:rsidRPr="0034730F">
        <w:rPr>
          <w:rFonts w:ascii="Calibri" w:hAnsi="Calibri" w:cs="Calibri"/>
          <w:i/>
          <w:iCs/>
          <w:color w:val="000000"/>
        </w:rPr>
        <w:t xml:space="preserve"> differentiated control panel access also be considered, i.e., the registered name holder is given greater access (including access to the auth code), and additional users, such as web developers would be given lower grade access </w:t>
      </w:r>
      <w:proofErr w:type="gramStart"/>
      <w:r w:rsidRPr="0034730F">
        <w:rPr>
          <w:rFonts w:ascii="Calibri" w:hAnsi="Calibri" w:cs="Calibri"/>
          <w:i/>
          <w:iCs/>
          <w:color w:val="000000"/>
        </w:rPr>
        <w:t>in order to</w:t>
      </w:r>
      <w:proofErr w:type="gramEnd"/>
      <w:r w:rsidRPr="0034730F">
        <w:rPr>
          <w:rFonts w:ascii="Calibri" w:hAnsi="Calibri" w:cs="Calibri"/>
          <w:i/>
          <w:iCs/>
          <w:color w:val="000000"/>
        </w:rPr>
        <w:t xml:space="preserve">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lastRenderedPageBreak/>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t xml:space="preserve">For context on this topic and the associated charter questions, please see pages 52-56 of the </w:t>
      </w:r>
      <w:hyperlink r:id="rId42" w:history="1">
        <w:r w:rsidRPr="000F4B93">
          <w:rPr>
            <w:rStyle w:val="Hyperlink"/>
            <w:rFonts w:asciiTheme="majorHAnsi" w:hAnsiTheme="majorHAnsi"/>
          </w:rPr>
          <w:t>Final Issue Report</w:t>
        </w:r>
      </w:hyperlink>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116310A7"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0"/>
      </w:r>
      <w:r w:rsidRPr="002C510C">
        <w:rPr>
          <w:rFonts w:ascii="Calibri" w:hAnsi="Calibri" w:cs="Calibri"/>
          <w:color w:val="000000" w:themeColor="text1"/>
        </w:rPr>
        <w:t xml:space="preserve"> The working group reviewed and discussed these seven issues and has provided a response to each issue. The detailed responses can be found i</w:t>
      </w:r>
      <w:r w:rsidR="00C45720">
        <w:rPr>
          <w:rFonts w:ascii="Calibri" w:hAnsi="Calibri" w:cs="Calibri"/>
          <w:color w:val="000000" w:themeColor="text1"/>
        </w:rPr>
        <w:t xml:space="preserve">n Annex D </w:t>
      </w:r>
      <w:r w:rsidRPr="002C510C">
        <w:rPr>
          <w:rFonts w:ascii="Calibri" w:hAnsi="Calibri" w:cs="Calibri"/>
          <w:color w:val="000000" w:themeColor="text1"/>
        </w:rPr>
        <w:t>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16"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16"/>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w:t>
      </w:r>
      <w:proofErr w:type="spellStart"/>
      <w:r w:rsidRPr="0028083D">
        <w:rPr>
          <w:rFonts w:ascii="Calibri" w:hAnsi="Calibri" w:cs="Calibri"/>
          <w:color w:val="000000" w:themeColor="text1"/>
        </w:rPr>
        <w:t>i</w:t>
      </w:r>
      <w:proofErr w:type="spellEnd"/>
      <w:r w:rsidRPr="0028083D">
        <w:rPr>
          <w:rFonts w:ascii="Calibri" w:hAnsi="Calibri" w:cs="Calibri"/>
          <w:color w:val="000000" w:themeColor="text1"/>
        </w:rPr>
        <w:t>)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data" SHALL have the same meaning as "Registration Data". </w:t>
      </w:r>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 xml:space="preserve">(iii) The term "Publicly accessible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SHALL have the same meaning as "RDDS". </w:t>
      </w:r>
    </w:p>
    <w:p w14:paraId="07CA4509" w14:textId="444B9C6F" w:rsidR="0028083D" w:rsidRPr="0028083D" w:rsidRDefault="0028083D" w:rsidP="00BE6522">
      <w:pPr>
        <w:rPr>
          <w:color w:val="000000" w:themeColor="text1"/>
        </w:rPr>
      </w:pPr>
      <w:r w:rsidRPr="0028083D">
        <w:rPr>
          <w:rFonts w:ascii="Calibri" w:hAnsi="Calibri" w:cs="Calibri"/>
          <w:color w:val="000000" w:themeColor="text1"/>
        </w:rPr>
        <w:t>For the avoidance of doubt, the terms referenced in above in Recommendation 14 (</w:t>
      </w:r>
      <w:proofErr w:type="spellStart"/>
      <w:r w:rsidRPr="0028083D">
        <w:rPr>
          <w:rFonts w:ascii="Calibri" w:hAnsi="Calibri" w:cs="Calibri"/>
          <w:color w:val="000000" w:themeColor="text1"/>
        </w:rPr>
        <w:t>i</w:t>
      </w:r>
      <w:proofErr w:type="spellEnd"/>
      <w:r w:rsidRPr="0028083D">
        <w:rPr>
          <w:rFonts w:ascii="Calibri" w:hAnsi="Calibri" w:cs="Calibri"/>
          <w:color w:val="000000" w:themeColor="text1"/>
        </w:rPr>
        <w:t xml:space="preserve">) - (iv) are intended to correspond to the definitions in the Registrar Accreditation Agreement (“RAA”). In the event of any inconsistency, the RAA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77777777"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This recommendation is consistent with the EPDP Team’s Phase 1 Recommendation 24.</w:t>
      </w:r>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17" w:name="Rec15"/>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15</w:t>
      </w:r>
      <w:bookmarkEnd w:id="17"/>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637462D5"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Under the Registration Data Policy, Administrative Contact data is no longer collected by the </w:t>
      </w:r>
      <w:r w:rsidR="008F32E7">
        <w:rPr>
          <w:rFonts w:ascii="Calibri" w:hAnsi="Calibri" w:cs="Calibri"/>
          <w:color w:val="000000" w:themeColor="text1"/>
        </w:rPr>
        <w:t>R</w:t>
      </w:r>
      <w:r w:rsidRPr="0028083D">
        <w:rPr>
          <w:rFonts w:ascii="Calibri" w:hAnsi="Calibri" w:cs="Calibri"/>
          <w:color w:val="000000" w:themeColor="text1"/>
        </w:rPr>
        <w:t xml:space="preserve">egistrar.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1EE116AB" w:rsidR="002C510C" w:rsidRPr="002C510C" w:rsidRDefault="002C510C" w:rsidP="002C510C">
      <w:pPr>
        <w:shd w:val="clear" w:color="auto" w:fill="FFFFFF"/>
        <w:rPr>
          <w:color w:val="000000" w:themeColor="text1"/>
        </w:rPr>
      </w:pPr>
      <w:r w:rsidRPr="002C510C">
        <w:rPr>
          <w:rFonts w:ascii="Calibri" w:hAnsi="Calibri" w:cs="Calibri"/>
          <w:color w:val="000000" w:themeColor="text1"/>
        </w:rPr>
        <w:t>As noted above, the working group reviewed the seven key issues from Section 3.11 of the Wave 1 Report that are directly related to Phase 1(a) of its work, including the issues related to the Gaining and Losing FOAs. The working group determined these specific issues are in scope for it to address during Phase 1(a) and discussed and reviewed these issues during its plenary meetings. For the detailed responses on the key issues, please refer t</w:t>
      </w:r>
      <w:r w:rsidR="00C45720">
        <w:rPr>
          <w:rFonts w:ascii="Calibri" w:hAnsi="Calibri" w:cs="Calibri"/>
          <w:color w:val="000000" w:themeColor="text1"/>
        </w:rPr>
        <w:t xml:space="preserve">o Annex D </w:t>
      </w:r>
      <w:r w:rsidRPr="002C510C">
        <w:rPr>
          <w:rFonts w:ascii="Calibri" w:hAnsi="Calibri" w:cs="Calibri"/>
          <w:color w:val="000000" w:themeColor="text1"/>
        </w:rPr>
        <w:t>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t>R</w:t>
      </w:r>
      <w:r w:rsidRPr="002C510C">
        <w:rPr>
          <w:rFonts w:ascii="Calibri" w:hAnsi="Calibri" w:cs="Calibri"/>
          <w:color w:val="000000" w:themeColor="text1"/>
        </w:rPr>
        <w:t xml:space="preserve">egistrars. Notably, the administrative contact field, which was a required data field 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1"/>
      </w:r>
      <w:r w:rsidRPr="002C510C">
        <w:rPr>
          <w:rFonts w:ascii="Calibri" w:hAnsi="Calibri" w:cs="Calibri"/>
          <w:color w:val="000000" w:themeColor="text1"/>
        </w:rPr>
        <w:t xml:space="preserve"> Similarly, the working group observed that the multiple references to “</w:t>
      </w:r>
      <w:proofErr w:type="spellStart"/>
      <w:r w:rsidRPr="002C510C">
        <w:rPr>
          <w:rFonts w:ascii="Calibri" w:hAnsi="Calibri" w:cs="Calibri"/>
          <w:color w:val="000000" w:themeColor="text1"/>
        </w:rPr>
        <w:t>Whois</w:t>
      </w:r>
      <w:proofErr w:type="spellEnd"/>
      <w:r w:rsidRPr="002C510C">
        <w:rPr>
          <w:rFonts w:ascii="Calibri" w:hAnsi="Calibri" w:cs="Calibri"/>
          <w:color w:val="000000" w:themeColor="text1"/>
        </w:rPr>
        <w:t>”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w:t>
      </w:r>
      <w:proofErr w:type="spellStart"/>
      <w:r>
        <w:rPr>
          <w:rFonts w:asciiTheme="majorHAnsi" w:hAnsiTheme="majorHAnsi"/>
        </w:rPr>
        <w:t>NACKing</w:t>
      </w:r>
      <w:proofErr w:type="spellEnd"/>
      <w:r>
        <w:rPr>
          <w:rFonts w:asciiTheme="majorHAnsi" w:hAnsiTheme="majorHAnsi"/>
        </w:rPr>
        <w:t>) Transfers</w:t>
      </w:r>
    </w:p>
    <w:p w14:paraId="3E1F942A" w14:textId="5A476672" w:rsidR="00274DD8" w:rsidRDefault="00274DD8" w:rsidP="00274DD8"/>
    <w:p w14:paraId="5F120432" w14:textId="3186B914" w:rsidR="00EE1BF8" w:rsidRDefault="00EE1BF8" w:rsidP="00220C95">
      <w:pPr>
        <w:rPr>
          <w:rFonts w:asciiTheme="majorHAnsi" w:hAnsiTheme="majorHAnsi"/>
        </w:rPr>
      </w:pPr>
      <w:r w:rsidRPr="00EE1BF8">
        <w:rPr>
          <w:rFonts w:asciiTheme="majorHAnsi" w:hAnsiTheme="majorHAnsi"/>
        </w:rPr>
        <w:t>The topic of denying (</w:t>
      </w:r>
      <w:proofErr w:type="spellStart"/>
      <w:r w:rsidRPr="00EE1BF8">
        <w:rPr>
          <w:rFonts w:asciiTheme="majorHAnsi" w:hAnsiTheme="majorHAnsi"/>
        </w:rPr>
        <w:t>NACKing</w:t>
      </w:r>
      <w:proofErr w:type="spellEnd"/>
      <w:r w:rsidRPr="00EE1BF8">
        <w:rPr>
          <w:rFonts w:asciiTheme="majorHAnsi" w:hAnsiTheme="majorHAnsi"/>
        </w:rPr>
        <w:t xml:space="preserve">) transfers was </w:t>
      </w:r>
      <w:r>
        <w:rPr>
          <w:rFonts w:asciiTheme="majorHAnsi" w:hAnsiTheme="majorHAnsi"/>
        </w:rPr>
        <w:t xml:space="preserve">originally planned for Phase 2 of the PDP. It was </w:t>
      </w:r>
      <w:r w:rsidRPr="00EE1BF8">
        <w:rPr>
          <w:rFonts w:asciiTheme="majorHAnsi" w:hAnsiTheme="majorHAnsi"/>
        </w:rPr>
        <w:t>later moved to Phase 1(a) by</w:t>
      </w:r>
      <w:r w:rsidR="0014573D">
        <w:rPr>
          <w:rFonts w:asciiTheme="majorHAnsi" w:hAnsiTheme="majorHAnsi"/>
        </w:rPr>
        <w:t xml:space="preserve"> a</w:t>
      </w:r>
      <w:r w:rsidRPr="00EE1BF8">
        <w:rPr>
          <w:rFonts w:asciiTheme="majorHAnsi" w:hAnsiTheme="majorHAnsi"/>
        </w:rPr>
        <w:t xml:space="preserve"> </w:t>
      </w:r>
      <w:hyperlink r:id="rId43" w:anchor="202112" w:history="1">
        <w:r w:rsidRPr="00EE1BF8">
          <w:rPr>
            <w:rStyle w:val="Hyperlink"/>
            <w:rFonts w:asciiTheme="majorHAnsi" w:hAnsiTheme="majorHAnsi"/>
          </w:rPr>
          <w:t>Project Change Request</w:t>
        </w:r>
      </w:hyperlink>
      <w:r w:rsidRPr="00EE1BF8">
        <w:rPr>
          <w:rFonts w:asciiTheme="majorHAnsi" w:hAnsiTheme="majorHAnsi"/>
        </w:rPr>
        <w:t xml:space="preserve"> to ensure that the </w:t>
      </w:r>
      <w:r w:rsidR="00FF0A78">
        <w:rPr>
          <w:rFonts w:asciiTheme="majorHAnsi" w:hAnsiTheme="majorHAnsi"/>
        </w:rPr>
        <w:t>w</w:t>
      </w:r>
      <w:r w:rsidRPr="00EE1BF8">
        <w:rPr>
          <w:rFonts w:asciiTheme="majorHAnsi" w:hAnsiTheme="majorHAnsi"/>
        </w:rPr>
        <w:t xml:space="preserve">orking </w:t>
      </w:r>
      <w:r w:rsidR="00FF0A78">
        <w:rPr>
          <w:rFonts w:asciiTheme="majorHAnsi" w:hAnsiTheme="majorHAnsi"/>
        </w:rPr>
        <w:lastRenderedPageBreak/>
        <w:t>g</w:t>
      </w:r>
      <w:r w:rsidRPr="00EE1BF8">
        <w:rPr>
          <w:rFonts w:asciiTheme="majorHAnsi" w:hAnsiTheme="majorHAnsi"/>
        </w:rPr>
        <w:t>roup could examine all elements of the security model for domain name transfers in a holistic manner as part of its Phase 1 deliberations.</w:t>
      </w:r>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hyperlink r:id="rId44" w:history="1">
        <w:r w:rsidRPr="000F4B93">
          <w:rPr>
            <w:rStyle w:val="Hyperlink"/>
            <w:rFonts w:asciiTheme="majorHAnsi" w:hAnsiTheme="majorHAnsi"/>
          </w:rPr>
          <w:t>Final Issue Report</w:t>
        </w:r>
      </w:hyperlink>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w:t>
      </w:r>
      <w:proofErr w:type="spellStart"/>
      <w:r w:rsidRPr="000B477C">
        <w:rPr>
          <w:rFonts w:ascii="Calibri" w:hAnsi="Calibri" w:cs="Calibri"/>
          <w:i/>
          <w:iCs/>
          <w:color w:val="000000"/>
        </w:rPr>
        <w:t>NACKing</w:t>
      </w:r>
      <w:proofErr w:type="spellEnd"/>
      <w:r w:rsidRPr="000B477C">
        <w:rPr>
          <w:rFonts w:ascii="Calibri" w:hAnsi="Calibri" w:cs="Calibri"/>
          <w:i/>
          <w:iCs/>
          <w:color w:val="000000"/>
        </w:rPr>
        <w:t xml:space="preserve">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w:t>
      </w:r>
      <w:proofErr w:type="spellStart"/>
      <w:r w:rsidR="00437073" w:rsidRPr="00655702">
        <w:rPr>
          <w:rFonts w:ascii="Calibri" w:hAnsi="Calibri" w:cs="Calibri"/>
          <w:color w:val="000000"/>
        </w:rPr>
        <w:t>NACKing</w:t>
      </w:r>
      <w:proofErr w:type="spellEnd"/>
      <w:r w:rsidR="00437073" w:rsidRPr="00655702">
        <w:rPr>
          <w:rFonts w:ascii="Calibri" w:hAnsi="Calibri" w:cs="Calibri"/>
          <w:color w:val="000000"/>
        </w:rPr>
        <w:t xml:space="preserve">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The working group considered that this inconsistent practice may cause confusion among registrants and may lead to poor registrant experience. The working group 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6BD47CDA" w:rsidR="00655702" w:rsidRPr="00655702" w:rsidRDefault="00655702" w:rsidP="00BE6522">
      <w:pPr>
        <w:rPr>
          <w:rFonts w:asciiTheme="majorHAnsi" w:hAnsiTheme="majorHAnsi"/>
        </w:rPr>
      </w:pPr>
      <w:proofErr w:type="gramStart"/>
      <w:r w:rsidRPr="00655702">
        <w:rPr>
          <w:rFonts w:asciiTheme="majorHAnsi" w:hAnsiTheme="majorHAnsi"/>
        </w:rPr>
        <w:lastRenderedPageBreak/>
        <w:t>In the course of</w:t>
      </w:r>
      <w:proofErr w:type="gramEnd"/>
      <w:r w:rsidRPr="00655702">
        <w:rPr>
          <w:rFonts w:asciiTheme="majorHAnsi" w:hAnsiTheme="majorHAnsi"/>
        </w:rPr>
        <w:t xml:space="preserve">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2"/>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egistrar transfer. Some working group members have advocated for establishing a “fast undo” process along the lines of the Expedited Transfer Reverse Process (ETRP) considered in Inter-Registrar Transfer Policy (IRTP) Part B</w:t>
      </w:r>
      <w:r w:rsidR="008C2D59">
        <w:rPr>
          <w:rFonts w:asciiTheme="majorHAnsi" w:hAnsiTheme="majorHAnsi"/>
        </w:rPr>
        <w:t xml:space="preserve"> Policy Development Process</w:t>
      </w:r>
      <w:r w:rsidRPr="00655702">
        <w:rPr>
          <w:rFonts w:asciiTheme="majorHAnsi" w:hAnsiTheme="majorHAnsi"/>
        </w:rPr>
        <w:t xml:space="preserve">. The IRTP Part B Working Group ultimately did not adopt the ETRP proposal. “Fast undo” discussions will continue in Phase 2 of the Transfer Policy Review PDP, and the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has not yet considered this topic in depth. At this stage, some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members noted that if a “fast undo” process is ultimately adopted, the period for which a domain is eligible for “fast undo” following an inter-Registrar transfer should likely correspond to the lock </w:t>
      </w:r>
      <w:proofErr w:type="gramStart"/>
      <w:r w:rsidRPr="00655702">
        <w:rPr>
          <w:rFonts w:asciiTheme="majorHAnsi" w:hAnsiTheme="majorHAnsi"/>
        </w:rPr>
        <w:t>periods, and</w:t>
      </w:r>
      <w:proofErr w:type="gramEnd"/>
      <w:r w:rsidRPr="00655702">
        <w:rPr>
          <w:rFonts w:asciiTheme="majorHAnsi" w:hAnsiTheme="majorHAnsi"/>
        </w:rPr>
        <w:t xml:space="preserve">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1B0C6B">
          <w:type w:val="continuous"/>
          <w:pgSz w:w="12240" w:h="15840"/>
          <w:pgMar w:top="1440" w:right="1800" w:bottom="1440" w:left="1800" w:header="720" w:footer="720" w:gutter="0"/>
          <w:cols w:space="720"/>
          <w:docGrid w:linePitch="360"/>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5C584426" w14:textId="47620330" w:rsidR="00655702" w:rsidRPr="00EF0921" w:rsidRDefault="00F4578A" w:rsidP="00BE6522">
      <w:bookmarkStart w:id="18" w:name="Rec1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18"/>
      <w:r w:rsidR="00655702" w:rsidRPr="00EF0921">
        <w:rPr>
          <w:rFonts w:ascii="Calibri" w:hAnsi="Calibri" w:cs="Calibri"/>
          <w:color w:val="000000"/>
        </w:rPr>
        <w:t xml:space="preserve">: </w:t>
      </w:r>
      <w:r w:rsidR="00655702" w:rsidRPr="00BE6522">
        <w:rPr>
          <w:rFonts w:ascii="Calibri" w:hAnsi="Calibri" w:cs="Calibri"/>
          <w:color w:val="000000"/>
        </w:rPr>
        <w:t>The Registrar MUST restrict the RNH from transferring a domain name to a new Registrar within 30 days of the initial registration date.</w:t>
      </w:r>
    </w:p>
    <w:p w14:paraId="413B5526" w14:textId="77777777" w:rsidR="00655702" w:rsidRPr="00097EC2" w:rsidRDefault="00655702" w:rsidP="00BE6522">
      <w:pPr>
        <w:rPr>
          <w:rFonts w:asciiTheme="majorHAnsi" w:hAnsiTheme="majorHAnsi"/>
        </w:rPr>
      </w:pPr>
    </w:p>
    <w:p w14:paraId="1C3E6980"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 xml:space="preserve">roup believes that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15BE0EE9" w14:textId="77777777" w:rsidR="00655702" w:rsidRPr="00097EC2" w:rsidRDefault="00655702" w:rsidP="00BE6522">
      <w:pPr>
        <w:rPr>
          <w:rFonts w:asciiTheme="majorHAnsi" w:hAnsiTheme="majorHAnsi"/>
        </w:rPr>
      </w:pPr>
    </w:p>
    <w:p w14:paraId="374EBBB0" w14:textId="62827432" w:rsidR="00655702" w:rsidRPr="00EF0921" w:rsidRDefault="00F4578A" w:rsidP="00BE6522">
      <w:bookmarkStart w:id="19" w:name="Rec17"/>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19"/>
      <w:r w:rsidR="00655702" w:rsidRPr="00EF0921">
        <w:rPr>
          <w:rFonts w:ascii="Calibri" w:hAnsi="Calibri" w:cs="Calibri"/>
          <w:color w:val="000000"/>
        </w:rPr>
        <w:t xml:space="preserve">: </w:t>
      </w:r>
      <w:r w:rsidR="00655702" w:rsidRPr="008C2D59">
        <w:rPr>
          <w:rFonts w:ascii="Calibri" w:hAnsi="Calibri" w:cs="Calibri"/>
          <w:color w:val="000000"/>
        </w:rPr>
        <w:t>The Registrar MUST restrict the RNH from transferring a domain name to a new Registrar within 30 days of the completion of an inter-Registrar transfer.</w:t>
      </w:r>
    </w:p>
    <w:p w14:paraId="62832DDF" w14:textId="77777777" w:rsidR="00655702" w:rsidRPr="00097EC2" w:rsidRDefault="00655702" w:rsidP="00BE6522">
      <w:pPr>
        <w:rPr>
          <w:rFonts w:asciiTheme="majorHAnsi" w:hAnsiTheme="majorHAnsi"/>
        </w:rPr>
      </w:pPr>
    </w:p>
    <w:p w14:paraId="5D83A32B"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 xml:space="preserve">For registrants who legitimately want to transfer a domain again shortly after an inter-registrar transfer has taken place,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68DF9044" w14:textId="42C479CF" w:rsidR="005B6FC2" w:rsidRDefault="005B6FC2" w:rsidP="00A63B9C">
      <w:pPr>
        <w:rPr>
          <w:rFonts w:asciiTheme="majorHAnsi" w:hAnsiTheme="majorHAnsi"/>
          <w:b/>
          <w:bCs/>
        </w:rPr>
      </w:pPr>
    </w:p>
    <w:p w14:paraId="7BA38A5E" w14:textId="22EE96AF" w:rsidR="005B6FC2" w:rsidRPr="005B6FC2" w:rsidRDefault="00F4578A" w:rsidP="00BE6522">
      <w:bookmarkStart w:id="20"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20"/>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roup recommends expressing the two sentences of this provision as two distinct provisions of the policy.</w:t>
      </w:r>
    </w:p>
    <w:p w14:paraId="4C003A13" w14:textId="77777777" w:rsidR="005B6FC2" w:rsidRPr="005B6FC2" w:rsidRDefault="005B6FC2" w:rsidP="00BE6522">
      <w:r w:rsidRPr="005B6FC2">
        <w:t> </w:t>
      </w:r>
    </w:p>
    <w:p w14:paraId="3FC0C38B" w14:textId="77777777" w:rsidR="005B6FC2" w:rsidRPr="005B6FC2" w:rsidRDefault="005B6FC2" w:rsidP="00BE6522">
      <w:pPr>
        <w:ind w:left="720"/>
      </w:pPr>
      <w:r w:rsidRPr="005B6FC2">
        <w:rPr>
          <w:rFonts w:ascii="Calibri" w:hAnsi="Calibri" w:cs="Calibri"/>
          <w:b/>
          <w:bCs/>
          <w:color w:val="000000"/>
        </w:rPr>
        <w:t>Rationale</w:t>
      </w:r>
      <w:r w:rsidRPr="005B6FC2">
        <w:rPr>
          <w:rFonts w:ascii="Calibri" w:hAnsi="Calibri" w:cs="Calibri"/>
          <w:color w:val="000000"/>
        </w:rPr>
        <w:t>: 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21" w:name="Rec19"/>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21"/>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660B" w14:textId="6855659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Evidence of fraud </w:t>
            </w:r>
            <w:r w:rsidRPr="00D50FC6">
              <w:rPr>
                <w:rFonts w:asciiTheme="majorHAnsi" w:hAnsiTheme="majorHAnsi" w:cstheme="majorHAnsi"/>
                <w:b/>
                <w:bCs/>
                <w:color w:val="000000"/>
              </w:rPr>
              <w:t xml:space="preserve">or violation of the </w:t>
            </w:r>
            <w:r w:rsidR="00C45720">
              <w:rPr>
                <w:rFonts w:asciiTheme="majorHAnsi" w:hAnsiTheme="majorHAnsi" w:cstheme="majorHAnsi"/>
                <w:b/>
                <w:bCs/>
                <w:color w:val="000000"/>
              </w:rPr>
              <w:t>Registrar’s domain use or anti-abuse policies</w:t>
            </w:r>
            <w:r w:rsidRPr="00D50FC6">
              <w:rPr>
                <w:rFonts w:asciiTheme="majorHAnsi" w:hAnsiTheme="majorHAnsi" w:cstheme="majorHAnsi"/>
                <w:b/>
                <w:bCs/>
                <w:color w:val="000000"/>
              </w:rPr>
              <w:t>.</w:t>
            </w:r>
          </w:p>
          <w:p w14:paraId="75B35F60" w14:textId="77777777" w:rsidR="00D50FC6" w:rsidRPr="00D50FC6" w:rsidRDefault="00D50FC6" w:rsidP="00A63B9C">
            <w:pPr>
              <w:rPr>
                <w:rFonts w:asciiTheme="majorHAnsi" w:hAnsiTheme="majorHAnsi" w:cstheme="majorHAnsi"/>
              </w:rPr>
            </w:pPr>
          </w:p>
          <w:p w14:paraId="7D5EEC98" w14:textId="397754CC" w:rsidR="00D50FC6" w:rsidRPr="00D50FC6" w:rsidRDefault="00D50FC6" w:rsidP="00A63B9C">
            <w:pPr>
              <w:pStyle w:val="NormalWeb"/>
              <w:spacing w:before="0" w:beforeAutospacing="0" w:after="0" w:afterAutospacing="0"/>
              <w:rPr>
                <w:rFonts w:asciiTheme="majorHAnsi" w:hAnsiTheme="majorHAnsi" w:cstheme="majorHAnsi"/>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736812F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w:t>
            </w:r>
            <w:r w:rsidR="00265504">
              <w:rPr>
                <w:rFonts w:asciiTheme="majorHAnsi" w:hAnsiTheme="majorHAnsi" w:cstheme="majorHAnsi"/>
                <w:color w:val="000000"/>
              </w:rPr>
              <w:t xml:space="preserve">considered several possible revisions to I.A.3.7.1 with the goal of ensuring that the text is clear and </w:t>
            </w:r>
            <w:proofErr w:type="gramStart"/>
            <w:r w:rsidR="00265504">
              <w:rPr>
                <w:rFonts w:asciiTheme="majorHAnsi" w:hAnsiTheme="majorHAnsi" w:cstheme="majorHAnsi"/>
                <w:color w:val="000000"/>
              </w:rPr>
              <w:t>narrowly-tailored</w:t>
            </w:r>
            <w:proofErr w:type="gramEnd"/>
            <w:r w:rsidR="00265504">
              <w:rPr>
                <w:rFonts w:asciiTheme="majorHAnsi" w:hAnsiTheme="majorHAnsi" w:cstheme="majorHAnsi"/>
                <w:color w:val="000000"/>
              </w:rPr>
              <w:t xml:space="preserve"> while </w:t>
            </w:r>
            <w:r w:rsidR="001452D0">
              <w:rPr>
                <w:rFonts w:asciiTheme="majorHAnsi" w:hAnsiTheme="majorHAnsi" w:cstheme="majorHAnsi"/>
                <w:color w:val="000000"/>
              </w:rPr>
              <w:t xml:space="preserve">appropriately </w:t>
            </w:r>
            <w:r w:rsidR="00265504">
              <w:rPr>
                <w:rFonts w:asciiTheme="majorHAnsi" w:hAnsiTheme="majorHAnsi" w:cstheme="majorHAnsi"/>
                <w:color w:val="000000"/>
              </w:rPr>
              <w:t xml:space="preserve">addressing the issue identified. The working group’s addition of “violation of the </w:t>
            </w:r>
            <w:r w:rsidR="00265504" w:rsidRPr="001452D0">
              <w:rPr>
                <w:rFonts w:asciiTheme="majorHAnsi" w:hAnsiTheme="majorHAnsi" w:cstheme="majorHAnsi"/>
                <w:color w:val="000000"/>
              </w:rPr>
              <w:t>Registrar’s domain use or anti-abuse policies</w:t>
            </w:r>
            <w:r w:rsidR="001452D0">
              <w:rPr>
                <w:rFonts w:asciiTheme="majorHAnsi" w:hAnsiTheme="majorHAnsi" w:cstheme="majorHAnsi"/>
                <w:color w:val="000000"/>
              </w:rPr>
              <w:t>” seeks to strike this balance.</w:t>
            </w:r>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dispute over the identity of the Registered Name Holder or </w:t>
            </w:r>
            <w:r w:rsidRPr="00D50FC6">
              <w:rPr>
                <w:rFonts w:asciiTheme="majorHAnsi" w:hAnsiTheme="majorHAnsi" w:cstheme="majorHAnsi"/>
                <w:color w:val="000000"/>
              </w:rPr>
              <w:lastRenderedPageBreak/>
              <w:t>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w:t>
            </w:r>
            <w:r w:rsidRPr="00D50FC6">
              <w:rPr>
                <w:rFonts w:asciiTheme="majorHAnsi" w:hAnsiTheme="majorHAnsi" w:cstheme="majorHAnsi"/>
                <w:color w:val="000000"/>
              </w:rPr>
              <w:lastRenderedPageBreak/>
              <w:t>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4958F8F8"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w:t>
            </w:r>
            <w:r w:rsidRPr="00D50FC6">
              <w:rPr>
                <w:rFonts w:asciiTheme="majorHAnsi" w:hAnsiTheme="majorHAnsi" w:cstheme="majorHAnsi"/>
                <w:color w:val="000000"/>
              </w:rPr>
              <w:lastRenderedPageBreak/>
              <w:t xml:space="preserve">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Recommendation</w:t>
            </w:r>
            <w:r w:rsidR="001452D0">
              <w:rPr>
                <w:rFonts w:asciiTheme="majorHAnsi" w:hAnsiTheme="majorHAnsi" w:cstheme="majorHAnsi"/>
                <w:color w:val="000000"/>
              </w:rPr>
              <w:t xml:space="preserve"> 15.</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No payment for previous registration period (including 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1EF7150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r w:rsidR="00E90092">
              <w:rPr>
                <w:rFonts w:asciiTheme="majorHAnsi" w:hAnsiTheme="majorHAnsi" w:cstheme="majorHAnsi"/>
                <w:color w:val="000000"/>
              </w:rPr>
              <w:t>n</w:t>
            </w:r>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xml:space="preserve">)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w:t>
            </w:r>
            <w:proofErr w:type="gramStart"/>
            <w:r w:rsidRPr="00D50FC6">
              <w:rPr>
                <w:rFonts w:asciiTheme="majorHAnsi" w:hAnsiTheme="majorHAnsi" w:cstheme="majorHAnsi"/>
                <w:color w:val="000000"/>
              </w:rPr>
              <w:t>level, but</w:t>
            </w:r>
            <w:proofErr w:type="gramEnd"/>
            <w:r w:rsidRPr="00D50FC6">
              <w:rPr>
                <w:rFonts w:asciiTheme="majorHAnsi" w:hAnsiTheme="majorHAnsi" w:cstheme="majorHAnsi"/>
                <w:color w:val="000000"/>
              </w:rPr>
              <w:t xml:space="preserve">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clarified that if the domain name is past its expiration date at the current Registrar of Record and the RNH has not paid for the registration period prior to that 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797C247E"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w:t>
            </w:r>
            <w:r w:rsidR="001452D0" w:rsidRPr="00D50FC6">
              <w:rPr>
                <w:rFonts w:asciiTheme="majorHAnsi" w:hAnsiTheme="majorHAnsi" w:cstheme="majorHAnsi"/>
                <w:color w:val="000000"/>
              </w:rPr>
              <w:t>2002</w:t>
            </w:r>
            <w:r w:rsidR="001452D0">
              <w:rPr>
                <w:rFonts w:asciiTheme="majorHAnsi" w:hAnsiTheme="majorHAnsi" w:cstheme="majorHAnsi"/>
                <w:color w:val="000000"/>
              </w:rPr>
              <w:t xml:space="preserve"> </w:t>
            </w:r>
            <w:hyperlink r:id="rId45" w:history="1">
              <w:r w:rsidR="001452D0" w:rsidRPr="001452D0">
                <w:rPr>
                  <w:rStyle w:val="Hyperlink"/>
                  <w:rFonts w:asciiTheme="majorHAnsi" w:hAnsiTheme="majorHAnsi" w:cstheme="majorHAnsi"/>
                </w:rPr>
                <w:t>ICANN DNSO Transfers Task Force Final Report &amp; Recommendations</w:t>
              </w:r>
            </w:hyperlink>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believes that the Expired Registration Recovery Policy now provides the </w:t>
            </w:r>
            <w:r w:rsidRPr="00D50FC6">
              <w:rPr>
                <w:rFonts w:asciiTheme="majorHAnsi" w:hAnsiTheme="majorHAnsi" w:cstheme="majorHAnsi"/>
                <w:color w:val="000000"/>
              </w:rPr>
              <w:lastRenderedPageBreak/>
              <w:t>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22"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22"/>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request by the </w:t>
            </w:r>
            <w:r w:rsidRPr="00D50FC6">
              <w:rPr>
                <w:rFonts w:asciiTheme="majorHAnsi" w:hAnsiTheme="majorHAnsi" w:cstheme="majorHAnsi"/>
                <w:strike/>
                <w:color w:val="000000"/>
                <w:sz w:val="20"/>
                <w:szCs w:val="20"/>
              </w:rPr>
              <w:t xml:space="preserve">authorized Transfer 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remove </w:t>
            </w:r>
            <w:r w:rsidRPr="00D50FC6">
              <w:rPr>
                <w:rFonts w:asciiTheme="majorHAnsi" w:hAnsiTheme="majorHAnsi" w:cstheme="majorHAnsi"/>
                <w:color w:val="000000"/>
                <w:sz w:val="20"/>
                <w:szCs w:val="20"/>
              </w:rPr>
              <w:lastRenderedPageBreak/>
              <w:t>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it is logical that the Registrar of Record must deny a transfer if the Registered Name 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FC1490" w:rsidRPr="001452D0">
              <w:rPr>
                <w:rFonts w:asciiTheme="majorHAnsi" w:hAnsiTheme="majorHAnsi" w:cstheme="majorHAnsi"/>
                <w:color w:val="000000"/>
                <w:sz w:val="20"/>
                <w:szCs w:val="20"/>
              </w:rPr>
              <w:t>15.</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60 days of the creation date as shown in the registry </w:t>
            </w:r>
            <w:proofErr w:type="spellStart"/>
            <w:r w:rsidRPr="00D50FC6">
              <w:rPr>
                <w:rFonts w:asciiTheme="majorHAnsi" w:hAnsiTheme="majorHAnsi" w:cstheme="majorHAnsi"/>
                <w:color w:val="000000"/>
                <w:sz w:val="20"/>
                <w:szCs w:val="20"/>
              </w:rPr>
              <w:t>Whois</w:t>
            </w:r>
            <w:proofErr w:type="spellEnd"/>
            <w:r w:rsidRPr="00D50FC6">
              <w:rPr>
                <w:rFonts w:asciiTheme="majorHAnsi" w:hAnsiTheme="majorHAnsi" w:cstheme="majorHAnsi"/>
                <w:color w:val="000000"/>
                <w:sz w:val="20"/>
                <w:szCs w:val="20"/>
              </w:rPr>
              <w:t xml:space="preserve">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proofErr w:type="spellStart"/>
            <w:r w:rsidRPr="00D50FC6">
              <w:rPr>
                <w:rFonts w:asciiTheme="majorHAnsi" w:hAnsiTheme="majorHAnsi" w:cstheme="majorHAnsi"/>
                <w:strike/>
                <w:color w:val="000000"/>
                <w:sz w:val="20"/>
                <w:szCs w:val="20"/>
              </w:rPr>
              <w:t>Whois</w:t>
            </w:r>
            <w:proofErr w:type="spellEnd"/>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06F00145"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1452D0">
              <w:rPr>
                <w:rFonts w:asciiTheme="majorHAnsi" w:hAnsiTheme="majorHAnsi" w:cstheme="majorHAnsi"/>
                <w:color w:val="000000"/>
                <w:sz w:val="20"/>
                <w:szCs w:val="20"/>
              </w:rPr>
              <w:t>R</w:t>
            </w:r>
            <w:r w:rsidR="001452D0"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21C6F791"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w:t>
            </w:r>
            <w:proofErr w:type="spellStart"/>
            <w:r w:rsidRPr="00D50FC6">
              <w:rPr>
                <w:rFonts w:asciiTheme="majorHAnsi" w:hAnsiTheme="majorHAnsi" w:cstheme="majorHAnsi"/>
                <w:color w:val="000000"/>
                <w:sz w:val="20"/>
                <w:szCs w:val="20"/>
              </w:rPr>
              <w:t>Whois</w:t>
            </w:r>
            <w:proofErr w:type="spellEnd"/>
            <w:r w:rsidRPr="00D50FC6">
              <w:rPr>
                <w:rFonts w:asciiTheme="majorHAnsi" w:hAnsiTheme="majorHAnsi" w:cstheme="majorHAnsi"/>
                <w:color w:val="000000"/>
                <w:sz w:val="20"/>
                <w:szCs w:val="20"/>
              </w:rPr>
              <w:t xml:space="preserve">”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Recommendation</w:t>
            </w:r>
            <w:r w:rsidR="001452D0">
              <w:rPr>
                <w:rFonts w:asciiTheme="majorHAnsi" w:hAnsiTheme="majorHAnsi" w:cstheme="majorHAnsi"/>
                <w:color w:val="000000"/>
                <w:sz w:val="20"/>
                <w:szCs w:val="20"/>
              </w:rPr>
              <w:t xml:space="preserve"> 14.</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3DB2295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17, t</w:t>
            </w:r>
            <w:r w:rsidRPr="00D50FC6">
              <w:rPr>
                <w:rFonts w:asciiTheme="majorHAnsi" w:hAnsiTheme="majorHAnsi" w:cstheme="majorHAnsi"/>
                <w:color w:val="000000"/>
                <w:sz w:val="20"/>
                <w:szCs w:val="20"/>
              </w:rPr>
              <w:t xml:space="preserve">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23"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23"/>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 xml:space="preserve">A </w:t>
            </w:r>
            <w:proofErr w:type="spellStart"/>
            <w:r w:rsidRPr="00D50FC6">
              <w:rPr>
                <w:rFonts w:asciiTheme="majorHAnsi" w:hAnsiTheme="majorHAnsi" w:cstheme="majorHAnsi"/>
                <w:strike/>
                <w:color w:val="000000"/>
                <w:sz w:val="20"/>
                <w:szCs w:val="20"/>
              </w:rPr>
              <w:t>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ending</w:t>
            </w:r>
            <w:proofErr w:type="spellEnd"/>
            <w:r w:rsidRPr="00D50FC6">
              <w:rPr>
                <w:rFonts w:asciiTheme="majorHAnsi" w:hAnsiTheme="majorHAnsi" w:cstheme="majorHAnsi"/>
                <w:color w:val="000000"/>
                <w:sz w:val="20"/>
                <w:szCs w:val="20"/>
              </w:rPr>
              <w:t xml:space="preserve">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w:t>
            </w:r>
            <w:proofErr w:type="gramStart"/>
            <w:r w:rsidRPr="00C33C8F">
              <w:rPr>
                <w:rFonts w:asciiTheme="majorHAnsi" w:hAnsiTheme="majorHAnsi" w:cstheme="majorHAnsi"/>
                <w:sz w:val="20"/>
                <w:szCs w:val="20"/>
              </w:rPr>
              <w:t>in an effort to</w:t>
            </w:r>
            <w:proofErr w:type="gramEnd"/>
            <w:r w:rsidRPr="00C33C8F">
              <w:rPr>
                <w:rFonts w:asciiTheme="majorHAnsi" w:hAnsiTheme="majorHAnsi" w:cstheme="majorHAnsi"/>
                <w:sz w:val="20"/>
                <w:szCs w:val="20"/>
              </w:rPr>
              <w:t xml:space="preserve">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believes that this provision continues to be </w:t>
            </w:r>
            <w:proofErr w:type="gramStart"/>
            <w:r w:rsidRPr="00D50FC6">
              <w:rPr>
                <w:rFonts w:asciiTheme="majorHAnsi" w:hAnsiTheme="majorHAnsi" w:cstheme="majorHAnsi"/>
                <w:color w:val="000000"/>
                <w:sz w:val="20"/>
                <w:szCs w:val="20"/>
              </w:rPr>
              <w:t>appropriate</w:t>
            </w:r>
            <w:proofErr w:type="gramEnd"/>
            <w:r w:rsidRPr="00D50FC6">
              <w:rPr>
                <w:rFonts w:asciiTheme="majorHAnsi" w:hAnsiTheme="majorHAnsi" w:cstheme="majorHAnsi"/>
                <w:color w:val="000000"/>
                <w:sz w:val="20"/>
                <w:szCs w:val="20"/>
              </w:rPr>
              <w:t xml:space="preserv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w:t>
            </w:r>
            <w:proofErr w:type="gramStart"/>
            <w:r w:rsidRPr="00C33C8F">
              <w:rPr>
                <w:rFonts w:asciiTheme="majorHAnsi" w:hAnsiTheme="majorHAnsi" w:cstheme="majorHAnsi"/>
                <w:color w:val="000000"/>
                <w:sz w:val="20"/>
                <w:szCs w:val="20"/>
              </w:rPr>
              <w:t>in an effort to</w:t>
            </w:r>
            <w:proofErr w:type="gramEnd"/>
            <w:r w:rsidRPr="00C33C8F">
              <w:rPr>
                <w:rFonts w:asciiTheme="majorHAnsi" w:hAnsiTheme="majorHAnsi" w:cstheme="majorHAnsi"/>
                <w:color w:val="000000"/>
                <w:sz w:val="20"/>
                <w:szCs w:val="20"/>
              </w:rPr>
              <w:t xml:space="preserve">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w:t>
            </w:r>
            <w:proofErr w:type="gramStart"/>
            <w:r w:rsidRPr="00D50FC6">
              <w:rPr>
                <w:rFonts w:asciiTheme="majorHAnsi" w:hAnsiTheme="majorHAnsi" w:cstheme="majorHAnsi"/>
                <w:color w:val="000000"/>
                <w:sz w:val="20"/>
                <w:szCs w:val="20"/>
              </w:rPr>
              <w:t>at this time</w:t>
            </w:r>
            <w:proofErr w:type="gramEnd"/>
            <w:r w:rsidRPr="00D50FC6">
              <w:rPr>
                <w:rFonts w:asciiTheme="majorHAnsi" w:hAnsiTheme="majorHAnsi" w:cstheme="majorHAnsi"/>
                <w:color w:val="000000"/>
                <w:sz w:val="20"/>
                <w:szCs w:val="20"/>
              </w:rPr>
              <w:t xml:space="preserv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24"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24"/>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02D666DD"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r w:rsidRPr="00C33C8F">
              <w:rPr>
                <w:rFonts w:asciiTheme="majorHAnsi" w:hAnsiTheme="majorHAnsi" w:cstheme="majorHAnsi"/>
              </w:rPr>
              <w:t xml:space="preserve">: Registrars are prohibited from denying domain name transfer requests based on non-payment of fees for pending or future </w:t>
            </w:r>
            <w:r w:rsidRPr="00C33C8F">
              <w:rPr>
                <w:rFonts w:asciiTheme="majorHAnsi" w:hAnsiTheme="majorHAnsi" w:cstheme="majorHAnsi"/>
              </w:rPr>
              <w:lastRenderedPageBreak/>
              <w:t xml:space="preserve">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lastRenderedPageBreak/>
              <w:t xml:space="preserve">The Working Group has provided Implementation Guidance in response to input from ICANN’s Contractual Compliance Department that it would be helpful to provide additional guidance consistent with the </w:t>
            </w:r>
            <w:hyperlink r:id="rId46" w:history="1">
              <w:r w:rsidRPr="00FC1490">
                <w:rPr>
                  <w:rStyle w:val="Hyperlink"/>
                  <w:rFonts w:ascii="Calibri" w:hAnsi="Calibri" w:cs="Calibri"/>
                </w:rPr>
                <w:t>Registrar Advisory</w:t>
              </w:r>
            </w:hyperlink>
            <w:r>
              <w:rPr>
                <w:rFonts w:ascii="Calibri" w:hAnsi="Calibri" w:cs="Calibri"/>
                <w:color w:val="000000"/>
              </w:rPr>
              <w:t xml:space="preserve"> dated 3 April 2008 ​​which states, “</w:t>
            </w:r>
            <w:r w:rsidRPr="00C33C8F">
              <w:rPr>
                <w:rFonts w:ascii="Calibri" w:hAnsi="Calibri" w:cs="Calibri"/>
                <w:color w:val="000000"/>
              </w:rPr>
              <w:t xml:space="preserve">Pursuant </w:t>
            </w:r>
            <w:r w:rsidRPr="00C33C8F">
              <w:rPr>
                <w:rFonts w:ascii="Calibri" w:hAnsi="Calibri" w:cs="Calibri"/>
                <w:color w:val="000000"/>
              </w:rPr>
              <w:lastRenderedPageBreak/>
              <w:t>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lastRenderedPageBreak/>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097AC422"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Recommendatio</w:t>
            </w:r>
            <w:r w:rsidR="00542E3C">
              <w:rPr>
                <w:rFonts w:ascii="Calibri" w:hAnsi="Calibri" w:cs="Calibri"/>
                <w:color w:val="000000"/>
              </w:rPr>
              <w:t>n 15.</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 xml:space="preserve">Domain name in Registrar Lock </w:t>
            </w:r>
            <w:proofErr w:type="gramStart"/>
            <w:r>
              <w:rPr>
                <w:rFonts w:ascii="Calibri" w:hAnsi="Calibri" w:cs="Calibri"/>
                <w:color w:val="000000"/>
              </w:rPr>
              <w:t>Status, unless</w:t>
            </w:r>
            <w:proofErr w:type="gramEnd"/>
            <w:r>
              <w:rPr>
                <w:rFonts w:ascii="Calibri" w:hAnsi="Calibri" w:cs="Calibri"/>
                <w:color w:val="000000"/>
              </w:rPr>
              <w:t xml:space="preserve"> the Registered Name Holder is provided 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t>A registrar-applied inter-registrar transfer lock is in place on the</w:t>
            </w:r>
            <w:r>
              <w:rPr>
                <w:rFonts w:ascii="Calibri" w:hAnsi="Calibri" w:cs="Calibri"/>
                <w:color w:val="000000"/>
              </w:rPr>
              <w:t xml:space="preserve"> </w:t>
            </w:r>
            <w:proofErr w:type="spellStart"/>
            <w:r>
              <w:rPr>
                <w:rFonts w:ascii="Calibri" w:hAnsi="Calibri" w:cs="Calibri"/>
                <w:strike/>
                <w:color w:val="000000"/>
              </w:rPr>
              <w:t>D</w:t>
            </w:r>
            <w:r>
              <w:rPr>
                <w:rFonts w:ascii="Calibri" w:hAnsi="Calibri" w:cs="Calibri"/>
                <w:b/>
                <w:bCs/>
                <w:color w:val="000000"/>
              </w:rPr>
              <w:t>d</w:t>
            </w:r>
            <w:r>
              <w:rPr>
                <w:rFonts w:ascii="Calibri" w:hAnsi="Calibri" w:cs="Calibri"/>
                <w:color w:val="000000"/>
              </w:rPr>
              <w:t>omain</w:t>
            </w:r>
            <w:proofErr w:type="spellEnd"/>
            <w:r>
              <w:rPr>
                <w:rFonts w:ascii="Calibri" w:hAnsi="Calibri" w:cs="Calibri"/>
                <w:color w:val="000000"/>
              </w:rPr>
              <w:t xml:space="preserve"> name</w:t>
            </w:r>
            <w:r>
              <w:rPr>
                <w:rFonts w:ascii="Calibri" w:hAnsi="Calibri" w:cs="Calibri"/>
                <w:strike/>
                <w:color w:val="000000"/>
              </w:rPr>
              <w:t xml:space="preserve"> in Registrar Lock Status,</w:t>
            </w:r>
            <w:r>
              <w:rPr>
                <w:rFonts w:ascii="Calibri" w:hAnsi="Calibri" w:cs="Calibri"/>
                <w:color w:val="000000"/>
              </w:rPr>
              <w:t xml:space="preserve"> for reasons other 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The updates are primarily intended to improve clarity of the provision, use terminology that will be commonly understood, and refer to the relevant 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registration period time constraints, other than during the first 60 days of initial registration, during the first 60 days after a registrar 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Domain name registration period time constraints, other than </w:t>
            </w:r>
            <w:r>
              <w:rPr>
                <w:rFonts w:ascii="Calibri" w:hAnsi="Calibri" w:cs="Calibri"/>
                <w:b/>
                <w:bCs/>
                <w:color w:val="000000"/>
              </w:rPr>
              <w:t>as defined in I.A.3.7.5 and I.A.3.7.6</w:t>
            </w:r>
            <w:r>
              <w:rPr>
                <w:rStyle w:val="FootnoteReference"/>
                <w:rFonts w:cs="Calibri"/>
                <w:b/>
                <w:bCs/>
                <w:color w:val="000000"/>
              </w:rPr>
              <w:footnoteReference w:id="23"/>
            </w:r>
            <w:r>
              <w:rPr>
                <w:rFonts w:ascii="Calibri" w:hAnsi="Calibri" w:cs="Calibri"/>
                <w:b/>
                <w:bCs/>
                <w:color w:val="000000"/>
              </w:rPr>
              <w:t xml:space="preserve"> </w:t>
            </w:r>
            <w:r>
              <w:rPr>
                <w:rFonts w:ascii="Calibri" w:hAnsi="Calibri" w:cs="Calibri"/>
                <w:strike/>
                <w:color w:val="000000"/>
              </w:rPr>
              <w:t xml:space="preserve">during the first 60 days of initial registration, during the first 60 days after a registrar </w:t>
            </w:r>
            <w:proofErr w:type="gramStart"/>
            <w:r>
              <w:rPr>
                <w:rFonts w:ascii="Calibri" w:hAnsi="Calibri" w:cs="Calibri"/>
                <w:strike/>
                <w:color w:val="000000"/>
              </w:rPr>
              <w:t xml:space="preserve">transfer </w:t>
            </w:r>
            <w:r>
              <w:rPr>
                <w:rFonts w:ascii="Calibri" w:hAnsi="Calibri" w:cs="Calibri"/>
                <w:color w:val="000000"/>
              </w:rPr>
              <w:t>,</w:t>
            </w:r>
            <w:proofErr w:type="gramEnd"/>
            <w:r>
              <w:rPr>
                <w:rFonts w:ascii="Calibri" w:hAnsi="Calibri" w:cs="Calibri"/>
                <w:color w:val="000000"/>
              </w:rPr>
              <w:t xml:space="preserve">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154376" w:rsidRDefault="00154376" w:rsidP="00154376">
            <w:pPr>
              <w:pStyle w:val="NormalWeb"/>
              <w:rPr>
                <w:rFonts w:ascii="Calibri" w:hAnsi="Calibri" w:cs="Calibri"/>
                <w:color w:val="000000"/>
              </w:rPr>
            </w:pPr>
            <w:r w:rsidRPr="00154376">
              <w:rPr>
                <w:rFonts w:ascii="Calibri" w:hAnsi="Calibri" w:cs="Calibri"/>
                <w:color w:val="000000"/>
              </w:rPr>
              <w:t>The working group updated the language to reference the applicable provisions of the policy rather than repeating the details of those provisions.</w:t>
            </w:r>
          </w:p>
          <w:p w14:paraId="175DE78B" w14:textId="6F78FFA3"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Change of Registrant will be addressed in Phase 1(b) of the PDP. Reference to the “60-day lock following a Change of 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lastRenderedPageBreak/>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77777777" w:rsidR="00D50FC6" w:rsidRPr="00274DD8" w:rsidRDefault="00D50FC6" w:rsidP="00154376"/>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egistrars? If so, is this something that should be 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hyperlink r:id="rId47" w:history="1">
        <w:r w:rsidRPr="00E06DEA">
          <w:rPr>
            <w:rStyle w:val="Hyperlink"/>
            <w:rFonts w:asciiTheme="majorHAnsi" w:hAnsiTheme="majorHAnsi" w:cstheme="majorHAnsi"/>
            <w:sz w:val="24"/>
            <w:szCs w:val="24"/>
            <w:shd w:val="clear" w:color="auto" w:fill="FFFFFF"/>
          </w:rPr>
          <w:t>detailed comment</w:t>
        </w:r>
      </w:hyperlink>
      <w:r w:rsidRPr="008A5901">
        <w:rPr>
          <w:rFonts w:asciiTheme="majorHAnsi" w:hAnsiTheme="majorHAnsi" w:cstheme="majorHAnsi"/>
          <w:color w:val="000000" w:themeColor="text1"/>
          <w:sz w:val="24"/>
          <w:szCs w:val="24"/>
          <w:shd w:val="clear" w:color="auto" w:fill="FFFFFF"/>
        </w:rPr>
        <w:t xml:space="preserve"> in response to the </w:t>
      </w:r>
      <w:hyperlink r:id="rId48" w:history="1">
        <w:r w:rsidRPr="00E06DEA">
          <w:rPr>
            <w:rStyle w:val="Hyperlink"/>
            <w:rFonts w:asciiTheme="majorHAnsi" w:hAnsiTheme="majorHAnsi" w:cstheme="majorHAnsi"/>
            <w:sz w:val="24"/>
            <w:szCs w:val="24"/>
            <w:shd w:val="clear" w:color="auto" w:fill="FFFFFF"/>
          </w:rPr>
          <w:t>Transfer Policy Status Report</w:t>
        </w:r>
      </w:hyperlink>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w:t>
      </w:r>
      <w:proofErr w:type="spellStart"/>
      <w:r w:rsidRPr="008A5901">
        <w:rPr>
          <w:rFonts w:asciiTheme="majorHAnsi" w:hAnsiTheme="majorHAnsi" w:cstheme="majorHAnsi"/>
          <w:color w:val="000000" w:themeColor="text1"/>
          <w:sz w:val="24"/>
          <w:szCs w:val="24"/>
          <w:shd w:val="clear" w:color="auto" w:fill="FFFFFF"/>
        </w:rPr>
        <w:t>i</w:t>
      </w:r>
      <w:proofErr w:type="spellEnd"/>
      <w:r w:rsidRPr="008A5901">
        <w:rPr>
          <w:rFonts w:asciiTheme="majorHAnsi" w:hAnsiTheme="majorHAnsi" w:cstheme="majorHAnsi"/>
          <w:color w:val="000000" w:themeColor="text1"/>
          <w:sz w:val="24"/>
          <w:szCs w:val="24"/>
          <w:shd w:val="clear" w:color="auto" w:fill="FFFFFF"/>
        </w:rPr>
        <w:t>) the locking of a domain name subject to a UDRP proceeding (</w:t>
      </w:r>
      <w:proofErr w:type="gramStart"/>
      <w:r w:rsidRPr="008A5901">
        <w:rPr>
          <w:rFonts w:asciiTheme="majorHAnsi" w:hAnsiTheme="majorHAnsi" w:cstheme="majorHAnsi"/>
          <w:color w:val="000000" w:themeColor="text1"/>
          <w:sz w:val="24"/>
          <w:szCs w:val="24"/>
          <w:shd w:val="clear" w:color="auto" w:fill="FFFFFF"/>
        </w:rPr>
        <w:t>in order to</w:t>
      </w:r>
      <w:proofErr w:type="gramEnd"/>
      <w:r w:rsidRPr="008A5901">
        <w:rPr>
          <w:rFonts w:asciiTheme="majorHAnsi" w:hAnsiTheme="majorHAnsi" w:cstheme="majorHAnsi"/>
          <w:color w:val="000000" w:themeColor="text1"/>
          <w:sz w:val="24"/>
          <w:szCs w:val="24"/>
          <w:shd w:val="clear" w:color="auto" w:fill="FFFFFF"/>
        </w:rPr>
        <w:t xml:space="preserve">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24"/>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25"/>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UDRP Rule 4(b) provides, in part, “Within two (2) business days of receiving the Provider's verification request, the Registrar shall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confirm that a Lock</w:t>
      </w:r>
      <w:r>
        <w:rPr>
          <w:rStyle w:val="FootnoteReference"/>
          <w:rFonts w:cstheme="majorHAnsi"/>
          <w:color w:val="000000" w:themeColor="text1"/>
          <w:sz w:val="24"/>
          <w:szCs w:val="24"/>
          <w:shd w:val="clear" w:color="auto" w:fill="FFFFFF"/>
        </w:rPr>
        <w:footnoteReference w:id="26"/>
      </w:r>
      <w:r w:rsidRPr="008A5901">
        <w:rPr>
          <w:rFonts w:asciiTheme="majorHAnsi" w:hAnsiTheme="majorHAnsi" w:cstheme="majorHAnsi"/>
          <w:color w:val="000000" w:themeColor="text1"/>
          <w:sz w:val="24"/>
          <w:szCs w:val="24"/>
          <w:shd w:val="clear" w:color="auto" w:fill="FFFFFF"/>
        </w:rPr>
        <w:t xml:space="preserve"> of the domain name has been applied.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542E3C"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“The Registrar of Record MUST deny a transfer request in the following circumstances: </w:t>
      </w:r>
    </w:p>
    <w:p w14:paraId="758DD048" w14:textId="23FC2367" w:rsidR="008A5901" w:rsidRPr="00542E3C"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Pending UDRP proceeding that the Registrar has been notified of by the Provider in accordance with the UDRP Rules.”</w:t>
      </w:r>
      <w:r w:rsidR="00FC1490" w:rsidRPr="00542E3C">
        <w:rPr>
          <w:rFonts w:asciiTheme="majorHAnsi" w:hAnsiTheme="majorHAnsi" w:cstheme="majorHAnsi"/>
          <w:color w:val="000000" w:themeColor="text1"/>
          <w:sz w:val="24"/>
          <w:szCs w:val="24"/>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w:t>
      </w:r>
      <w:proofErr w:type="gramStart"/>
      <w:r w:rsidRPr="008A5901">
        <w:rPr>
          <w:rFonts w:asciiTheme="majorHAnsi" w:hAnsiTheme="majorHAnsi" w:cstheme="majorHAnsi"/>
          <w:color w:val="000000" w:themeColor="text1"/>
          <w:sz w:val="24"/>
          <w:szCs w:val="24"/>
          <w:shd w:val="clear" w:color="auto" w:fill="FFFFFF"/>
        </w:rPr>
        <w:t>in an effort to</w:t>
      </w:r>
      <w:proofErr w:type="gramEnd"/>
      <w:r w:rsidRPr="008A5901">
        <w:rPr>
          <w:rFonts w:asciiTheme="majorHAnsi" w:hAnsiTheme="majorHAnsi" w:cstheme="majorHAnsi"/>
          <w:color w:val="000000" w:themeColor="text1"/>
          <w:sz w:val="24"/>
          <w:szCs w:val="24"/>
          <w:shd w:val="clear" w:color="auto" w:fill="FFFFFF"/>
        </w:rPr>
        <w:t xml:space="preserve">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egistrars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Paragraph 4(</w:t>
      </w:r>
      <w:proofErr w:type="spellStart"/>
      <w:r w:rsidRPr="008A5901">
        <w:rPr>
          <w:rFonts w:asciiTheme="majorHAnsi" w:hAnsiTheme="majorHAnsi" w:cstheme="majorHAnsi"/>
          <w:color w:val="000000" w:themeColor="text1"/>
          <w:sz w:val="24"/>
          <w:szCs w:val="24"/>
          <w:shd w:val="clear" w:color="auto" w:fill="FFFFFF"/>
        </w:rPr>
        <w:t>i</w:t>
      </w:r>
      <w:proofErr w:type="spellEnd"/>
      <w:r w:rsidRPr="008A5901">
        <w:rPr>
          <w:rFonts w:asciiTheme="majorHAnsi" w:hAnsiTheme="majorHAnsi" w:cstheme="majorHAnsi"/>
          <w:color w:val="000000" w:themeColor="text1"/>
          <w:sz w:val="24"/>
          <w:szCs w:val="24"/>
          <w:shd w:val="clear" w:color="auto" w:fill="FFFFFF"/>
        </w:rPr>
        <w:t xml:space="preserve">)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Paragraph 4(k) goes on to provide, in part, “if an Administrative Panel decides that [the disputed] domain name registration should be canceled or transferred, [the Registrar of Record] will wait ten (10) business days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7AADAD94"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various methods their companies use to implement UDRP decisions, including, for example, providing the </w:t>
      </w:r>
      <w:proofErr w:type="spellStart"/>
      <w:r w:rsidRPr="008A5901">
        <w:rPr>
          <w:rFonts w:asciiTheme="majorHAnsi" w:hAnsiTheme="majorHAnsi" w:cstheme="majorHAnsi"/>
          <w:color w:val="000000" w:themeColor="text1"/>
          <w:sz w:val="24"/>
          <w:szCs w:val="24"/>
          <w:shd w:val="clear" w:color="auto" w:fill="FFFFFF"/>
        </w:rPr>
        <w:lastRenderedPageBreak/>
        <w:t>AuthInfo</w:t>
      </w:r>
      <w:proofErr w:type="spellEnd"/>
      <w:r w:rsidRPr="008A5901">
        <w:rPr>
          <w:rFonts w:asciiTheme="majorHAnsi" w:hAnsiTheme="majorHAnsi" w:cstheme="majorHAnsi"/>
          <w:color w:val="000000" w:themeColor="text1"/>
          <w:sz w:val="24"/>
          <w:szCs w:val="24"/>
          <w:shd w:val="clear" w:color="auto" w:fill="FFFFFF"/>
        </w:rPr>
        <w:t xml:space="preserve"> Code to the Complainant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w:t>
      </w:r>
      <w:proofErr w:type="gramStart"/>
      <w:r w:rsidRPr="008A5901">
        <w:rPr>
          <w:rFonts w:asciiTheme="majorHAnsi" w:hAnsiTheme="majorHAnsi" w:cstheme="majorHAnsi"/>
          <w:color w:val="000000" w:themeColor="text1"/>
          <w:sz w:val="24"/>
          <w:szCs w:val="24"/>
          <w:shd w:val="clear" w:color="auto" w:fill="FFFFFF"/>
        </w:rPr>
        <w:t>be in compliance with</w:t>
      </w:r>
      <w:proofErr w:type="gramEnd"/>
      <w:r w:rsidRPr="008A5901">
        <w:rPr>
          <w:rFonts w:asciiTheme="majorHAnsi" w:hAnsiTheme="majorHAnsi" w:cstheme="majorHAnsi"/>
          <w:color w:val="000000" w:themeColor="text1"/>
          <w:sz w:val="24"/>
          <w:szCs w:val="24"/>
          <w:shd w:val="clear" w:color="auto" w:fill="FFFFFF"/>
        </w:rPr>
        <w:t xml:space="preserve">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412A14CF" w14:textId="1BB6D9C6" w:rsidR="00EF0921" w:rsidRPr="00BE6522" w:rsidRDefault="008A5901" w:rsidP="00BE6522">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27"/>
      </w:r>
      <w:r w:rsidRPr="008A5901">
        <w:rPr>
          <w:rFonts w:asciiTheme="majorHAnsi" w:hAnsiTheme="majorHAnsi" w:cstheme="majorHAnsi"/>
          <w:color w:val="000000" w:themeColor="text1"/>
          <w:sz w:val="24"/>
          <w:szCs w:val="24"/>
          <w:shd w:val="clear" w:color="auto" w:fill="FFFFFF"/>
        </w:rPr>
        <w:t xml:space="preserve"> would be a violation of the UDRP, and, 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believed the specific implementation around UDRP decisions to be out of scope for the Transfer Policy.</w:t>
      </w:r>
      <w:r w:rsidR="00EF0921">
        <w:rPr>
          <w:rFonts w:asciiTheme="majorHAnsi" w:hAnsiTheme="majorHAnsi"/>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25" w:name="_Toc105508328"/>
      <w:r>
        <w:rPr>
          <w:rFonts w:asciiTheme="majorHAnsi" w:hAnsiTheme="majorHAnsi"/>
        </w:rPr>
        <w:t>Next Steps</w:t>
      </w:r>
      <w:bookmarkEnd w:id="25"/>
    </w:p>
    <w:p w14:paraId="5E8C03EE" w14:textId="3E18BB16" w:rsidR="008C5C31" w:rsidRDefault="008C5C31" w:rsidP="00326FA3">
      <w:pPr>
        <w:pStyle w:val="Bullets"/>
        <w:numPr>
          <w:ilvl w:val="0"/>
          <w:numId w:val="0"/>
        </w:numPr>
        <w:ind w:right="0"/>
        <w:rPr>
          <w:rFonts w:asciiTheme="majorHAnsi" w:hAnsiTheme="majorHAnsi"/>
        </w:rPr>
      </w:pPr>
    </w:p>
    <w:p w14:paraId="6C75C1E8" w14:textId="73E90B29"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This Initial Report will be posted for public comment for </w:t>
      </w:r>
      <w:r w:rsidR="00FA7BAC" w:rsidRPr="001B0C6B">
        <w:rPr>
          <w:rFonts w:asciiTheme="majorHAnsi" w:hAnsiTheme="majorHAnsi" w:cstheme="majorHAnsi"/>
          <w:color w:val="000000"/>
        </w:rPr>
        <w:t xml:space="preserve">42 </w:t>
      </w:r>
      <w:r w:rsidRPr="001B0C6B">
        <w:rPr>
          <w:rFonts w:asciiTheme="majorHAnsi" w:hAnsiTheme="majorHAnsi" w:cstheme="majorHAnsi"/>
          <w:color w:val="000000"/>
        </w:rPr>
        <w:t>days</w:t>
      </w:r>
      <w:r w:rsidRPr="00A90B05">
        <w:rPr>
          <w:rFonts w:asciiTheme="majorHAnsi" w:hAnsiTheme="majorHAnsi" w:cstheme="majorHAnsi"/>
          <w:color w:val="000000"/>
        </w:rPr>
        <w:t xml:space="preserve">. The working group will review the public comments received on this Initial Report and consider whether any changes need to be made to its </w:t>
      </w:r>
      <w:r w:rsidR="00805C43">
        <w:rPr>
          <w:rFonts w:asciiTheme="majorHAnsi" w:hAnsiTheme="majorHAnsi" w:cstheme="majorHAnsi"/>
          <w:color w:val="000000"/>
        </w:rPr>
        <w:t>P</w:t>
      </w:r>
      <w:r w:rsidRPr="00A90B05">
        <w:rPr>
          <w:rFonts w:asciiTheme="majorHAnsi" w:hAnsiTheme="majorHAnsi" w:cstheme="majorHAnsi"/>
          <w:color w:val="000000"/>
        </w:rPr>
        <w:t xml:space="preserve">hase 1(a) recommendations. The working group will complete </w:t>
      </w:r>
      <w:r w:rsidR="00805C43">
        <w:rPr>
          <w:rFonts w:asciiTheme="majorHAnsi" w:hAnsiTheme="majorHAnsi" w:cstheme="majorHAnsi"/>
          <w:color w:val="000000"/>
        </w:rPr>
        <w:t>P</w:t>
      </w:r>
      <w:r w:rsidRPr="00A90B05">
        <w:rPr>
          <w:rFonts w:asciiTheme="majorHAnsi" w:hAnsiTheme="majorHAnsi" w:cstheme="majorHAnsi"/>
          <w:color w:val="000000"/>
        </w:rPr>
        <w:t>hase 1(b) of its work, including</w:t>
      </w:r>
      <w:r w:rsidR="00805C43">
        <w:rPr>
          <w:rFonts w:asciiTheme="majorHAnsi" w:hAnsiTheme="majorHAnsi" w:cstheme="majorHAnsi"/>
          <w:color w:val="000000"/>
        </w:rPr>
        <w:t xml:space="preserve"> </w:t>
      </w:r>
      <w:r w:rsidRPr="00A90B05">
        <w:rPr>
          <w:rFonts w:asciiTheme="majorHAnsi" w:hAnsiTheme="majorHAnsi" w:cstheme="majorHAnsi"/>
          <w:color w:val="000000"/>
        </w:rPr>
        <w:t xml:space="preserve">a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followed by a public comment period on the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The working group will finalize all </w:t>
      </w:r>
      <w:r w:rsidR="00805C43">
        <w:rPr>
          <w:rFonts w:asciiTheme="majorHAnsi" w:hAnsiTheme="majorHAnsi" w:cstheme="majorHAnsi"/>
          <w:color w:val="000000"/>
        </w:rPr>
        <w:t>P</w:t>
      </w:r>
      <w:r w:rsidRPr="00A90B05">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A90B05"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Following a charter review process, </w:t>
      </w:r>
      <w:r w:rsidR="00A42408">
        <w:rPr>
          <w:rFonts w:asciiTheme="majorHAnsi" w:hAnsiTheme="majorHAnsi" w:cstheme="majorHAnsi"/>
          <w:color w:val="000000"/>
        </w:rPr>
        <w:t>P</w:t>
      </w:r>
      <w:r w:rsidRPr="00A90B05">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26" w:name="_Toc105508329"/>
      <w:r>
        <w:rPr>
          <w:rFonts w:asciiTheme="majorHAnsi" w:hAnsiTheme="majorHAnsi"/>
        </w:rPr>
        <w:lastRenderedPageBreak/>
        <w:t xml:space="preserve">Annex A - </w:t>
      </w:r>
      <w:r w:rsidR="008C5C31">
        <w:rPr>
          <w:rFonts w:asciiTheme="majorHAnsi" w:hAnsiTheme="majorHAnsi"/>
        </w:rPr>
        <w:t>Background</w:t>
      </w:r>
      <w:bookmarkEnd w:id="26"/>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hyperlink r:id="rId49" w:history="1">
        <w:r w:rsidRPr="002F0F90">
          <w:rPr>
            <w:rStyle w:val="Hyperlink"/>
            <w:rFonts w:ascii="Calibri" w:hAnsi="Calibri" w:cs="Calibri"/>
          </w:rPr>
          <w:t>Transfer Policy Status Report</w:t>
        </w:r>
      </w:hyperlink>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hyperlink r:id="rId50" w:history="1">
        <w:r w:rsidRPr="002F0F90">
          <w:rPr>
            <w:rStyle w:val="Hyperlink"/>
            <w:rFonts w:ascii="Calibri" w:hAnsi="Calibri" w:cs="Calibri"/>
          </w:rPr>
          <w:t>Final Report</w:t>
        </w:r>
      </w:hyperlink>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w:t>
      </w:r>
      <w:proofErr w:type="gramStart"/>
      <w:r w:rsidRPr="00845AD0">
        <w:rPr>
          <w:rFonts w:ascii="Calibri" w:hAnsi="Calibri" w:cs="Calibri"/>
          <w:color w:val="000000"/>
        </w:rPr>
        <w:t>);</w:t>
      </w:r>
      <w:proofErr w:type="gramEnd"/>
      <w:r w:rsidRPr="00845AD0">
        <w:rPr>
          <w:rFonts w:ascii="Calibri" w:hAnsi="Calibri" w:cs="Calibri"/>
          <w:color w:val="000000"/>
        </w:rPr>
        <w:t>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hyperlink r:id="rId51" w:history="1">
        <w:r w:rsidRPr="00A42408">
          <w:rPr>
            <w:rStyle w:val="Hyperlink"/>
            <w:rFonts w:ascii="Calibri" w:hAnsi="Calibri" w:cs="Calibri"/>
          </w:rPr>
          <w:t>Transfer Policy Review Scoping Paper</w:t>
        </w:r>
      </w:hyperlink>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hyperlink r:id="rId52" w:history="1">
        <w:r w:rsidRPr="00845AD0">
          <w:rPr>
            <w:rStyle w:val="Hyperlink"/>
            <w:rFonts w:ascii="Calibri" w:hAnsi="Calibri" w:cs="Calibri"/>
          </w:rPr>
          <w:t>Final Issue Report</w:t>
        </w:r>
      </w:hyperlink>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proofErr w:type="spellStart"/>
      <w:r w:rsidRPr="00845AD0">
        <w:rPr>
          <w:rFonts w:ascii="Calibri" w:hAnsi="Calibri" w:cs="Calibri"/>
          <w:color w:val="000000"/>
        </w:rPr>
        <w:t>Auth</w:t>
      </w:r>
      <w:r w:rsidR="004478A3">
        <w:rPr>
          <w:rFonts w:ascii="Calibri" w:hAnsi="Calibri" w:cs="Calibri"/>
          <w:color w:val="000000"/>
        </w:rPr>
        <w:t>Info</w:t>
      </w:r>
      <w:proofErr w:type="spellEnd"/>
      <w:r w:rsidR="004478A3">
        <w:rPr>
          <w:rFonts w:ascii="Calibri" w:hAnsi="Calibri" w:cs="Calibri"/>
          <w:color w:val="000000"/>
        </w:rPr>
        <w:t xml:space="preserve">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w:t>
      </w:r>
      <w:proofErr w:type="spellStart"/>
      <w:r w:rsidRPr="00845AD0">
        <w:rPr>
          <w:rFonts w:ascii="Calibri" w:hAnsi="Calibri" w:cs="Calibri"/>
          <w:color w:val="000000"/>
        </w:rPr>
        <w:t>NACKing</w:t>
      </w:r>
      <w:proofErr w:type="spellEnd"/>
      <w:r w:rsidRPr="00845AD0">
        <w:rPr>
          <w:rFonts w:ascii="Calibri" w:hAnsi="Calibri" w:cs="Calibri"/>
          <w:color w:val="000000"/>
        </w:rPr>
        <w:t xml:space="preserve">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hyperlink r:id="rId53" w:anchor="202102" w:history="1">
        <w:r w:rsidRPr="00A42408">
          <w:rPr>
            <w:rStyle w:val="Hyperlink"/>
            <w:rFonts w:ascii="Calibri" w:hAnsi="Calibri" w:cs="Calibri"/>
          </w:rPr>
          <w:t>resolution</w:t>
        </w:r>
      </w:hyperlink>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w:t>
      </w:r>
      <w:proofErr w:type="spellStart"/>
      <w:r w:rsidRPr="00845AD0">
        <w:rPr>
          <w:rFonts w:ascii="Calibri" w:hAnsi="Calibri" w:cs="Calibri"/>
          <w:color w:val="000000"/>
        </w:rPr>
        <w:t>AuthInfo</w:t>
      </w:r>
      <w:proofErr w:type="spellEnd"/>
      <w:r w:rsidRPr="00845AD0">
        <w:rPr>
          <w:rFonts w:ascii="Calibri" w:hAnsi="Calibri" w:cs="Calibri"/>
          <w:color w:val="000000"/>
        </w:rPr>
        <w:t xml:space="preserve">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 xml:space="preserve">EPDP Phase 1, Recommendation </w:t>
      </w:r>
      <w:proofErr w:type="gramStart"/>
      <w:r w:rsidR="005F2CCF">
        <w:rPr>
          <w:rFonts w:ascii="Calibri" w:hAnsi="Calibri" w:cs="Calibri"/>
          <w:color w:val="000000"/>
        </w:rPr>
        <w:t>27,</w:t>
      </w:r>
      <w:r w:rsidR="005F2CCF" w:rsidRPr="00845AD0">
        <w:rPr>
          <w:rFonts w:ascii="Calibri" w:hAnsi="Calibri" w:cs="Calibri"/>
          <w:color w:val="000000"/>
        </w:rPr>
        <w:t xml:space="preserve"> </w:t>
      </w:r>
      <w:r w:rsidRPr="00845AD0">
        <w:rPr>
          <w:rFonts w:ascii="Calibri" w:hAnsi="Calibri" w:cs="Calibri"/>
          <w:color w:val="000000"/>
        </w:rPr>
        <w:t xml:space="preserve"> Wave</w:t>
      </w:r>
      <w:proofErr w:type="gramEnd"/>
      <w:r w:rsidRPr="00845AD0">
        <w:rPr>
          <w:rFonts w:ascii="Calibri" w:hAnsi="Calibri" w:cs="Calibri"/>
          <w:color w:val="000000"/>
        </w:rPr>
        <w:t xml:space="preser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w:t>
      </w:r>
      <w:proofErr w:type="spellStart"/>
      <w:r w:rsidRPr="00845AD0">
        <w:rPr>
          <w:rFonts w:ascii="Calibri" w:hAnsi="Calibri" w:cs="Calibri"/>
          <w:color w:val="000000"/>
        </w:rPr>
        <w:t>NACKing</w:t>
      </w:r>
      <w:proofErr w:type="spellEnd"/>
      <w:r w:rsidRPr="00845AD0">
        <w:rPr>
          <w:rFonts w:ascii="Calibri" w:hAnsi="Calibri" w:cs="Calibri"/>
          <w:color w:val="000000"/>
        </w:rPr>
        <w:t>)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The topic of denying (</w:t>
      </w:r>
      <w:proofErr w:type="spellStart"/>
      <w:r w:rsidRPr="00845AD0">
        <w:rPr>
          <w:rFonts w:ascii="Calibri" w:hAnsi="Calibri" w:cs="Calibri"/>
          <w:color w:val="000000"/>
        </w:rPr>
        <w:t>NACKing</w:t>
      </w:r>
      <w:proofErr w:type="spellEnd"/>
      <w:r w:rsidRPr="00845AD0">
        <w:rPr>
          <w:rFonts w:ascii="Calibri" w:hAnsi="Calibri" w:cs="Calibri"/>
          <w:color w:val="000000"/>
        </w:rPr>
        <w:t xml:space="preserve">) transfers was later moved to Phase 1(a) by </w:t>
      </w:r>
      <w:hyperlink r:id="rId54" w:anchor="202112" w:history="1">
        <w:r w:rsidRPr="00A42408">
          <w:rPr>
            <w:rStyle w:val="Hyperlink"/>
            <w:rFonts w:ascii="Calibri" w:hAnsi="Calibri" w:cs="Calibri"/>
          </w:rPr>
          <w:t>Project Change Request</w:t>
        </w:r>
      </w:hyperlink>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hyperlink r:id="rId55" w:anchor="202103" w:history="1">
        <w:r w:rsidRPr="00A42408">
          <w:rPr>
            <w:rStyle w:val="Hyperlink"/>
            <w:rFonts w:ascii="Calibri" w:hAnsi="Calibri" w:cs="Calibri"/>
          </w:rPr>
          <w:t>approved</w:t>
        </w:r>
      </w:hyperlink>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27" w:name="_Toc105508330"/>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27"/>
    </w:p>
    <w:p w14:paraId="04CAD007" w14:textId="77777777" w:rsidR="00D86DD1" w:rsidRPr="00D86DD1" w:rsidRDefault="00D86DD1" w:rsidP="00D86DD1">
      <w:pPr>
        <w:rPr>
          <w:rFonts w:asciiTheme="majorHAnsi" w:hAnsiTheme="majorHAnsi"/>
        </w:rPr>
      </w:pPr>
    </w:p>
    <w:p w14:paraId="63FB551C"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held its first meeting in April 2021. Recordings and transcripts of the group’s discussions can be found on its </w:t>
      </w:r>
      <w:hyperlink r:id="rId56" w:history="1">
        <w:r w:rsidRPr="000919C4">
          <w:rPr>
            <w:rStyle w:val="Hyperlink"/>
            <w:rFonts w:asciiTheme="majorHAnsi" w:hAnsiTheme="majorHAnsi" w:cstheme="majorHAnsi"/>
          </w:rPr>
          <w:t>wiki space</w:t>
        </w:r>
      </w:hyperlink>
      <w:r w:rsidRPr="000919C4">
        <w:rPr>
          <w:rFonts w:asciiTheme="majorHAnsi" w:hAnsiTheme="majorHAnsi" w:cstheme="majorHAnsi"/>
        </w:rPr>
        <w:t xml:space="preserve">. It has conducted its work primarily through weekly conference calls, in addition to email exchanges on its mailing list. </w:t>
      </w:r>
    </w:p>
    <w:p w14:paraId="3BFD0A75" w14:textId="77777777" w:rsidR="006860F8" w:rsidRPr="000919C4" w:rsidRDefault="006860F8" w:rsidP="006860F8">
      <w:pPr>
        <w:rPr>
          <w:rFonts w:asciiTheme="majorHAnsi" w:hAnsiTheme="majorHAnsi" w:cstheme="majorHAnsi"/>
        </w:rPr>
      </w:pPr>
    </w:p>
    <w:p w14:paraId="75870AEF" w14:textId="6991A971"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As instructed by the GNSO Council, the Working Group prepared a </w:t>
      </w:r>
      <w:hyperlink r:id="rId57" w:history="1">
        <w:r w:rsidRPr="000919C4">
          <w:rPr>
            <w:rStyle w:val="Hyperlink"/>
            <w:rFonts w:asciiTheme="majorHAnsi" w:hAnsiTheme="majorHAnsi" w:cstheme="majorHAnsi"/>
          </w:rPr>
          <w:t>work plan</w:t>
        </w:r>
      </w:hyperlink>
      <w:r w:rsidR="0014573D">
        <w:rPr>
          <w:rFonts w:asciiTheme="majorHAnsi" w:hAnsiTheme="majorHAnsi" w:cstheme="majorHAnsi"/>
        </w:rPr>
        <w:t>,</w:t>
      </w:r>
      <w:r w:rsidRPr="000919C4">
        <w:rPr>
          <w:rFonts w:asciiTheme="majorHAnsi" w:hAnsiTheme="majorHAnsi" w:cstheme="majorHAnsi"/>
        </w:rPr>
        <w:t xml:space="preserve"> which it reviewed on a regular basis. The Working Group Chair and the GNSO Council Liaison to the Working Group also provided regular reports to the GNSO Council regarding the status and progress of the group’s work. Details of the project schedule, attendance and action items can be found in the monthly project packages.  </w:t>
      </w:r>
    </w:p>
    <w:p w14:paraId="58BB6A42" w14:textId="77777777" w:rsidR="006860F8" w:rsidRPr="000919C4" w:rsidRDefault="006860F8" w:rsidP="006860F8">
      <w:pPr>
        <w:rPr>
          <w:rFonts w:asciiTheme="majorHAnsi" w:hAnsiTheme="majorHAnsi" w:cstheme="majorHAnsi"/>
        </w:rPr>
      </w:pPr>
    </w:p>
    <w:p w14:paraId="28E8547F"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email archives can be found at </w:t>
      </w:r>
      <w:hyperlink r:id="rId58" w:history="1">
        <w:r w:rsidRPr="000919C4">
          <w:rPr>
            <w:rStyle w:val="Hyperlink"/>
            <w:rFonts w:asciiTheme="majorHAnsi" w:hAnsiTheme="majorHAnsi" w:cstheme="majorHAnsi"/>
          </w:rPr>
          <w:t>https://mm.icann.org/pipermail/gnso-tpr/</w:t>
        </w:r>
      </w:hyperlink>
      <w:r w:rsidRPr="000919C4">
        <w:rPr>
          <w:rFonts w:asciiTheme="majorHAnsi" w:hAnsiTheme="majorHAnsi" w:cstheme="majorHAnsi"/>
        </w:rPr>
        <w:t xml:space="preserve">.  </w:t>
      </w:r>
    </w:p>
    <w:p w14:paraId="73FE62E7" w14:textId="77777777" w:rsidR="006860F8" w:rsidRPr="000919C4" w:rsidRDefault="006860F8" w:rsidP="006860F8">
      <w:pPr>
        <w:rPr>
          <w:rFonts w:asciiTheme="majorHAnsi" w:hAnsiTheme="majorHAnsi" w:cstheme="majorHAnsi"/>
        </w:rPr>
      </w:pPr>
    </w:p>
    <w:p w14:paraId="01251ECC" w14:textId="77777777" w:rsidR="006860F8" w:rsidRPr="000919C4" w:rsidRDefault="006860F8" w:rsidP="006860F8">
      <w:pPr>
        <w:rPr>
          <w:rFonts w:asciiTheme="majorHAnsi" w:hAnsiTheme="majorHAnsi" w:cstheme="majorHAnsi"/>
        </w:rPr>
      </w:pPr>
    </w:p>
    <w:p w14:paraId="081B3AB9"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Plenary Meetings:</w:t>
      </w:r>
    </w:p>
    <w:p w14:paraId="17A8910B"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50 Plenary calls (w/ 4 cancelled) for 68.5 call hours for a total of 1506.0 person hours</w:t>
      </w:r>
    </w:p>
    <w:p w14:paraId="38D11D10"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81.4% total participation rate</w:t>
      </w:r>
    </w:p>
    <w:p w14:paraId="4954CAA3" w14:textId="77777777" w:rsidR="006860F8" w:rsidRPr="000919C4" w:rsidRDefault="006860F8" w:rsidP="006860F8">
      <w:pPr>
        <w:rPr>
          <w:rFonts w:asciiTheme="majorHAnsi" w:hAnsiTheme="majorHAnsi" w:cstheme="majorHAnsi"/>
        </w:rPr>
      </w:pPr>
    </w:p>
    <w:p w14:paraId="54EEACE0"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Small Team Meetings:</w:t>
      </w:r>
    </w:p>
    <w:p w14:paraId="636AE929"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8 Small team calls for 8.0 call hours for a total of 78.0 person hours</w:t>
      </w:r>
    </w:p>
    <w:p w14:paraId="177FB74B"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100.0% total participation rate</w:t>
      </w:r>
    </w:p>
    <w:p w14:paraId="19A77338" w14:textId="77777777" w:rsidR="006860F8" w:rsidRPr="000919C4" w:rsidRDefault="006860F8" w:rsidP="006860F8">
      <w:pPr>
        <w:rPr>
          <w:rFonts w:asciiTheme="majorHAnsi" w:hAnsiTheme="majorHAnsi" w:cstheme="majorHAnsi"/>
        </w:rPr>
      </w:pPr>
    </w:p>
    <w:p w14:paraId="47FBDCF2"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Leadership Meetings:</w:t>
      </w:r>
    </w:p>
    <w:p w14:paraId="24581332"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 xml:space="preserve">49 Leadership calls (w/6 cancelled) for 23.0 call hours for a total of 212.0 person hours </w:t>
      </w:r>
    </w:p>
    <w:p w14:paraId="496DF40B" w14:textId="77777777" w:rsidR="006953B5" w:rsidRDefault="006953B5">
      <w:pPr>
        <w:rPr>
          <w:rFonts w:asciiTheme="majorHAnsi" w:hAnsiTheme="majorHAnsi"/>
        </w:rPr>
      </w:pPr>
      <w:r>
        <w:rPr>
          <w:rFonts w:asciiTheme="majorHAnsi" w:hAnsiTheme="majorHAnsi"/>
        </w:rPr>
        <w:br w:type="page"/>
      </w:r>
    </w:p>
    <w:p w14:paraId="189C54AA" w14:textId="7FD4A56F" w:rsidR="006953B5" w:rsidRPr="001B0C6B" w:rsidRDefault="006953B5" w:rsidP="00D86DD1">
      <w:pPr>
        <w:rPr>
          <w:rFonts w:asciiTheme="majorHAnsi" w:hAnsiTheme="majorHAnsi"/>
          <w:b/>
          <w:bCs/>
        </w:rPr>
      </w:pPr>
      <w:r w:rsidRPr="001B0C6B">
        <w:rPr>
          <w:rFonts w:asciiTheme="majorHAnsi" w:hAnsiTheme="majorHAnsi"/>
          <w:b/>
          <w:bCs/>
        </w:rPr>
        <w:lastRenderedPageBreak/>
        <w:t>Working Group Activity Metrics:</w:t>
      </w:r>
    </w:p>
    <w:p w14:paraId="1B214216" w14:textId="7BC03ACA" w:rsidR="00D86DD1" w:rsidRDefault="006860F8" w:rsidP="00D86DD1">
      <w:pPr>
        <w:rPr>
          <w:rFonts w:asciiTheme="majorHAnsi" w:hAnsiTheme="majorHAnsi"/>
        </w:rPr>
      </w:pPr>
      <w:r w:rsidRPr="00B36131">
        <w:rPr>
          <w:noProof/>
        </w:rPr>
        <w:drawing>
          <wp:inline distT="0" distB="0" distL="0" distR="0" wp14:anchorId="4A399F8A" wp14:editId="0B9E4D5E">
            <wp:extent cx="5486400" cy="4171657"/>
            <wp:effectExtent l="0" t="0" r="0" b="0"/>
            <wp:docPr id="1" name="Picture 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59"/>
                    <a:stretch>
                      <a:fillRect/>
                    </a:stretch>
                  </pic:blipFill>
                  <pic:spPr>
                    <a:xfrm>
                      <a:off x="0" y="0"/>
                      <a:ext cx="5486400" cy="4171657"/>
                    </a:xfrm>
                    <a:prstGeom prst="rect">
                      <a:avLst/>
                    </a:prstGeom>
                  </pic:spPr>
                </pic:pic>
              </a:graphicData>
            </a:graphic>
          </wp:inline>
        </w:drawing>
      </w:r>
    </w:p>
    <w:p w14:paraId="1CA0E404" w14:textId="77777777" w:rsidR="006860F8" w:rsidRPr="00D86DD1" w:rsidRDefault="006860F8"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49E498E1" w14:textId="77777777" w:rsidR="00AA553D" w:rsidRDefault="00AA553D">
      <w:pPr>
        <w:rPr>
          <w:rFonts w:asciiTheme="majorHAnsi" w:hAnsiTheme="majorHAnsi"/>
        </w:rPr>
      </w:pPr>
      <w:r>
        <w:rPr>
          <w:rFonts w:asciiTheme="majorHAnsi" w:hAnsiTheme="majorHAnsi"/>
        </w:rPr>
        <w:br w:type="page"/>
      </w:r>
    </w:p>
    <w:p w14:paraId="48730349" w14:textId="4AFF942E" w:rsidR="006860F8" w:rsidRPr="00E21E69" w:rsidRDefault="006860F8" w:rsidP="006860F8">
      <w:pPr>
        <w:rPr>
          <w:rFonts w:asciiTheme="majorHAnsi" w:hAnsiTheme="majorHAnsi"/>
        </w:rPr>
      </w:pPr>
      <w:r w:rsidRPr="00E21E69">
        <w:rPr>
          <w:rFonts w:asciiTheme="majorHAnsi" w:hAnsiTheme="majorHAnsi"/>
        </w:rPr>
        <w:lastRenderedPageBreak/>
        <w:t xml:space="preserve">The Members of the </w:t>
      </w:r>
      <w:r>
        <w:rPr>
          <w:rFonts w:asciiTheme="majorHAnsi" w:hAnsiTheme="majorHAnsi"/>
        </w:rPr>
        <w:t>Working Group</w:t>
      </w:r>
      <w:r w:rsidRPr="00E21E69">
        <w:rPr>
          <w:rFonts w:asciiTheme="majorHAnsi" w:hAnsiTheme="majorHAnsi"/>
        </w:rPr>
        <w:t xml:space="preserve"> are: </w:t>
      </w:r>
    </w:p>
    <w:tbl>
      <w:tblPr>
        <w:tblW w:w="9780" w:type="dxa"/>
        <w:tblInd w:w="-38" w:type="dxa"/>
        <w:tblLayout w:type="fixed"/>
        <w:tblLook w:val="0000" w:firstRow="0" w:lastRow="0" w:firstColumn="0" w:lastColumn="0" w:noHBand="0" w:noVBand="0"/>
      </w:tblPr>
      <w:tblGrid>
        <w:gridCol w:w="3520"/>
        <w:gridCol w:w="1060"/>
        <w:gridCol w:w="1300"/>
        <w:gridCol w:w="1300"/>
        <w:gridCol w:w="1300"/>
        <w:gridCol w:w="1300"/>
      </w:tblGrid>
      <w:tr w:rsidR="000A1B9C" w14:paraId="59171346"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28AB52F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Represented Group</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4F9B7C8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SOI</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B04AE2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Start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D9A75C6"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Depart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49A4F1B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Attended %</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7D9C99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Role</w:t>
            </w:r>
          </w:p>
        </w:tc>
      </w:tr>
      <w:tr w:rsidR="000A1B9C" w14:paraId="7EAB2946"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654B3C7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At-Large Advisory Committee (ALAC)</w:t>
            </w:r>
          </w:p>
        </w:tc>
        <w:tc>
          <w:tcPr>
            <w:tcW w:w="1060" w:type="dxa"/>
            <w:tcBorders>
              <w:top w:val="single" w:sz="6" w:space="0" w:color="auto"/>
              <w:left w:val="nil"/>
              <w:bottom w:val="single" w:sz="6" w:space="0" w:color="auto"/>
              <w:right w:val="nil"/>
            </w:tcBorders>
            <w:shd w:val="solid" w:color="C0C0C0" w:fill="auto"/>
          </w:tcPr>
          <w:p w14:paraId="125BB1D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2C274A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902D61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CDBB72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73.9%</w:t>
            </w:r>
          </w:p>
        </w:tc>
        <w:tc>
          <w:tcPr>
            <w:tcW w:w="1300" w:type="dxa"/>
            <w:tcBorders>
              <w:top w:val="single" w:sz="6" w:space="0" w:color="auto"/>
              <w:left w:val="nil"/>
              <w:bottom w:val="single" w:sz="6" w:space="0" w:color="auto"/>
              <w:right w:val="single" w:sz="6" w:space="0" w:color="auto"/>
            </w:tcBorders>
            <w:shd w:val="solid" w:color="C0C0C0" w:fill="auto"/>
          </w:tcPr>
          <w:p w14:paraId="740F012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736D036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75B5DFD" w14:textId="77777777" w:rsidR="000A1B9C" w:rsidRDefault="000A1B9C">
            <w:pPr>
              <w:autoSpaceDE w:val="0"/>
              <w:autoSpaceDN w:val="0"/>
              <w:adjustRightInd w:val="0"/>
              <w:rPr>
                <w:rFonts w:ascii="Calibri" w:eastAsiaTheme="minorEastAsia" w:hAnsi="Calibri" w:cs="Calibri"/>
                <w:color w:val="000000"/>
                <w:sz w:val="22"/>
                <w:szCs w:val="22"/>
                <w:lang w:eastAsia="en-US"/>
              </w:rPr>
            </w:pPr>
            <w:proofErr w:type="spellStart"/>
            <w:r>
              <w:rPr>
                <w:rFonts w:ascii="Calibri" w:eastAsiaTheme="minorEastAsia" w:hAnsi="Calibri" w:cs="Calibri"/>
                <w:color w:val="000000"/>
                <w:sz w:val="22"/>
                <w:szCs w:val="22"/>
                <w:lang w:eastAsia="en-US"/>
              </w:rPr>
              <w:t>Nanghaka</w:t>
            </w:r>
            <w:proofErr w:type="spellEnd"/>
            <w:r>
              <w:rPr>
                <w:rFonts w:ascii="Calibri" w:eastAsiaTheme="minorEastAsia" w:hAnsi="Calibri" w:cs="Calibri"/>
                <w:color w:val="000000"/>
                <w:sz w:val="22"/>
                <w:szCs w:val="22"/>
                <w:lang w:eastAsia="en-US"/>
              </w:rPr>
              <w:t xml:space="preserve"> Daniel </w:t>
            </w:r>
            <w:proofErr w:type="spellStart"/>
            <w:r>
              <w:rPr>
                <w:rFonts w:ascii="Calibri" w:eastAsiaTheme="minorEastAsia" w:hAnsi="Calibri" w:cs="Calibri"/>
                <w:color w:val="000000"/>
                <w:sz w:val="22"/>
                <w:szCs w:val="22"/>
                <w:lang w:eastAsia="en-US"/>
              </w:rPr>
              <w:t>Khauka</w:t>
            </w:r>
            <w:proofErr w:type="spellEnd"/>
          </w:p>
        </w:tc>
        <w:tc>
          <w:tcPr>
            <w:tcW w:w="1060" w:type="dxa"/>
            <w:tcBorders>
              <w:top w:val="single" w:sz="6" w:space="0" w:color="auto"/>
              <w:left w:val="single" w:sz="6" w:space="0" w:color="auto"/>
              <w:bottom w:val="single" w:sz="6" w:space="0" w:color="auto"/>
              <w:right w:val="single" w:sz="6" w:space="0" w:color="auto"/>
            </w:tcBorders>
          </w:tcPr>
          <w:p w14:paraId="57317A9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039D2B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5/4/2021</w:t>
            </w:r>
          </w:p>
        </w:tc>
        <w:tc>
          <w:tcPr>
            <w:tcW w:w="1300" w:type="dxa"/>
            <w:tcBorders>
              <w:top w:val="single" w:sz="6" w:space="0" w:color="auto"/>
              <w:left w:val="single" w:sz="6" w:space="0" w:color="auto"/>
              <w:bottom w:val="single" w:sz="6" w:space="0" w:color="auto"/>
              <w:right w:val="single" w:sz="6" w:space="0" w:color="auto"/>
            </w:tcBorders>
          </w:tcPr>
          <w:p w14:paraId="6555B6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4372A4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69.6%</w:t>
            </w:r>
          </w:p>
        </w:tc>
        <w:tc>
          <w:tcPr>
            <w:tcW w:w="1300" w:type="dxa"/>
            <w:tcBorders>
              <w:top w:val="single" w:sz="6" w:space="0" w:color="auto"/>
              <w:left w:val="single" w:sz="6" w:space="0" w:color="auto"/>
              <w:bottom w:val="single" w:sz="6" w:space="0" w:color="auto"/>
              <w:right w:val="single" w:sz="6" w:space="0" w:color="auto"/>
            </w:tcBorders>
          </w:tcPr>
          <w:p w14:paraId="735DE02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F7F70F3"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3828219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Steinar </w:t>
            </w:r>
            <w:proofErr w:type="spellStart"/>
            <w:r>
              <w:rPr>
                <w:rFonts w:ascii="Calibri" w:eastAsiaTheme="minorEastAsia" w:hAnsi="Calibri" w:cs="Calibri"/>
                <w:color w:val="000000"/>
                <w:sz w:val="22"/>
                <w:szCs w:val="22"/>
                <w:lang w:eastAsia="en-US"/>
              </w:rPr>
              <w:t>Grøtterød</w:t>
            </w:r>
            <w:proofErr w:type="spellEnd"/>
          </w:p>
        </w:tc>
        <w:tc>
          <w:tcPr>
            <w:tcW w:w="1060" w:type="dxa"/>
            <w:tcBorders>
              <w:top w:val="single" w:sz="6" w:space="0" w:color="auto"/>
              <w:left w:val="single" w:sz="6" w:space="0" w:color="auto"/>
              <w:bottom w:val="single" w:sz="6" w:space="0" w:color="auto"/>
              <w:right w:val="single" w:sz="6" w:space="0" w:color="auto"/>
            </w:tcBorders>
          </w:tcPr>
          <w:p w14:paraId="769E81D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9E7EDF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11A12D6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F58320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78.3%</w:t>
            </w:r>
          </w:p>
        </w:tc>
        <w:tc>
          <w:tcPr>
            <w:tcW w:w="1300" w:type="dxa"/>
            <w:tcBorders>
              <w:top w:val="single" w:sz="6" w:space="0" w:color="auto"/>
              <w:left w:val="single" w:sz="6" w:space="0" w:color="auto"/>
              <w:bottom w:val="single" w:sz="6" w:space="0" w:color="auto"/>
              <w:right w:val="single" w:sz="6" w:space="0" w:color="auto"/>
            </w:tcBorders>
          </w:tcPr>
          <w:p w14:paraId="2584B77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185B8A5"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71D0BD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Commercial Business Users Constituency (BC)</w:t>
            </w:r>
          </w:p>
        </w:tc>
        <w:tc>
          <w:tcPr>
            <w:tcW w:w="1300" w:type="dxa"/>
            <w:tcBorders>
              <w:top w:val="single" w:sz="6" w:space="0" w:color="auto"/>
              <w:left w:val="nil"/>
              <w:bottom w:val="single" w:sz="6" w:space="0" w:color="auto"/>
              <w:right w:val="nil"/>
            </w:tcBorders>
            <w:shd w:val="solid" w:color="C0C0C0" w:fill="auto"/>
          </w:tcPr>
          <w:p w14:paraId="115D7D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AAEC07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D1A6B8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91.3%</w:t>
            </w:r>
          </w:p>
        </w:tc>
        <w:tc>
          <w:tcPr>
            <w:tcW w:w="1300" w:type="dxa"/>
            <w:tcBorders>
              <w:top w:val="single" w:sz="6" w:space="0" w:color="auto"/>
              <w:left w:val="nil"/>
              <w:bottom w:val="single" w:sz="6" w:space="0" w:color="auto"/>
              <w:right w:val="single" w:sz="6" w:space="0" w:color="auto"/>
            </w:tcBorders>
            <w:shd w:val="solid" w:color="C0C0C0" w:fill="auto"/>
          </w:tcPr>
          <w:p w14:paraId="699C055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4304FC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20943D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Zak </w:t>
            </w:r>
            <w:proofErr w:type="spellStart"/>
            <w:r>
              <w:rPr>
                <w:rFonts w:ascii="Calibri" w:eastAsiaTheme="minorEastAsia" w:hAnsi="Calibri" w:cs="Calibri"/>
                <w:color w:val="000000"/>
                <w:sz w:val="22"/>
                <w:szCs w:val="22"/>
                <w:lang w:eastAsia="en-US"/>
              </w:rPr>
              <w:t>Muscovitch</w:t>
            </w:r>
            <w:proofErr w:type="spellEnd"/>
          </w:p>
        </w:tc>
        <w:tc>
          <w:tcPr>
            <w:tcW w:w="1060" w:type="dxa"/>
            <w:tcBorders>
              <w:top w:val="single" w:sz="6" w:space="0" w:color="auto"/>
              <w:left w:val="single" w:sz="6" w:space="0" w:color="auto"/>
              <w:bottom w:val="single" w:sz="6" w:space="0" w:color="auto"/>
              <w:right w:val="single" w:sz="6" w:space="0" w:color="auto"/>
            </w:tcBorders>
          </w:tcPr>
          <w:p w14:paraId="587C8E42"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D6A5D2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4859A6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825D4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91.3%</w:t>
            </w:r>
          </w:p>
        </w:tc>
        <w:tc>
          <w:tcPr>
            <w:tcW w:w="1300" w:type="dxa"/>
            <w:tcBorders>
              <w:top w:val="single" w:sz="6" w:space="0" w:color="auto"/>
              <w:left w:val="single" w:sz="6" w:space="0" w:color="auto"/>
              <w:bottom w:val="single" w:sz="6" w:space="0" w:color="auto"/>
              <w:right w:val="single" w:sz="6" w:space="0" w:color="auto"/>
            </w:tcBorders>
          </w:tcPr>
          <w:p w14:paraId="184250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456583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55B4C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GNSO Council</w:t>
            </w:r>
          </w:p>
        </w:tc>
        <w:tc>
          <w:tcPr>
            <w:tcW w:w="1060" w:type="dxa"/>
            <w:tcBorders>
              <w:top w:val="single" w:sz="6" w:space="0" w:color="auto"/>
              <w:left w:val="nil"/>
              <w:bottom w:val="single" w:sz="6" w:space="0" w:color="auto"/>
              <w:right w:val="nil"/>
            </w:tcBorders>
            <w:shd w:val="solid" w:color="C0C0C0" w:fill="auto"/>
          </w:tcPr>
          <w:p w14:paraId="4005DAF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BADFBF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CA7079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EDB312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86.4%</w:t>
            </w:r>
          </w:p>
        </w:tc>
        <w:tc>
          <w:tcPr>
            <w:tcW w:w="1300" w:type="dxa"/>
            <w:tcBorders>
              <w:top w:val="single" w:sz="6" w:space="0" w:color="auto"/>
              <w:left w:val="nil"/>
              <w:bottom w:val="single" w:sz="6" w:space="0" w:color="auto"/>
              <w:right w:val="single" w:sz="6" w:space="0" w:color="auto"/>
            </w:tcBorders>
            <w:shd w:val="solid" w:color="C0C0C0" w:fill="auto"/>
          </w:tcPr>
          <w:p w14:paraId="49F9845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536C7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F831DA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Gregory </w:t>
            </w:r>
            <w:proofErr w:type="spellStart"/>
            <w:r>
              <w:rPr>
                <w:rFonts w:ascii="Calibri" w:eastAsiaTheme="minorEastAsia" w:hAnsi="Calibri" w:cs="Calibri"/>
                <w:color w:val="000000"/>
                <w:sz w:val="22"/>
                <w:szCs w:val="22"/>
                <w:lang w:eastAsia="en-US"/>
              </w:rPr>
              <w:t>DiBiase</w:t>
            </w:r>
            <w:proofErr w:type="spellEnd"/>
          </w:p>
        </w:tc>
        <w:tc>
          <w:tcPr>
            <w:tcW w:w="1060" w:type="dxa"/>
            <w:tcBorders>
              <w:top w:val="single" w:sz="6" w:space="0" w:color="auto"/>
              <w:left w:val="single" w:sz="6" w:space="0" w:color="auto"/>
              <w:bottom w:val="single" w:sz="6" w:space="0" w:color="auto"/>
              <w:right w:val="single" w:sz="6" w:space="0" w:color="auto"/>
            </w:tcBorders>
          </w:tcPr>
          <w:p w14:paraId="6416850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EFA889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6/4/2021</w:t>
            </w:r>
          </w:p>
        </w:tc>
        <w:tc>
          <w:tcPr>
            <w:tcW w:w="1300" w:type="dxa"/>
            <w:tcBorders>
              <w:top w:val="single" w:sz="6" w:space="0" w:color="auto"/>
              <w:left w:val="single" w:sz="6" w:space="0" w:color="auto"/>
              <w:bottom w:val="single" w:sz="6" w:space="0" w:color="auto"/>
              <w:right w:val="single" w:sz="6" w:space="0" w:color="auto"/>
            </w:tcBorders>
          </w:tcPr>
          <w:p w14:paraId="7C5770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173C44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71.4%</w:t>
            </w:r>
          </w:p>
        </w:tc>
        <w:tc>
          <w:tcPr>
            <w:tcW w:w="1300" w:type="dxa"/>
            <w:tcBorders>
              <w:top w:val="single" w:sz="6" w:space="0" w:color="auto"/>
              <w:left w:val="single" w:sz="6" w:space="0" w:color="auto"/>
              <w:bottom w:val="single" w:sz="6" w:space="0" w:color="auto"/>
              <w:right w:val="single" w:sz="6" w:space="0" w:color="auto"/>
            </w:tcBorders>
          </w:tcPr>
          <w:p w14:paraId="113E7C6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Liaison</w:t>
            </w:r>
          </w:p>
        </w:tc>
      </w:tr>
      <w:tr w:rsidR="000A1B9C" w14:paraId="38FF343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192EB3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Roger Carney</w:t>
            </w:r>
          </w:p>
        </w:tc>
        <w:tc>
          <w:tcPr>
            <w:tcW w:w="1060" w:type="dxa"/>
            <w:tcBorders>
              <w:top w:val="single" w:sz="6" w:space="0" w:color="auto"/>
              <w:left w:val="single" w:sz="6" w:space="0" w:color="auto"/>
              <w:bottom w:val="single" w:sz="6" w:space="0" w:color="auto"/>
              <w:right w:val="single" w:sz="6" w:space="0" w:color="auto"/>
            </w:tcBorders>
          </w:tcPr>
          <w:p w14:paraId="3C560873"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B8F067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48F798C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5DAE230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7C82979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Chair</w:t>
            </w:r>
          </w:p>
        </w:tc>
      </w:tr>
      <w:tr w:rsidR="000A1B9C" w14:paraId="2D3010C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839F5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Independent</w:t>
            </w:r>
          </w:p>
        </w:tc>
        <w:tc>
          <w:tcPr>
            <w:tcW w:w="1060" w:type="dxa"/>
            <w:tcBorders>
              <w:top w:val="single" w:sz="6" w:space="0" w:color="auto"/>
              <w:left w:val="nil"/>
              <w:bottom w:val="single" w:sz="6" w:space="0" w:color="auto"/>
              <w:right w:val="nil"/>
            </w:tcBorders>
            <w:shd w:val="solid" w:color="C0C0C0" w:fill="auto"/>
          </w:tcPr>
          <w:p w14:paraId="21839E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6EDC2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501D12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C1124A"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23.9%</w:t>
            </w:r>
          </w:p>
        </w:tc>
        <w:tc>
          <w:tcPr>
            <w:tcW w:w="1300" w:type="dxa"/>
            <w:tcBorders>
              <w:top w:val="single" w:sz="6" w:space="0" w:color="auto"/>
              <w:left w:val="nil"/>
              <w:bottom w:val="single" w:sz="6" w:space="0" w:color="auto"/>
              <w:right w:val="single" w:sz="6" w:space="0" w:color="auto"/>
            </w:tcBorders>
            <w:shd w:val="solid" w:color="C0C0C0" w:fill="auto"/>
          </w:tcPr>
          <w:p w14:paraId="76E794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54EE3F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80089E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Steve Crocker</w:t>
            </w:r>
          </w:p>
        </w:tc>
        <w:tc>
          <w:tcPr>
            <w:tcW w:w="1060" w:type="dxa"/>
            <w:tcBorders>
              <w:top w:val="single" w:sz="6" w:space="0" w:color="auto"/>
              <w:left w:val="single" w:sz="6" w:space="0" w:color="auto"/>
              <w:bottom w:val="single" w:sz="6" w:space="0" w:color="auto"/>
              <w:right w:val="single" w:sz="6" w:space="0" w:color="auto"/>
            </w:tcBorders>
          </w:tcPr>
          <w:p w14:paraId="37B7DE3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3D5397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4609DD9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86205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23.9%</w:t>
            </w:r>
          </w:p>
        </w:tc>
        <w:tc>
          <w:tcPr>
            <w:tcW w:w="1300" w:type="dxa"/>
            <w:tcBorders>
              <w:top w:val="single" w:sz="6" w:space="0" w:color="auto"/>
              <w:left w:val="single" w:sz="6" w:space="0" w:color="auto"/>
              <w:bottom w:val="single" w:sz="6" w:space="0" w:color="auto"/>
              <w:right w:val="single" w:sz="6" w:space="0" w:color="auto"/>
            </w:tcBorders>
          </w:tcPr>
          <w:p w14:paraId="4B93EF4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F8A5632"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3E8D240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Intellectual Property Constituency (IPC)</w:t>
            </w:r>
          </w:p>
        </w:tc>
        <w:tc>
          <w:tcPr>
            <w:tcW w:w="1300" w:type="dxa"/>
            <w:tcBorders>
              <w:top w:val="single" w:sz="6" w:space="0" w:color="auto"/>
              <w:left w:val="nil"/>
              <w:bottom w:val="single" w:sz="6" w:space="0" w:color="auto"/>
              <w:right w:val="nil"/>
            </w:tcBorders>
            <w:shd w:val="solid" w:color="C0C0C0" w:fill="auto"/>
          </w:tcPr>
          <w:p w14:paraId="470018C1"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9C273E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3E59CA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32.6%</w:t>
            </w:r>
          </w:p>
        </w:tc>
        <w:tc>
          <w:tcPr>
            <w:tcW w:w="1300" w:type="dxa"/>
            <w:tcBorders>
              <w:top w:val="single" w:sz="6" w:space="0" w:color="auto"/>
              <w:left w:val="nil"/>
              <w:bottom w:val="single" w:sz="6" w:space="0" w:color="auto"/>
              <w:right w:val="single" w:sz="6" w:space="0" w:color="auto"/>
            </w:tcBorders>
            <w:shd w:val="solid" w:color="C0C0C0" w:fill="auto"/>
          </w:tcPr>
          <w:p w14:paraId="7AB7281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120796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919939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Mike </w:t>
            </w:r>
            <w:proofErr w:type="spellStart"/>
            <w:r>
              <w:rPr>
                <w:rFonts w:ascii="Calibri" w:eastAsiaTheme="minorEastAsia" w:hAnsi="Calibri" w:cs="Calibri"/>
                <w:color w:val="000000"/>
                <w:sz w:val="22"/>
                <w:szCs w:val="22"/>
                <w:lang w:eastAsia="en-US"/>
              </w:rPr>
              <w:t>Rodenbaugh</w:t>
            </w:r>
            <w:proofErr w:type="spellEnd"/>
          </w:p>
        </w:tc>
        <w:tc>
          <w:tcPr>
            <w:tcW w:w="1060" w:type="dxa"/>
            <w:tcBorders>
              <w:top w:val="single" w:sz="6" w:space="0" w:color="auto"/>
              <w:left w:val="single" w:sz="6" w:space="0" w:color="auto"/>
              <w:bottom w:val="single" w:sz="6" w:space="0" w:color="auto"/>
              <w:right w:val="single" w:sz="6" w:space="0" w:color="auto"/>
            </w:tcBorders>
          </w:tcPr>
          <w:p w14:paraId="45407A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59BD4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4/21/2021</w:t>
            </w:r>
          </w:p>
        </w:tc>
        <w:tc>
          <w:tcPr>
            <w:tcW w:w="1300" w:type="dxa"/>
            <w:tcBorders>
              <w:top w:val="single" w:sz="6" w:space="0" w:color="auto"/>
              <w:left w:val="single" w:sz="6" w:space="0" w:color="auto"/>
              <w:bottom w:val="single" w:sz="6" w:space="0" w:color="auto"/>
              <w:right w:val="single" w:sz="6" w:space="0" w:color="auto"/>
            </w:tcBorders>
          </w:tcPr>
          <w:p w14:paraId="5626EB2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E1740B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47.8%</w:t>
            </w:r>
          </w:p>
        </w:tc>
        <w:tc>
          <w:tcPr>
            <w:tcW w:w="1300" w:type="dxa"/>
            <w:tcBorders>
              <w:top w:val="single" w:sz="6" w:space="0" w:color="auto"/>
              <w:left w:val="single" w:sz="6" w:space="0" w:color="auto"/>
              <w:bottom w:val="single" w:sz="6" w:space="0" w:color="auto"/>
              <w:right w:val="single" w:sz="6" w:space="0" w:color="auto"/>
            </w:tcBorders>
          </w:tcPr>
          <w:p w14:paraId="4D1A32E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7CE107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DE2C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Salvador Camacho Hernandez</w:t>
            </w:r>
          </w:p>
        </w:tc>
        <w:tc>
          <w:tcPr>
            <w:tcW w:w="1060" w:type="dxa"/>
            <w:tcBorders>
              <w:top w:val="single" w:sz="6" w:space="0" w:color="auto"/>
              <w:left w:val="single" w:sz="6" w:space="0" w:color="auto"/>
              <w:bottom w:val="single" w:sz="6" w:space="0" w:color="auto"/>
              <w:right w:val="single" w:sz="6" w:space="0" w:color="auto"/>
            </w:tcBorders>
          </w:tcPr>
          <w:p w14:paraId="476F398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0FEA76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1469704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C04A39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17.4%</w:t>
            </w:r>
          </w:p>
        </w:tc>
        <w:tc>
          <w:tcPr>
            <w:tcW w:w="1300" w:type="dxa"/>
            <w:tcBorders>
              <w:top w:val="single" w:sz="6" w:space="0" w:color="auto"/>
              <w:left w:val="single" w:sz="6" w:space="0" w:color="auto"/>
              <w:bottom w:val="single" w:sz="6" w:space="0" w:color="auto"/>
              <w:right w:val="single" w:sz="6" w:space="0" w:color="auto"/>
            </w:tcBorders>
          </w:tcPr>
          <w:p w14:paraId="49059FBE"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E7B0EE3" w14:textId="77777777" w:rsidTr="006953B5">
        <w:trPr>
          <w:trHeight w:val="280"/>
        </w:trPr>
        <w:tc>
          <w:tcPr>
            <w:tcW w:w="1" w:type="dxa"/>
            <w:gridSpan w:val="4"/>
            <w:tcBorders>
              <w:top w:val="single" w:sz="6" w:space="0" w:color="auto"/>
              <w:left w:val="single" w:sz="6" w:space="0" w:color="auto"/>
              <w:bottom w:val="single" w:sz="6" w:space="0" w:color="auto"/>
              <w:right w:val="nil"/>
            </w:tcBorders>
            <w:shd w:val="solid" w:color="C0C0C0" w:fill="auto"/>
          </w:tcPr>
          <w:p w14:paraId="375A9A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Internet Service Providers and Connectivity Providers Constituency (ISPCP)</w:t>
            </w:r>
          </w:p>
        </w:tc>
        <w:tc>
          <w:tcPr>
            <w:tcW w:w="1300" w:type="dxa"/>
            <w:tcBorders>
              <w:top w:val="single" w:sz="6" w:space="0" w:color="auto"/>
              <w:left w:val="nil"/>
              <w:bottom w:val="single" w:sz="6" w:space="0" w:color="auto"/>
              <w:right w:val="nil"/>
            </w:tcBorders>
            <w:shd w:val="solid" w:color="C0C0C0" w:fill="auto"/>
          </w:tcPr>
          <w:p w14:paraId="42404DBF"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84.8%</w:t>
            </w:r>
          </w:p>
        </w:tc>
        <w:tc>
          <w:tcPr>
            <w:tcW w:w="1300" w:type="dxa"/>
            <w:tcBorders>
              <w:top w:val="single" w:sz="6" w:space="0" w:color="auto"/>
              <w:left w:val="nil"/>
              <w:bottom w:val="single" w:sz="6" w:space="0" w:color="auto"/>
              <w:right w:val="single" w:sz="6" w:space="0" w:color="auto"/>
            </w:tcBorders>
            <w:shd w:val="solid" w:color="C0C0C0" w:fill="auto"/>
          </w:tcPr>
          <w:p w14:paraId="37F35E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2E3904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1F6DB4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John Woodworth</w:t>
            </w:r>
          </w:p>
        </w:tc>
        <w:tc>
          <w:tcPr>
            <w:tcW w:w="1060" w:type="dxa"/>
            <w:tcBorders>
              <w:top w:val="single" w:sz="6" w:space="0" w:color="auto"/>
              <w:left w:val="single" w:sz="6" w:space="0" w:color="auto"/>
              <w:bottom w:val="single" w:sz="6" w:space="0" w:color="auto"/>
              <w:right w:val="single" w:sz="6" w:space="0" w:color="auto"/>
            </w:tcBorders>
          </w:tcPr>
          <w:p w14:paraId="1647113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F6B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4/14/2021</w:t>
            </w:r>
          </w:p>
        </w:tc>
        <w:tc>
          <w:tcPr>
            <w:tcW w:w="1300" w:type="dxa"/>
            <w:tcBorders>
              <w:top w:val="single" w:sz="6" w:space="0" w:color="auto"/>
              <w:left w:val="single" w:sz="6" w:space="0" w:color="auto"/>
              <w:bottom w:val="single" w:sz="6" w:space="0" w:color="auto"/>
              <w:right w:val="single" w:sz="6" w:space="0" w:color="auto"/>
            </w:tcBorders>
          </w:tcPr>
          <w:p w14:paraId="25964D6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224272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84.8%</w:t>
            </w:r>
          </w:p>
        </w:tc>
        <w:tc>
          <w:tcPr>
            <w:tcW w:w="1300" w:type="dxa"/>
            <w:tcBorders>
              <w:top w:val="single" w:sz="6" w:space="0" w:color="auto"/>
              <w:left w:val="single" w:sz="6" w:space="0" w:color="auto"/>
              <w:bottom w:val="single" w:sz="6" w:space="0" w:color="auto"/>
              <w:right w:val="single" w:sz="6" w:space="0" w:color="auto"/>
            </w:tcBorders>
          </w:tcPr>
          <w:p w14:paraId="0FFE1E7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8B0BACE"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F22AD7E"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Non-Commercial Stakeholder Group (NCSG)</w:t>
            </w:r>
          </w:p>
        </w:tc>
        <w:tc>
          <w:tcPr>
            <w:tcW w:w="1300" w:type="dxa"/>
            <w:tcBorders>
              <w:top w:val="single" w:sz="6" w:space="0" w:color="auto"/>
              <w:left w:val="nil"/>
              <w:bottom w:val="single" w:sz="6" w:space="0" w:color="auto"/>
              <w:right w:val="nil"/>
            </w:tcBorders>
            <w:shd w:val="solid" w:color="C0C0C0" w:fill="auto"/>
          </w:tcPr>
          <w:p w14:paraId="33D727F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02568C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63174A9"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53.5%</w:t>
            </w:r>
          </w:p>
        </w:tc>
        <w:tc>
          <w:tcPr>
            <w:tcW w:w="1300" w:type="dxa"/>
            <w:tcBorders>
              <w:top w:val="single" w:sz="6" w:space="0" w:color="auto"/>
              <w:left w:val="nil"/>
              <w:bottom w:val="single" w:sz="6" w:space="0" w:color="auto"/>
              <w:right w:val="single" w:sz="6" w:space="0" w:color="auto"/>
            </w:tcBorders>
            <w:shd w:val="solid" w:color="C0C0C0" w:fill="auto"/>
          </w:tcPr>
          <w:p w14:paraId="02552D1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57D30CF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EFB41AF" w14:textId="77777777" w:rsidR="000A1B9C" w:rsidRDefault="000A1B9C">
            <w:pPr>
              <w:autoSpaceDE w:val="0"/>
              <w:autoSpaceDN w:val="0"/>
              <w:adjustRightInd w:val="0"/>
              <w:rPr>
                <w:rFonts w:ascii="Calibri" w:eastAsiaTheme="minorEastAsia" w:hAnsi="Calibri" w:cs="Calibri"/>
                <w:color w:val="000000"/>
                <w:sz w:val="22"/>
                <w:szCs w:val="22"/>
                <w:lang w:eastAsia="en-US"/>
              </w:rPr>
            </w:pPr>
            <w:proofErr w:type="spellStart"/>
            <w:r>
              <w:rPr>
                <w:rFonts w:ascii="Calibri" w:eastAsiaTheme="minorEastAsia" w:hAnsi="Calibri" w:cs="Calibri"/>
                <w:color w:val="000000"/>
                <w:sz w:val="22"/>
                <w:szCs w:val="22"/>
                <w:lang w:eastAsia="en-US"/>
              </w:rPr>
              <w:t>Farzaneh</w:t>
            </w:r>
            <w:proofErr w:type="spellEnd"/>
            <w:r>
              <w:rPr>
                <w:rFonts w:ascii="Calibri" w:eastAsiaTheme="minorEastAsia" w:hAnsi="Calibri" w:cs="Calibri"/>
                <w:color w:val="000000"/>
                <w:sz w:val="22"/>
                <w:szCs w:val="22"/>
                <w:lang w:eastAsia="en-US"/>
              </w:rPr>
              <w:t xml:space="preserve"> </w:t>
            </w:r>
            <w:proofErr w:type="spellStart"/>
            <w:r>
              <w:rPr>
                <w:rFonts w:ascii="Calibri" w:eastAsiaTheme="minorEastAsia" w:hAnsi="Calibri" w:cs="Calibri"/>
                <w:color w:val="000000"/>
                <w:sz w:val="22"/>
                <w:szCs w:val="22"/>
                <w:lang w:eastAsia="en-US"/>
              </w:rPr>
              <w:t>Badiei</w:t>
            </w:r>
            <w:proofErr w:type="spellEnd"/>
          </w:p>
        </w:tc>
        <w:tc>
          <w:tcPr>
            <w:tcW w:w="1060" w:type="dxa"/>
            <w:tcBorders>
              <w:top w:val="single" w:sz="6" w:space="0" w:color="auto"/>
              <w:left w:val="single" w:sz="6" w:space="0" w:color="auto"/>
              <w:bottom w:val="single" w:sz="6" w:space="0" w:color="auto"/>
              <w:right w:val="single" w:sz="6" w:space="0" w:color="auto"/>
            </w:tcBorders>
          </w:tcPr>
          <w:p w14:paraId="1813C70B"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9C7BD1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0EAF3D1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3C71AE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37.2%</w:t>
            </w:r>
          </w:p>
        </w:tc>
        <w:tc>
          <w:tcPr>
            <w:tcW w:w="1300" w:type="dxa"/>
            <w:tcBorders>
              <w:top w:val="single" w:sz="6" w:space="0" w:color="auto"/>
              <w:left w:val="single" w:sz="6" w:space="0" w:color="auto"/>
              <w:bottom w:val="single" w:sz="6" w:space="0" w:color="auto"/>
              <w:right w:val="single" w:sz="6" w:space="0" w:color="auto"/>
            </w:tcBorders>
          </w:tcPr>
          <w:p w14:paraId="38600CA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634723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6A4F11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Wisdom Donkor</w:t>
            </w:r>
          </w:p>
        </w:tc>
        <w:tc>
          <w:tcPr>
            <w:tcW w:w="1060" w:type="dxa"/>
            <w:tcBorders>
              <w:top w:val="single" w:sz="6" w:space="0" w:color="auto"/>
              <w:left w:val="single" w:sz="6" w:space="0" w:color="auto"/>
              <w:bottom w:val="single" w:sz="6" w:space="0" w:color="auto"/>
              <w:right w:val="single" w:sz="6" w:space="0" w:color="auto"/>
            </w:tcBorders>
          </w:tcPr>
          <w:p w14:paraId="10C2C4C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B038E3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727477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914871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69.8%</w:t>
            </w:r>
          </w:p>
        </w:tc>
        <w:tc>
          <w:tcPr>
            <w:tcW w:w="1300" w:type="dxa"/>
            <w:tcBorders>
              <w:top w:val="single" w:sz="6" w:space="0" w:color="auto"/>
              <w:left w:val="single" w:sz="6" w:space="0" w:color="auto"/>
              <w:bottom w:val="single" w:sz="6" w:space="0" w:color="auto"/>
              <w:right w:val="single" w:sz="6" w:space="0" w:color="auto"/>
            </w:tcBorders>
          </w:tcPr>
          <w:p w14:paraId="238EBEA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360DB6A"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150EA3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Registrar Stakeholder Group (</w:t>
            </w:r>
            <w:proofErr w:type="spellStart"/>
            <w:r>
              <w:rPr>
                <w:rFonts w:ascii="Calibri" w:eastAsiaTheme="minorEastAsia" w:hAnsi="Calibri" w:cs="Calibri"/>
                <w:b/>
                <w:bCs/>
                <w:color w:val="000000"/>
                <w:sz w:val="22"/>
                <w:szCs w:val="22"/>
                <w:lang w:eastAsia="en-US"/>
              </w:rPr>
              <w:t>RrSG</w:t>
            </w:r>
            <w:proofErr w:type="spellEnd"/>
            <w:r>
              <w:rPr>
                <w:rFonts w:ascii="Calibri" w:eastAsiaTheme="minorEastAsia" w:hAnsi="Calibri" w:cs="Calibri"/>
                <w:b/>
                <w:bCs/>
                <w:color w:val="000000"/>
                <w:sz w:val="22"/>
                <w:szCs w:val="22"/>
                <w:lang w:eastAsia="en-US"/>
              </w:rPr>
              <w:t>)</w:t>
            </w:r>
          </w:p>
        </w:tc>
        <w:tc>
          <w:tcPr>
            <w:tcW w:w="1060" w:type="dxa"/>
            <w:tcBorders>
              <w:top w:val="single" w:sz="6" w:space="0" w:color="auto"/>
              <w:left w:val="nil"/>
              <w:bottom w:val="single" w:sz="6" w:space="0" w:color="auto"/>
              <w:right w:val="nil"/>
            </w:tcBorders>
            <w:shd w:val="solid" w:color="C0C0C0" w:fill="auto"/>
          </w:tcPr>
          <w:p w14:paraId="6DA78CA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FCB11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C69202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8033490"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88.7%</w:t>
            </w:r>
          </w:p>
        </w:tc>
        <w:tc>
          <w:tcPr>
            <w:tcW w:w="1300" w:type="dxa"/>
            <w:tcBorders>
              <w:top w:val="single" w:sz="6" w:space="0" w:color="auto"/>
              <w:left w:val="nil"/>
              <w:bottom w:val="single" w:sz="6" w:space="0" w:color="auto"/>
              <w:right w:val="single" w:sz="6" w:space="0" w:color="auto"/>
            </w:tcBorders>
            <w:shd w:val="solid" w:color="C0C0C0" w:fill="auto"/>
          </w:tcPr>
          <w:p w14:paraId="1E043B3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D97A8D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CE45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Antonia Nan Chu</w:t>
            </w:r>
          </w:p>
        </w:tc>
        <w:tc>
          <w:tcPr>
            <w:tcW w:w="1060" w:type="dxa"/>
            <w:tcBorders>
              <w:top w:val="single" w:sz="6" w:space="0" w:color="auto"/>
              <w:left w:val="single" w:sz="6" w:space="0" w:color="auto"/>
              <w:bottom w:val="single" w:sz="6" w:space="0" w:color="auto"/>
              <w:right w:val="single" w:sz="6" w:space="0" w:color="auto"/>
            </w:tcBorders>
          </w:tcPr>
          <w:p w14:paraId="655E705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7307A29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5/6/2021</w:t>
            </w:r>
          </w:p>
        </w:tc>
        <w:tc>
          <w:tcPr>
            <w:tcW w:w="1300" w:type="dxa"/>
            <w:tcBorders>
              <w:top w:val="single" w:sz="6" w:space="0" w:color="auto"/>
              <w:left w:val="single" w:sz="6" w:space="0" w:color="auto"/>
              <w:bottom w:val="single" w:sz="6" w:space="0" w:color="auto"/>
              <w:right w:val="single" w:sz="6" w:space="0" w:color="auto"/>
            </w:tcBorders>
          </w:tcPr>
          <w:p w14:paraId="06F6ADB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0740EC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3F68412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000F20"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E34303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Catherine </w:t>
            </w:r>
            <w:proofErr w:type="spellStart"/>
            <w:r>
              <w:rPr>
                <w:rFonts w:ascii="Calibri" w:eastAsiaTheme="minorEastAsia" w:hAnsi="Calibri" w:cs="Calibri"/>
                <w:color w:val="000000"/>
                <w:sz w:val="22"/>
                <w:szCs w:val="22"/>
                <w:lang w:eastAsia="en-US"/>
              </w:rPr>
              <w:t>Merdinger</w:t>
            </w:r>
            <w:proofErr w:type="spellEnd"/>
          </w:p>
        </w:tc>
        <w:tc>
          <w:tcPr>
            <w:tcW w:w="1060" w:type="dxa"/>
            <w:tcBorders>
              <w:top w:val="single" w:sz="6" w:space="0" w:color="auto"/>
              <w:left w:val="single" w:sz="6" w:space="0" w:color="auto"/>
              <w:bottom w:val="single" w:sz="6" w:space="0" w:color="auto"/>
              <w:right w:val="single" w:sz="6" w:space="0" w:color="auto"/>
            </w:tcBorders>
          </w:tcPr>
          <w:p w14:paraId="132B9DF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B5774E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352CA4E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CBEE3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122588DC"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EBD0E5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E51291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Crystal Ondo</w:t>
            </w:r>
          </w:p>
        </w:tc>
        <w:tc>
          <w:tcPr>
            <w:tcW w:w="1060" w:type="dxa"/>
            <w:tcBorders>
              <w:top w:val="single" w:sz="6" w:space="0" w:color="auto"/>
              <w:left w:val="single" w:sz="6" w:space="0" w:color="auto"/>
              <w:bottom w:val="single" w:sz="6" w:space="0" w:color="auto"/>
              <w:right w:val="single" w:sz="6" w:space="0" w:color="auto"/>
            </w:tcBorders>
          </w:tcPr>
          <w:p w14:paraId="7AA2823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769710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3223B0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33E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76.1%</w:t>
            </w:r>
          </w:p>
        </w:tc>
        <w:tc>
          <w:tcPr>
            <w:tcW w:w="1300" w:type="dxa"/>
            <w:tcBorders>
              <w:top w:val="single" w:sz="6" w:space="0" w:color="auto"/>
              <w:left w:val="single" w:sz="6" w:space="0" w:color="auto"/>
              <w:bottom w:val="single" w:sz="6" w:space="0" w:color="auto"/>
              <w:right w:val="single" w:sz="6" w:space="0" w:color="auto"/>
            </w:tcBorders>
          </w:tcPr>
          <w:p w14:paraId="5B3D6E4B"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38685E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5DCB47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Eric </w:t>
            </w:r>
            <w:proofErr w:type="spellStart"/>
            <w:r>
              <w:rPr>
                <w:rFonts w:ascii="Calibri" w:eastAsiaTheme="minorEastAsia" w:hAnsi="Calibri" w:cs="Calibri"/>
                <w:color w:val="000000"/>
                <w:sz w:val="22"/>
                <w:szCs w:val="22"/>
                <w:lang w:eastAsia="en-US"/>
              </w:rPr>
              <w:t>Rokobauer</w:t>
            </w:r>
            <w:proofErr w:type="spellEnd"/>
          </w:p>
        </w:tc>
        <w:tc>
          <w:tcPr>
            <w:tcW w:w="1060" w:type="dxa"/>
            <w:tcBorders>
              <w:top w:val="single" w:sz="6" w:space="0" w:color="auto"/>
              <w:left w:val="single" w:sz="6" w:space="0" w:color="auto"/>
              <w:bottom w:val="single" w:sz="6" w:space="0" w:color="auto"/>
              <w:right w:val="single" w:sz="6" w:space="0" w:color="auto"/>
            </w:tcBorders>
          </w:tcPr>
          <w:p w14:paraId="4F04194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B4B007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375E24E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31BBABC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95.6%</w:t>
            </w:r>
          </w:p>
        </w:tc>
        <w:tc>
          <w:tcPr>
            <w:tcW w:w="1300" w:type="dxa"/>
            <w:tcBorders>
              <w:top w:val="single" w:sz="6" w:space="0" w:color="auto"/>
              <w:left w:val="single" w:sz="6" w:space="0" w:color="auto"/>
              <w:bottom w:val="single" w:sz="6" w:space="0" w:color="auto"/>
              <w:right w:val="single" w:sz="6" w:space="0" w:color="auto"/>
            </w:tcBorders>
          </w:tcPr>
          <w:p w14:paraId="07B9F20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E7015E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ACBD1D2"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Keiron Tobin</w:t>
            </w:r>
          </w:p>
        </w:tc>
        <w:tc>
          <w:tcPr>
            <w:tcW w:w="1060" w:type="dxa"/>
            <w:tcBorders>
              <w:top w:val="single" w:sz="6" w:space="0" w:color="auto"/>
              <w:left w:val="single" w:sz="6" w:space="0" w:color="auto"/>
              <w:bottom w:val="single" w:sz="6" w:space="0" w:color="auto"/>
              <w:right w:val="single" w:sz="6" w:space="0" w:color="auto"/>
            </w:tcBorders>
          </w:tcPr>
          <w:p w14:paraId="583D5C8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51273F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6FF79FE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9BF0EB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90.5%</w:t>
            </w:r>
          </w:p>
        </w:tc>
        <w:tc>
          <w:tcPr>
            <w:tcW w:w="1300" w:type="dxa"/>
            <w:tcBorders>
              <w:top w:val="single" w:sz="6" w:space="0" w:color="auto"/>
              <w:left w:val="single" w:sz="6" w:space="0" w:color="auto"/>
              <w:bottom w:val="single" w:sz="6" w:space="0" w:color="auto"/>
              <w:right w:val="single" w:sz="6" w:space="0" w:color="auto"/>
            </w:tcBorders>
          </w:tcPr>
          <w:p w14:paraId="01A4E84A"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A4189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D043F0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Owen </w:t>
            </w:r>
            <w:proofErr w:type="spellStart"/>
            <w:r>
              <w:rPr>
                <w:rFonts w:ascii="Calibri" w:eastAsiaTheme="minorEastAsia" w:hAnsi="Calibri" w:cs="Calibri"/>
                <w:color w:val="000000"/>
                <w:sz w:val="22"/>
                <w:szCs w:val="22"/>
                <w:lang w:eastAsia="en-US"/>
              </w:rPr>
              <w:t>Smigelski</w:t>
            </w:r>
            <w:proofErr w:type="spellEnd"/>
          </w:p>
        </w:tc>
        <w:tc>
          <w:tcPr>
            <w:tcW w:w="1060" w:type="dxa"/>
            <w:tcBorders>
              <w:top w:val="single" w:sz="6" w:space="0" w:color="auto"/>
              <w:left w:val="single" w:sz="6" w:space="0" w:color="auto"/>
              <w:bottom w:val="single" w:sz="6" w:space="0" w:color="auto"/>
              <w:right w:val="single" w:sz="6" w:space="0" w:color="auto"/>
            </w:tcBorders>
          </w:tcPr>
          <w:p w14:paraId="46F25F7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B456D1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1176586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2A53D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66DF329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9D39E3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14FC42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Prudence </w:t>
            </w:r>
            <w:proofErr w:type="spellStart"/>
            <w:r>
              <w:rPr>
                <w:rFonts w:ascii="Calibri" w:eastAsiaTheme="minorEastAsia" w:hAnsi="Calibri" w:cs="Calibri"/>
                <w:color w:val="000000"/>
                <w:sz w:val="22"/>
                <w:szCs w:val="22"/>
                <w:lang w:eastAsia="en-US"/>
              </w:rPr>
              <w:t>Malinki</w:t>
            </w:r>
            <w:proofErr w:type="spellEnd"/>
          </w:p>
        </w:tc>
        <w:tc>
          <w:tcPr>
            <w:tcW w:w="1060" w:type="dxa"/>
            <w:tcBorders>
              <w:top w:val="single" w:sz="6" w:space="0" w:color="auto"/>
              <w:left w:val="single" w:sz="6" w:space="0" w:color="auto"/>
              <w:bottom w:val="single" w:sz="6" w:space="0" w:color="auto"/>
              <w:right w:val="single" w:sz="6" w:space="0" w:color="auto"/>
            </w:tcBorders>
          </w:tcPr>
          <w:p w14:paraId="6C25C717"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053A7E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245D398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77516D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51F9DE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11005E"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668E84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Richard </w:t>
            </w:r>
            <w:proofErr w:type="spellStart"/>
            <w:r>
              <w:rPr>
                <w:rFonts w:ascii="Calibri" w:eastAsiaTheme="minorEastAsia" w:hAnsi="Calibri" w:cs="Calibri"/>
                <w:color w:val="000000"/>
                <w:sz w:val="22"/>
                <w:szCs w:val="22"/>
                <w:lang w:eastAsia="en-US"/>
              </w:rPr>
              <w:t>Merdinger</w:t>
            </w:r>
            <w:proofErr w:type="spellEnd"/>
          </w:p>
        </w:tc>
        <w:tc>
          <w:tcPr>
            <w:tcW w:w="1060" w:type="dxa"/>
            <w:tcBorders>
              <w:top w:val="single" w:sz="6" w:space="0" w:color="auto"/>
              <w:left w:val="single" w:sz="6" w:space="0" w:color="auto"/>
              <w:bottom w:val="single" w:sz="6" w:space="0" w:color="auto"/>
              <w:right w:val="single" w:sz="6" w:space="0" w:color="auto"/>
            </w:tcBorders>
          </w:tcPr>
          <w:p w14:paraId="41A335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D3BA2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63E3D5D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3690A0D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6576D68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0903C4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647CB4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Sarah </w:t>
            </w:r>
            <w:proofErr w:type="spellStart"/>
            <w:r>
              <w:rPr>
                <w:rFonts w:ascii="Calibri" w:eastAsiaTheme="minorEastAsia" w:hAnsi="Calibri" w:cs="Calibri"/>
                <w:color w:val="000000"/>
                <w:sz w:val="22"/>
                <w:szCs w:val="22"/>
                <w:lang w:eastAsia="en-US"/>
              </w:rPr>
              <w:t>Wyld</w:t>
            </w:r>
            <w:proofErr w:type="spellEnd"/>
          </w:p>
        </w:tc>
        <w:tc>
          <w:tcPr>
            <w:tcW w:w="1060" w:type="dxa"/>
            <w:tcBorders>
              <w:top w:val="single" w:sz="6" w:space="0" w:color="auto"/>
              <w:left w:val="single" w:sz="6" w:space="0" w:color="auto"/>
              <w:bottom w:val="single" w:sz="6" w:space="0" w:color="auto"/>
              <w:right w:val="single" w:sz="6" w:space="0" w:color="auto"/>
            </w:tcBorders>
          </w:tcPr>
          <w:p w14:paraId="3B4E0DF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C7A151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288103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8E1CC7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796CDE11"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14678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64F3E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Theo </w:t>
            </w:r>
            <w:proofErr w:type="spellStart"/>
            <w:r>
              <w:rPr>
                <w:rFonts w:ascii="Calibri" w:eastAsiaTheme="minorEastAsia" w:hAnsi="Calibri" w:cs="Calibri"/>
                <w:color w:val="000000"/>
                <w:sz w:val="22"/>
                <w:szCs w:val="22"/>
                <w:lang w:eastAsia="en-US"/>
              </w:rPr>
              <w:t>Geurts</w:t>
            </w:r>
            <w:proofErr w:type="spellEnd"/>
          </w:p>
        </w:tc>
        <w:tc>
          <w:tcPr>
            <w:tcW w:w="1060" w:type="dxa"/>
            <w:tcBorders>
              <w:top w:val="single" w:sz="6" w:space="0" w:color="auto"/>
              <w:left w:val="single" w:sz="6" w:space="0" w:color="auto"/>
              <w:bottom w:val="single" w:sz="6" w:space="0" w:color="auto"/>
              <w:right w:val="single" w:sz="6" w:space="0" w:color="auto"/>
            </w:tcBorders>
          </w:tcPr>
          <w:p w14:paraId="73EE3178"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3ECC42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7D2DD3D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260BB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89.1%</w:t>
            </w:r>
          </w:p>
        </w:tc>
        <w:tc>
          <w:tcPr>
            <w:tcW w:w="1300" w:type="dxa"/>
            <w:tcBorders>
              <w:top w:val="single" w:sz="6" w:space="0" w:color="auto"/>
              <w:left w:val="single" w:sz="6" w:space="0" w:color="auto"/>
              <w:bottom w:val="single" w:sz="6" w:space="0" w:color="auto"/>
              <w:right w:val="single" w:sz="6" w:space="0" w:color="auto"/>
            </w:tcBorders>
          </w:tcPr>
          <w:p w14:paraId="689B84E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2FD37F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78C4D0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Thomas Keller</w:t>
            </w:r>
          </w:p>
        </w:tc>
        <w:tc>
          <w:tcPr>
            <w:tcW w:w="1060" w:type="dxa"/>
            <w:tcBorders>
              <w:top w:val="single" w:sz="6" w:space="0" w:color="auto"/>
              <w:left w:val="single" w:sz="6" w:space="0" w:color="auto"/>
              <w:bottom w:val="single" w:sz="6" w:space="0" w:color="auto"/>
              <w:right w:val="single" w:sz="6" w:space="0" w:color="auto"/>
            </w:tcBorders>
          </w:tcPr>
          <w:p w14:paraId="5C741D7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D9C790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26DD322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9/27/2021</w:t>
            </w:r>
          </w:p>
        </w:tc>
        <w:tc>
          <w:tcPr>
            <w:tcW w:w="1300" w:type="dxa"/>
            <w:tcBorders>
              <w:top w:val="single" w:sz="6" w:space="0" w:color="auto"/>
              <w:left w:val="single" w:sz="6" w:space="0" w:color="auto"/>
              <w:bottom w:val="single" w:sz="6" w:space="0" w:color="auto"/>
              <w:right w:val="single" w:sz="6" w:space="0" w:color="auto"/>
            </w:tcBorders>
          </w:tcPr>
          <w:p w14:paraId="0EDAE0C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56.3%</w:t>
            </w:r>
          </w:p>
        </w:tc>
        <w:tc>
          <w:tcPr>
            <w:tcW w:w="1300" w:type="dxa"/>
            <w:tcBorders>
              <w:top w:val="single" w:sz="6" w:space="0" w:color="auto"/>
              <w:left w:val="single" w:sz="6" w:space="0" w:color="auto"/>
              <w:bottom w:val="single" w:sz="6" w:space="0" w:color="auto"/>
              <w:right w:val="single" w:sz="6" w:space="0" w:color="auto"/>
            </w:tcBorders>
          </w:tcPr>
          <w:p w14:paraId="7DED48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FAE483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758595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Volker </w:t>
            </w:r>
            <w:proofErr w:type="spellStart"/>
            <w:r>
              <w:rPr>
                <w:rFonts w:ascii="Calibri" w:eastAsiaTheme="minorEastAsia" w:hAnsi="Calibri" w:cs="Calibri"/>
                <w:color w:val="000000"/>
                <w:sz w:val="22"/>
                <w:szCs w:val="22"/>
                <w:lang w:eastAsia="en-US"/>
              </w:rPr>
              <w:t>Greimann</w:t>
            </w:r>
            <w:proofErr w:type="spellEnd"/>
          </w:p>
        </w:tc>
        <w:tc>
          <w:tcPr>
            <w:tcW w:w="1060" w:type="dxa"/>
            <w:tcBorders>
              <w:top w:val="single" w:sz="6" w:space="0" w:color="auto"/>
              <w:left w:val="single" w:sz="6" w:space="0" w:color="auto"/>
              <w:bottom w:val="single" w:sz="6" w:space="0" w:color="auto"/>
              <w:right w:val="single" w:sz="6" w:space="0" w:color="auto"/>
            </w:tcBorders>
          </w:tcPr>
          <w:p w14:paraId="3368464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25E072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4/24/2021</w:t>
            </w:r>
          </w:p>
        </w:tc>
        <w:tc>
          <w:tcPr>
            <w:tcW w:w="1300" w:type="dxa"/>
            <w:tcBorders>
              <w:top w:val="single" w:sz="6" w:space="0" w:color="auto"/>
              <w:left w:val="single" w:sz="6" w:space="0" w:color="auto"/>
              <w:bottom w:val="single" w:sz="6" w:space="0" w:color="auto"/>
              <w:right w:val="single" w:sz="6" w:space="0" w:color="auto"/>
            </w:tcBorders>
          </w:tcPr>
          <w:p w14:paraId="2C458E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6B5B5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97.4%</w:t>
            </w:r>
          </w:p>
        </w:tc>
        <w:tc>
          <w:tcPr>
            <w:tcW w:w="1300" w:type="dxa"/>
            <w:tcBorders>
              <w:top w:val="single" w:sz="6" w:space="0" w:color="auto"/>
              <w:left w:val="single" w:sz="6" w:space="0" w:color="auto"/>
              <w:bottom w:val="single" w:sz="6" w:space="0" w:color="auto"/>
              <w:right w:val="single" w:sz="6" w:space="0" w:color="auto"/>
            </w:tcBorders>
          </w:tcPr>
          <w:p w14:paraId="489BE5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48E7E1"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7C1607F3"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Registry Stakeholder Group (</w:t>
            </w:r>
            <w:proofErr w:type="spellStart"/>
            <w:r>
              <w:rPr>
                <w:rFonts w:ascii="Calibri" w:eastAsiaTheme="minorEastAsia" w:hAnsi="Calibri" w:cs="Calibri"/>
                <w:b/>
                <w:bCs/>
                <w:color w:val="000000"/>
                <w:sz w:val="22"/>
                <w:szCs w:val="22"/>
                <w:lang w:eastAsia="en-US"/>
              </w:rPr>
              <w:t>RySG</w:t>
            </w:r>
            <w:proofErr w:type="spellEnd"/>
            <w:r>
              <w:rPr>
                <w:rFonts w:ascii="Calibri" w:eastAsiaTheme="minorEastAsia" w:hAnsi="Calibri" w:cs="Calibri"/>
                <w:b/>
                <w:bCs/>
                <w:color w:val="000000"/>
                <w:sz w:val="22"/>
                <w:szCs w:val="22"/>
                <w:lang w:eastAsia="en-US"/>
              </w:rPr>
              <w:t>)</w:t>
            </w:r>
          </w:p>
        </w:tc>
        <w:tc>
          <w:tcPr>
            <w:tcW w:w="1060" w:type="dxa"/>
            <w:tcBorders>
              <w:top w:val="single" w:sz="6" w:space="0" w:color="auto"/>
              <w:left w:val="nil"/>
              <w:bottom w:val="single" w:sz="6" w:space="0" w:color="auto"/>
              <w:right w:val="nil"/>
            </w:tcBorders>
            <w:shd w:val="solid" w:color="C0C0C0" w:fill="auto"/>
          </w:tcPr>
          <w:p w14:paraId="743BF38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AFA84CB"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7C5383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40B437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82.1%</w:t>
            </w:r>
          </w:p>
        </w:tc>
        <w:tc>
          <w:tcPr>
            <w:tcW w:w="1300" w:type="dxa"/>
            <w:tcBorders>
              <w:top w:val="single" w:sz="6" w:space="0" w:color="auto"/>
              <w:left w:val="nil"/>
              <w:bottom w:val="single" w:sz="6" w:space="0" w:color="auto"/>
              <w:right w:val="single" w:sz="6" w:space="0" w:color="auto"/>
            </w:tcBorders>
            <w:shd w:val="solid" w:color="C0C0C0" w:fill="auto"/>
          </w:tcPr>
          <w:p w14:paraId="5F290F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EF159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F4878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James Galvin</w:t>
            </w:r>
          </w:p>
        </w:tc>
        <w:tc>
          <w:tcPr>
            <w:tcW w:w="1060" w:type="dxa"/>
            <w:tcBorders>
              <w:top w:val="single" w:sz="6" w:space="0" w:color="auto"/>
              <w:left w:val="single" w:sz="6" w:space="0" w:color="auto"/>
              <w:bottom w:val="single" w:sz="6" w:space="0" w:color="auto"/>
              <w:right w:val="single" w:sz="6" w:space="0" w:color="auto"/>
            </w:tcBorders>
          </w:tcPr>
          <w:p w14:paraId="77FFB88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858051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53C9082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4B434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7C608C3F"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6200D9A"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C0187B1"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Richard Wilhelm</w:t>
            </w:r>
          </w:p>
        </w:tc>
        <w:tc>
          <w:tcPr>
            <w:tcW w:w="1060" w:type="dxa"/>
            <w:tcBorders>
              <w:top w:val="single" w:sz="6" w:space="0" w:color="auto"/>
              <w:left w:val="single" w:sz="6" w:space="0" w:color="auto"/>
              <w:bottom w:val="single" w:sz="6" w:space="0" w:color="auto"/>
              <w:right w:val="single" w:sz="6" w:space="0" w:color="auto"/>
            </w:tcBorders>
          </w:tcPr>
          <w:p w14:paraId="51BF4EE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342668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3/4/2022</w:t>
            </w:r>
          </w:p>
        </w:tc>
        <w:tc>
          <w:tcPr>
            <w:tcW w:w="1300" w:type="dxa"/>
            <w:tcBorders>
              <w:top w:val="single" w:sz="6" w:space="0" w:color="auto"/>
              <w:left w:val="single" w:sz="6" w:space="0" w:color="auto"/>
              <w:bottom w:val="single" w:sz="6" w:space="0" w:color="auto"/>
              <w:right w:val="single" w:sz="6" w:space="0" w:color="auto"/>
            </w:tcBorders>
          </w:tcPr>
          <w:p w14:paraId="15634F5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DE856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90.0%</w:t>
            </w:r>
          </w:p>
        </w:tc>
        <w:tc>
          <w:tcPr>
            <w:tcW w:w="1300" w:type="dxa"/>
            <w:tcBorders>
              <w:top w:val="single" w:sz="6" w:space="0" w:color="auto"/>
              <w:left w:val="single" w:sz="6" w:space="0" w:color="auto"/>
              <w:bottom w:val="single" w:sz="6" w:space="0" w:color="auto"/>
              <w:right w:val="single" w:sz="6" w:space="0" w:color="auto"/>
            </w:tcBorders>
          </w:tcPr>
          <w:p w14:paraId="755918F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3B51A8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46B6C49B" w14:textId="77777777" w:rsidR="000A1B9C" w:rsidRDefault="000A1B9C">
            <w:pPr>
              <w:autoSpaceDE w:val="0"/>
              <w:autoSpaceDN w:val="0"/>
              <w:adjustRightInd w:val="0"/>
              <w:jc w:val="right"/>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Totals:</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6CA14B4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02D2660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CA1A01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3F887CD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75.8%</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722AEC3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r>
    </w:tbl>
    <w:p w14:paraId="7F51F4D6" w14:textId="719379F7" w:rsidR="006860F8" w:rsidRPr="00E21E69" w:rsidRDefault="006860F8" w:rsidP="006860F8"/>
    <w:p w14:paraId="062AB679" w14:textId="77777777" w:rsidR="006860F8" w:rsidRPr="00E21E69" w:rsidRDefault="006860F8" w:rsidP="006860F8"/>
    <w:p w14:paraId="1AEE9521" w14:textId="77777777" w:rsidR="00AA553D" w:rsidRDefault="00AA553D">
      <w:pPr>
        <w:rPr>
          <w:rFonts w:ascii="Calibri" w:eastAsia="Calibri" w:hAnsi="Calibri" w:cs="Calibri"/>
          <w:color w:val="000000"/>
        </w:rPr>
      </w:pPr>
      <w:r>
        <w:rPr>
          <w:rFonts w:ascii="Calibri" w:eastAsia="Calibri" w:hAnsi="Calibri" w:cs="Calibri"/>
          <w:color w:val="000000"/>
        </w:rPr>
        <w:br w:type="page"/>
      </w:r>
    </w:p>
    <w:p w14:paraId="2FA6F5D5" w14:textId="76E06E26" w:rsidR="006860F8" w:rsidRDefault="006860F8" w:rsidP="006860F8">
      <w:pPr>
        <w:rPr>
          <w:rFonts w:ascii="Calibri" w:eastAsia="Calibri" w:hAnsi="Calibri" w:cs="Calibri"/>
          <w:color w:val="000000"/>
        </w:rPr>
      </w:pPr>
      <w:r w:rsidRPr="00E21E69">
        <w:rPr>
          <w:rFonts w:ascii="Calibri" w:eastAsia="Calibri" w:hAnsi="Calibri" w:cs="Calibri"/>
          <w:color w:val="000000"/>
        </w:rPr>
        <w:lastRenderedPageBreak/>
        <w:t xml:space="preserve">The Alternates of the </w:t>
      </w:r>
      <w:r>
        <w:rPr>
          <w:rFonts w:ascii="Calibri" w:eastAsia="Calibri" w:hAnsi="Calibri" w:cs="Calibri"/>
          <w:color w:val="000000"/>
        </w:rPr>
        <w:t>Working Group</w:t>
      </w:r>
      <w:r w:rsidRPr="00E21E69">
        <w:rPr>
          <w:rFonts w:ascii="Calibri" w:eastAsia="Calibri" w:hAnsi="Calibri" w:cs="Calibri"/>
          <w:color w:val="000000"/>
        </w:rPr>
        <w:t xml:space="preserve"> are:</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2C308706"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EC868E6"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196D32C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D410DA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13B4821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EEFE428"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4109BA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63122741"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5CB8C8D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At-Large Advisory Committee (ALAC)</w:t>
            </w:r>
          </w:p>
        </w:tc>
        <w:tc>
          <w:tcPr>
            <w:tcW w:w="1060" w:type="dxa"/>
            <w:tcBorders>
              <w:top w:val="nil"/>
              <w:left w:val="nil"/>
              <w:bottom w:val="single" w:sz="4" w:space="0" w:color="auto"/>
              <w:right w:val="nil"/>
            </w:tcBorders>
            <w:shd w:val="clear" w:color="000000" w:fill="D9D9D9"/>
            <w:noWrap/>
            <w:vAlign w:val="bottom"/>
            <w:hideMark/>
          </w:tcPr>
          <w:p w14:paraId="37FDF4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48FA5F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5DF04D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7C8AB14"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90.7%</w:t>
            </w:r>
          </w:p>
        </w:tc>
        <w:tc>
          <w:tcPr>
            <w:tcW w:w="1300" w:type="dxa"/>
            <w:tcBorders>
              <w:top w:val="nil"/>
              <w:left w:val="nil"/>
              <w:bottom w:val="single" w:sz="4" w:space="0" w:color="auto"/>
              <w:right w:val="single" w:sz="4" w:space="0" w:color="auto"/>
            </w:tcBorders>
            <w:shd w:val="clear" w:color="000000" w:fill="D9D9D9"/>
            <w:noWrap/>
            <w:vAlign w:val="bottom"/>
            <w:hideMark/>
          </w:tcPr>
          <w:p w14:paraId="7858005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5053309"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78C90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Lutz </w:t>
            </w:r>
            <w:proofErr w:type="spellStart"/>
            <w:r w:rsidRPr="000A1B9C">
              <w:rPr>
                <w:rFonts w:ascii="Calibri" w:hAnsi="Calibri" w:cs="Calibri"/>
                <w:color w:val="000000"/>
                <w:sz w:val="22"/>
                <w:szCs w:val="22"/>
                <w:lang w:eastAsia="en-US"/>
              </w:rPr>
              <w:t>Donnerhacke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6C5A26F" w14:textId="77777777" w:rsidR="000A1B9C" w:rsidRPr="000A1B9C" w:rsidRDefault="000A1B9C" w:rsidP="000A1B9C">
            <w:pPr>
              <w:jc w:val="center"/>
              <w:rPr>
                <w:rFonts w:ascii="Calibri" w:hAnsi="Calibri" w:cs="Calibri"/>
                <w:color w:val="0563C1"/>
                <w:sz w:val="22"/>
                <w:szCs w:val="22"/>
                <w:u w:val="single"/>
                <w:lang w:eastAsia="en-US"/>
              </w:rPr>
            </w:pPr>
            <w:hyperlink r:id="rId60"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6F5445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5/8/2021</w:t>
            </w:r>
          </w:p>
        </w:tc>
        <w:tc>
          <w:tcPr>
            <w:tcW w:w="1300" w:type="dxa"/>
            <w:tcBorders>
              <w:top w:val="nil"/>
              <w:left w:val="nil"/>
              <w:bottom w:val="single" w:sz="4" w:space="0" w:color="auto"/>
              <w:right w:val="single" w:sz="4" w:space="0" w:color="auto"/>
            </w:tcBorders>
            <w:shd w:val="clear" w:color="auto" w:fill="auto"/>
            <w:noWrap/>
            <w:vAlign w:val="bottom"/>
            <w:hideMark/>
          </w:tcPr>
          <w:p w14:paraId="7A4B39B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1C3E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89.7%</w:t>
            </w:r>
          </w:p>
        </w:tc>
        <w:tc>
          <w:tcPr>
            <w:tcW w:w="1300" w:type="dxa"/>
            <w:tcBorders>
              <w:top w:val="nil"/>
              <w:left w:val="nil"/>
              <w:bottom w:val="single" w:sz="4" w:space="0" w:color="auto"/>
              <w:right w:val="single" w:sz="4" w:space="0" w:color="auto"/>
            </w:tcBorders>
            <w:shd w:val="clear" w:color="auto" w:fill="auto"/>
            <w:noWrap/>
            <w:vAlign w:val="bottom"/>
            <w:hideMark/>
          </w:tcPr>
          <w:p w14:paraId="7FF42A3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EB012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83C832"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Raymond </w:t>
            </w:r>
            <w:proofErr w:type="spellStart"/>
            <w:r w:rsidRPr="000A1B9C">
              <w:rPr>
                <w:rFonts w:ascii="Calibri" w:hAnsi="Calibri" w:cs="Calibri"/>
                <w:color w:val="000000"/>
                <w:sz w:val="22"/>
                <w:szCs w:val="22"/>
                <w:lang w:eastAsia="en-US"/>
              </w:rPr>
              <w:t>Mamattah</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1A3FD88" w14:textId="77777777" w:rsidR="000A1B9C" w:rsidRPr="000A1B9C" w:rsidRDefault="000A1B9C" w:rsidP="000A1B9C">
            <w:pPr>
              <w:jc w:val="center"/>
              <w:rPr>
                <w:rFonts w:ascii="Calibri" w:hAnsi="Calibri" w:cs="Calibri"/>
                <w:color w:val="0563C1"/>
                <w:sz w:val="22"/>
                <w:szCs w:val="22"/>
                <w:u w:val="single"/>
                <w:lang w:eastAsia="en-US"/>
              </w:rPr>
            </w:pPr>
            <w:hyperlink r:id="rId61"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B421C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3244A4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5EACE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92.0%</w:t>
            </w:r>
          </w:p>
        </w:tc>
        <w:tc>
          <w:tcPr>
            <w:tcW w:w="1300" w:type="dxa"/>
            <w:tcBorders>
              <w:top w:val="nil"/>
              <w:left w:val="nil"/>
              <w:bottom w:val="single" w:sz="4" w:space="0" w:color="auto"/>
              <w:right w:val="single" w:sz="4" w:space="0" w:color="auto"/>
            </w:tcBorders>
            <w:shd w:val="clear" w:color="auto" w:fill="auto"/>
            <w:noWrap/>
            <w:vAlign w:val="bottom"/>
            <w:hideMark/>
          </w:tcPr>
          <w:p w14:paraId="611CF356"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651267E"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33B0133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Commercial Business Users Constituency (BC)</w:t>
            </w:r>
          </w:p>
        </w:tc>
        <w:tc>
          <w:tcPr>
            <w:tcW w:w="1300" w:type="dxa"/>
            <w:tcBorders>
              <w:top w:val="nil"/>
              <w:left w:val="nil"/>
              <w:bottom w:val="single" w:sz="4" w:space="0" w:color="auto"/>
              <w:right w:val="nil"/>
            </w:tcBorders>
            <w:shd w:val="clear" w:color="000000" w:fill="D9D9D9"/>
            <w:noWrap/>
            <w:vAlign w:val="bottom"/>
            <w:hideMark/>
          </w:tcPr>
          <w:p w14:paraId="04DF320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18EFDBB"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65A8917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100.0%</w:t>
            </w:r>
          </w:p>
        </w:tc>
        <w:tc>
          <w:tcPr>
            <w:tcW w:w="1300" w:type="dxa"/>
            <w:tcBorders>
              <w:top w:val="nil"/>
              <w:left w:val="nil"/>
              <w:bottom w:val="single" w:sz="4" w:space="0" w:color="auto"/>
              <w:right w:val="single" w:sz="4" w:space="0" w:color="auto"/>
            </w:tcBorders>
            <w:shd w:val="clear" w:color="000000" w:fill="D9D9D9"/>
            <w:noWrap/>
            <w:vAlign w:val="bottom"/>
            <w:hideMark/>
          </w:tcPr>
          <w:p w14:paraId="0EE1C50C"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3A4C322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3E6E09"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Arinola</w:t>
            </w:r>
            <w:proofErr w:type="spellEnd"/>
            <w:r w:rsidRPr="000A1B9C">
              <w:rPr>
                <w:rFonts w:ascii="Calibri" w:hAnsi="Calibri" w:cs="Calibri"/>
                <w:color w:val="000000"/>
                <w:sz w:val="22"/>
                <w:szCs w:val="22"/>
                <w:lang w:eastAsia="en-US"/>
              </w:rPr>
              <w:t xml:space="preserve"> Akinyemi</w:t>
            </w:r>
          </w:p>
        </w:tc>
        <w:tc>
          <w:tcPr>
            <w:tcW w:w="1060" w:type="dxa"/>
            <w:tcBorders>
              <w:top w:val="nil"/>
              <w:left w:val="nil"/>
              <w:bottom w:val="single" w:sz="4" w:space="0" w:color="auto"/>
              <w:right w:val="single" w:sz="4" w:space="0" w:color="auto"/>
            </w:tcBorders>
            <w:shd w:val="clear" w:color="auto" w:fill="auto"/>
            <w:noWrap/>
            <w:vAlign w:val="bottom"/>
            <w:hideMark/>
          </w:tcPr>
          <w:p w14:paraId="60104D4C" w14:textId="77777777" w:rsidR="000A1B9C" w:rsidRPr="000A1B9C" w:rsidRDefault="000A1B9C" w:rsidP="000A1B9C">
            <w:pPr>
              <w:jc w:val="center"/>
              <w:rPr>
                <w:rFonts w:ascii="Calibri" w:hAnsi="Calibri" w:cs="Calibri"/>
                <w:color w:val="0563C1"/>
                <w:sz w:val="22"/>
                <w:szCs w:val="22"/>
                <w:u w:val="single"/>
                <w:lang w:eastAsia="en-US"/>
              </w:rPr>
            </w:pPr>
            <w:hyperlink r:id="rId62"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C724A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8/12/2021</w:t>
            </w:r>
          </w:p>
        </w:tc>
        <w:tc>
          <w:tcPr>
            <w:tcW w:w="1300" w:type="dxa"/>
            <w:tcBorders>
              <w:top w:val="nil"/>
              <w:left w:val="nil"/>
              <w:bottom w:val="single" w:sz="4" w:space="0" w:color="auto"/>
              <w:right w:val="single" w:sz="4" w:space="0" w:color="auto"/>
            </w:tcBorders>
            <w:shd w:val="clear" w:color="auto" w:fill="auto"/>
            <w:noWrap/>
            <w:vAlign w:val="bottom"/>
            <w:hideMark/>
          </w:tcPr>
          <w:p w14:paraId="77A208C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80F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7A4DA00"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4FFD6F2B"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82BE6B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Non-Commercial Stakeholder Group (NCSG)</w:t>
            </w:r>
          </w:p>
        </w:tc>
        <w:tc>
          <w:tcPr>
            <w:tcW w:w="1300" w:type="dxa"/>
            <w:tcBorders>
              <w:top w:val="nil"/>
              <w:left w:val="nil"/>
              <w:bottom w:val="single" w:sz="4" w:space="0" w:color="auto"/>
              <w:right w:val="nil"/>
            </w:tcBorders>
            <w:shd w:val="clear" w:color="000000" w:fill="D9D9D9"/>
            <w:noWrap/>
            <w:vAlign w:val="bottom"/>
            <w:hideMark/>
          </w:tcPr>
          <w:p w14:paraId="673DF1C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E72866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A9B5FC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71.4%</w:t>
            </w:r>
          </w:p>
        </w:tc>
        <w:tc>
          <w:tcPr>
            <w:tcW w:w="1300" w:type="dxa"/>
            <w:tcBorders>
              <w:top w:val="nil"/>
              <w:left w:val="nil"/>
              <w:bottom w:val="single" w:sz="4" w:space="0" w:color="auto"/>
              <w:right w:val="single" w:sz="4" w:space="0" w:color="auto"/>
            </w:tcBorders>
            <w:shd w:val="clear" w:color="000000" w:fill="D9D9D9"/>
            <w:noWrap/>
            <w:vAlign w:val="bottom"/>
            <w:hideMark/>
          </w:tcPr>
          <w:p w14:paraId="55B65C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8AC5AF8"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89EAAC0"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Akinremi</w:t>
            </w:r>
            <w:proofErr w:type="spellEnd"/>
            <w:r w:rsidRPr="000A1B9C">
              <w:rPr>
                <w:rFonts w:ascii="Calibri" w:hAnsi="Calibri" w:cs="Calibri"/>
                <w:color w:val="000000"/>
                <w:sz w:val="22"/>
                <w:szCs w:val="22"/>
                <w:lang w:eastAsia="en-US"/>
              </w:rPr>
              <w:t xml:space="preserve"> Peter Taiwo</w:t>
            </w:r>
          </w:p>
        </w:tc>
        <w:tc>
          <w:tcPr>
            <w:tcW w:w="1060" w:type="dxa"/>
            <w:tcBorders>
              <w:top w:val="nil"/>
              <w:left w:val="nil"/>
              <w:bottom w:val="single" w:sz="4" w:space="0" w:color="auto"/>
              <w:right w:val="single" w:sz="4" w:space="0" w:color="auto"/>
            </w:tcBorders>
            <w:shd w:val="clear" w:color="auto" w:fill="auto"/>
            <w:noWrap/>
            <w:vAlign w:val="bottom"/>
            <w:hideMark/>
          </w:tcPr>
          <w:p w14:paraId="0A095155" w14:textId="77777777" w:rsidR="000A1B9C" w:rsidRPr="000A1B9C" w:rsidRDefault="000A1B9C" w:rsidP="000A1B9C">
            <w:pPr>
              <w:jc w:val="center"/>
              <w:rPr>
                <w:rFonts w:ascii="Calibri" w:hAnsi="Calibri" w:cs="Calibri"/>
                <w:color w:val="0563C1"/>
                <w:sz w:val="22"/>
                <w:szCs w:val="22"/>
                <w:u w:val="single"/>
                <w:lang w:eastAsia="en-US"/>
              </w:rPr>
            </w:pPr>
            <w:hyperlink r:id="rId63"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2281EB9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6/2/2021</w:t>
            </w:r>
          </w:p>
        </w:tc>
        <w:tc>
          <w:tcPr>
            <w:tcW w:w="1300" w:type="dxa"/>
            <w:tcBorders>
              <w:top w:val="nil"/>
              <w:left w:val="nil"/>
              <w:bottom w:val="single" w:sz="4" w:space="0" w:color="auto"/>
              <w:right w:val="single" w:sz="4" w:space="0" w:color="auto"/>
            </w:tcBorders>
            <w:shd w:val="clear" w:color="auto" w:fill="auto"/>
            <w:noWrap/>
            <w:vAlign w:val="bottom"/>
            <w:hideMark/>
          </w:tcPr>
          <w:p w14:paraId="6D37E52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5F1F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71.4%</w:t>
            </w:r>
          </w:p>
        </w:tc>
        <w:tc>
          <w:tcPr>
            <w:tcW w:w="1300" w:type="dxa"/>
            <w:tcBorders>
              <w:top w:val="nil"/>
              <w:left w:val="nil"/>
              <w:bottom w:val="single" w:sz="4" w:space="0" w:color="auto"/>
              <w:right w:val="single" w:sz="4" w:space="0" w:color="auto"/>
            </w:tcBorders>
            <w:shd w:val="clear" w:color="auto" w:fill="auto"/>
            <w:noWrap/>
            <w:vAlign w:val="bottom"/>
            <w:hideMark/>
          </w:tcPr>
          <w:p w14:paraId="204A2CF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538F2C9"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672AC85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Registrar Stakeholder Group (</w:t>
            </w:r>
            <w:proofErr w:type="spellStart"/>
            <w:r w:rsidRPr="000A1B9C">
              <w:rPr>
                <w:rFonts w:ascii="Calibri" w:hAnsi="Calibri" w:cs="Calibri"/>
                <w:b/>
                <w:bCs/>
                <w:color w:val="000000"/>
                <w:sz w:val="22"/>
                <w:szCs w:val="22"/>
                <w:lang w:eastAsia="en-US"/>
              </w:rPr>
              <w:t>RrSG</w:t>
            </w:r>
            <w:proofErr w:type="spellEnd"/>
            <w:r w:rsidRPr="000A1B9C">
              <w:rPr>
                <w:rFonts w:ascii="Calibri" w:hAnsi="Calibri" w:cs="Calibri"/>
                <w:b/>
                <w:bCs/>
                <w:color w:val="000000"/>
                <w:sz w:val="22"/>
                <w:szCs w:val="22"/>
                <w:lang w:eastAsia="en-US"/>
              </w:rPr>
              <w:t>)</w:t>
            </w:r>
          </w:p>
        </w:tc>
        <w:tc>
          <w:tcPr>
            <w:tcW w:w="1060" w:type="dxa"/>
            <w:tcBorders>
              <w:top w:val="nil"/>
              <w:left w:val="nil"/>
              <w:bottom w:val="single" w:sz="4" w:space="0" w:color="auto"/>
              <w:right w:val="nil"/>
            </w:tcBorders>
            <w:shd w:val="clear" w:color="000000" w:fill="D9D9D9"/>
            <w:noWrap/>
            <w:vAlign w:val="bottom"/>
            <w:hideMark/>
          </w:tcPr>
          <w:p w14:paraId="6F5583A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EA999A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B77933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557D47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97.1%</w:t>
            </w:r>
          </w:p>
        </w:tc>
        <w:tc>
          <w:tcPr>
            <w:tcW w:w="1300" w:type="dxa"/>
            <w:tcBorders>
              <w:top w:val="nil"/>
              <w:left w:val="nil"/>
              <w:bottom w:val="single" w:sz="4" w:space="0" w:color="auto"/>
              <w:right w:val="single" w:sz="4" w:space="0" w:color="auto"/>
            </w:tcBorders>
            <w:shd w:val="clear" w:color="000000" w:fill="D9D9D9"/>
            <w:noWrap/>
            <w:vAlign w:val="bottom"/>
            <w:hideMark/>
          </w:tcPr>
          <w:p w14:paraId="157E9C25"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07E4C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C6DD7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Andrew </w:t>
            </w:r>
            <w:proofErr w:type="spellStart"/>
            <w:r w:rsidRPr="000A1B9C">
              <w:rPr>
                <w:rFonts w:ascii="Calibri" w:hAnsi="Calibri" w:cs="Calibri"/>
                <w:color w:val="000000"/>
                <w:sz w:val="22"/>
                <w:szCs w:val="22"/>
                <w:lang w:eastAsia="en-US"/>
              </w:rPr>
              <w:t>Reberry</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C2AECE8" w14:textId="77777777" w:rsidR="000A1B9C" w:rsidRPr="000A1B9C" w:rsidRDefault="000A1B9C" w:rsidP="000A1B9C">
            <w:pPr>
              <w:jc w:val="center"/>
              <w:rPr>
                <w:rFonts w:ascii="Calibri" w:hAnsi="Calibri" w:cs="Calibri"/>
                <w:color w:val="0563C1"/>
                <w:sz w:val="22"/>
                <w:szCs w:val="22"/>
                <w:u w:val="single"/>
                <w:lang w:eastAsia="en-US"/>
              </w:rPr>
            </w:pPr>
            <w:r w:rsidRPr="000A1B9C">
              <w:rPr>
                <w:rFonts w:ascii="Calibri" w:hAnsi="Calibri" w:cs="Calibri"/>
                <w:color w:val="0563C1"/>
                <w:sz w:val="22"/>
                <w:szCs w:val="22"/>
                <w:u w:val="single"/>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F4F7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28FB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D75B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8DAB96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B4DB55D"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DFCAB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Arnaud </w:t>
            </w:r>
            <w:proofErr w:type="spellStart"/>
            <w:r w:rsidRPr="000A1B9C">
              <w:rPr>
                <w:rFonts w:ascii="Calibri" w:hAnsi="Calibri" w:cs="Calibri"/>
                <w:color w:val="000000"/>
                <w:sz w:val="22"/>
                <w:szCs w:val="22"/>
                <w:lang w:eastAsia="en-US"/>
              </w:rPr>
              <w:t>Wittersheim</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3714320" w14:textId="77777777" w:rsidR="000A1B9C" w:rsidRPr="000A1B9C" w:rsidRDefault="000A1B9C" w:rsidP="000A1B9C">
            <w:pPr>
              <w:jc w:val="center"/>
              <w:rPr>
                <w:rFonts w:ascii="Calibri" w:hAnsi="Calibri" w:cs="Calibri"/>
                <w:color w:val="0563C1"/>
                <w:sz w:val="22"/>
                <w:szCs w:val="22"/>
                <w:u w:val="single"/>
                <w:lang w:eastAsia="en-US"/>
              </w:rPr>
            </w:pPr>
            <w:hyperlink r:id="rId64"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4B28D84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5/5/2021</w:t>
            </w:r>
          </w:p>
        </w:tc>
        <w:tc>
          <w:tcPr>
            <w:tcW w:w="1300" w:type="dxa"/>
            <w:tcBorders>
              <w:top w:val="nil"/>
              <w:left w:val="nil"/>
              <w:bottom w:val="single" w:sz="4" w:space="0" w:color="auto"/>
              <w:right w:val="single" w:sz="4" w:space="0" w:color="auto"/>
            </w:tcBorders>
            <w:shd w:val="clear" w:color="auto" w:fill="auto"/>
            <w:noWrap/>
            <w:vAlign w:val="bottom"/>
            <w:hideMark/>
          </w:tcPr>
          <w:p w14:paraId="78FDD15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D81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96.7%</w:t>
            </w:r>
          </w:p>
        </w:tc>
        <w:tc>
          <w:tcPr>
            <w:tcW w:w="1300" w:type="dxa"/>
            <w:tcBorders>
              <w:top w:val="nil"/>
              <w:left w:val="nil"/>
              <w:bottom w:val="single" w:sz="4" w:space="0" w:color="auto"/>
              <w:right w:val="single" w:sz="4" w:space="0" w:color="auto"/>
            </w:tcBorders>
            <w:shd w:val="clear" w:color="auto" w:fill="auto"/>
            <w:noWrap/>
            <w:vAlign w:val="bottom"/>
            <w:hideMark/>
          </w:tcPr>
          <w:p w14:paraId="4450D02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F37578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33AB25"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Essie </w:t>
            </w:r>
            <w:proofErr w:type="spellStart"/>
            <w:r w:rsidRPr="000A1B9C">
              <w:rPr>
                <w:rFonts w:ascii="Calibri" w:hAnsi="Calibri" w:cs="Calibri"/>
                <w:color w:val="000000"/>
                <w:sz w:val="22"/>
                <w:szCs w:val="22"/>
                <w:lang w:eastAsia="en-US"/>
              </w:rPr>
              <w:t>Musailov</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C3975BF" w14:textId="77777777" w:rsidR="000A1B9C" w:rsidRPr="000A1B9C" w:rsidRDefault="000A1B9C" w:rsidP="000A1B9C">
            <w:pPr>
              <w:jc w:val="center"/>
              <w:rPr>
                <w:rFonts w:ascii="Calibri" w:hAnsi="Calibri" w:cs="Calibri"/>
                <w:color w:val="0563C1"/>
                <w:sz w:val="22"/>
                <w:szCs w:val="22"/>
                <w:u w:val="single"/>
                <w:lang w:eastAsia="en-US"/>
              </w:rPr>
            </w:pPr>
            <w:hyperlink r:id="rId65"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366E8E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7E0252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849A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369F100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2DDCF5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26A91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Jacques Blanc</w:t>
            </w:r>
          </w:p>
        </w:tc>
        <w:tc>
          <w:tcPr>
            <w:tcW w:w="1060" w:type="dxa"/>
            <w:tcBorders>
              <w:top w:val="nil"/>
              <w:left w:val="nil"/>
              <w:bottom w:val="single" w:sz="4" w:space="0" w:color="auto"/>
              <w:right w:val="single" w:sz="4" w:space="0" w:color="auto"/>
            </w:tcBorders>
            <w:shd w:val="clear" w:color="auto" w:fill="auto"/>
            <w:noWrap/>
            <w:vAlign w:val="bottom"/>
            <w:hideMark/>
          </w:tcPr>
          <w:p w14:paraId="3B31D4A3" w14:textId="77777777" w:rsidR="000A1B9C" w:rsidRPr="000A1B9C" w:rsidRDefault="000A1B9C" w:rsidP="000A1B9C">
            <w:pPr>
              <w:jc w:val="center"/>
              <w:rPr>
                <w:rFonts w:ascii="Calibri" w:hAnsi="Calibri" w:cs="Calibri"/>
                <w:color w:val="0563C1"/>
                <w:sz w:val="22"/>
                <w:szCs w:val="22"/>
                <w:u w:val="single"/>
                <w:lang w:eastAsia="en-US"/>
              </w:rPr>
            </w:pPr>
            <w:hyperlink r:id="rId66"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1B73F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4/29/2021</w:t>
            </w:r>
          </w:p>
        </w:tc>
        <w:tc>
          <w:tcPr>
            <w:tcW w:w="1300" w:type="dxa"/>
            <w:tcBorders>
              <w:top w:val="nil"/>
              <w:left w:val="nil"/>
              <w:bottom w:val="single" w:sz="4" w:space="0" w:color="auto"/>
              <w:right w:val="single" w:sz="4" w:space="0" w:color="auto"/>
            </w:tcBorders>
            <w:shd w:val="clear" w:color="auto" w:fill="auto"/>
            <w:noWrap/>
            <w:vAlign w:val="bottom"/>
            <w:hideMark/>
          </w:tcPr>
          <w:p w14:paraId="6E123D6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CAF17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66.7%</w:t>
            </w:r>
          </w:p>
        </w:tc>
        <w:tc>
          <w:tcPr>
            <w:tcW w:w="1300" w:type="dxa"/>
            <w:tcBorders>
              <w:top w:val="nil"/>
              <w:left w:val="nil"/>
              <w:bottom w:val="single" w:sz="4" w:space="0" w:color="auto"/>
              <w:right w:val="single" w:sz="4" w:space="0" w:color="auto"/>
            </w:tcBorders>
            <w:shd w:val="clear" w:color="auto" w:fill="auto"/>
            <w:noWrap/>
            <w:vAlign w:val="bottom"/>
            <w:hideMark/>
          </w:tcPr>
          <w:p w14:paraId="209F1B0F"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C6F221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267FB9E"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Jody </w:t>
            </w:r>
            <w:proofErr w:type="spellStart"/>
            <w:r w:rsidRPr="000A1B9C">
              <w:rPr>
                <w:rFonts w:ascii="Calibri" w:hAnsi="Calibri" w:cs="Calibri"/>
                <w:color w:val="000000"/>
                <w:sz w:val="22"/>
                <w:szCs w:val="22"/>
                <w:lang w:eastAsia="en-US"/>
              </w:rPr>
              <w:t>Kolker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A2CD362" w14:textId="77777777" w:rsidR="000A1B9C" w:rsidRPr="000A1B9C" w:rsidRDefault="000A1B9C" w:rsidP="000A1B9C">
            <w:pPr>
              <w:jc w:val="center"/>
              <w:rPr>
                <w:rFonts w:ascii="Calibri" w:hAnsi="Calibri" w:cs="Calibri"/>
                <w:color w:val="0563C1"/>
                <w:sz w:val="22"/>
                <w:szCs w:val="22"/>
                <w:u w:val="single"/>
                <w:lang w:eastAsia="en-US"/>
              </w:rPr>
            </w:pPr>
            <w:hyperlink r:id="rId67"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4B641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5/7/2021</w:t>
            </w:r>
          </w:p>
        </w:tc>
        <w:tc>
          <w:tcPr>
            <w:tcW w:w="1300" w:type="dxa"/>
            <w:tcBorders>
              <w:top w:val="nil"/>
              <w:left w:val="nil"/>
              <w:bottom w:val="single" w:sz="4" w:space="0" w:color="auto"/>
              <w:right w:val="single" w:sz="4" w:space="0" w:color="auto"/>
            </w:tcBorders>
            <w:shd w:val="clear" w:color="auto" w:fill="auto"/>
            <w:noWrap/>
            <w:vAlign w:val="bottom"/>
            <w:hideMark/>
          </w:tcPr>
          <w:p w14:paraId="4EFC933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A951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CAEE40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A48930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7B604A"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Jothan</w:t>
            </w:r>
            <w:proofErr w:type="spellEnd"/>
            <w:r w:rsidRPr="000A1B9C">
              <w:rPr>
                <w:rFonts w:ascii="Calibri" w:hAnsi="Calibri" w:cs="Calibri"/>
                <w:color w:val="000000"/>
                <w:sz w:val="22"/>
                <w:szCs w:val="22"/>
                <w:lang w:eastAsia="en-US"/>
              </w:rPr>
              <w:t xml:space="preserve"> </w:t>
            </w:r>
            <w:proofErr w:type="spellStart"/>
            <w:r w:rsidRPr="000A1B9C">
              <w:rPr>
                <w:rFonts w:ascii="Calibri" w:hAnsi="Calibri" w:cs="Calibri"/>
                <w:color w:val="000000"/>
                <w:sz w:val="22"/>
                <w:szCs w:val="22"/>
                <w:lang w:eastAsia="en-US"/>
              </w:rPr>
              <w:t>Frakes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E29B680" w14:textId="77777777" w:rsidR="000A1B9C" w:rsidRPr="000A1B9C" w:rsidRDefault="000A1B9C" w:rsidP="000A1B9C">
            <w:pPr>
              <w:jc w:val="center"/>
              <w:rPr>
                <w:rFonts w:ascii="Calibri" w:hAnsi="Calibri" w:cs="Calibri"/>
                <w:color w:val="0563C1"/>
                <w:sz w:val="22"/>
                <w:szCs w:val="22"/>
                <w:u w:val="single"/>
                <w:lang w:eastAsia="en-US"/>
              </w:rPr>
            </w:pPr>
            <w:hyperlink r:id="rId68"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114B08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06843D6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34303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F2BB19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27CA012"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D3D044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Min Feng</w:t>
            </w:r>
          </w:p>
        </w:tc>
        <w:tc>
          <w:tcPr>
            <w:tcW w:w="1060" w:type="dxa"/>
            <w:tcBorders>
              <w:top w:val="nil"/>
              <w:left w:val="nil"/>
              <w:bottom w:val="single" w:sz="4" w:space="0" w:color="auto"/>
              <w:right w:val="single" w:sz="4" w:space="0" w:color="auto"/>
            </w:tcBorders>
            <w:shd w:val="clear" w:color="auto" w:fill="auto"/>
            <w:noWrap/>
            <w:vAlign w:val="bottom"/>
            <w:hideMark/>
          </w:tcPr>
          <w:p w14:paraId="68D8F87E" w14:textId="77777777" w:rsidR="000A1B9C" w:rsidRPr="000A1B9C" w:rsidRDefault="000A1B9C" w:rsidP="000A1B9C">
            <w:pPr>
              <w:jc w:val="center"/>
              <w:rPr>
                <w:rFonts w:ascii="Calibri" w:hAnsi="Calibri" w:cs="Calibri"/>
                <w:color w:val="0563C1"/>
                <w:sz w:val="22"/>
                <w:szCs w:val="22"/>
                <w:u w:val="single"/>
                <w:lang w:eastAsia="en-US"/>
              </w:rPr>
            </w:pPr>
            <w:hyperlink r:id="rId69"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6C1F38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9A888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8DD19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08AD7C0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638DE7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157F80"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Pam Little</w:t>
            </w:r>
          </w:p>
        </w:tc>
        <w:tc>
          <w:tcPr>
            <w:tcW w:w="1060" w:type="dxa"/>
            <w:tcBorders>
              <w:top w:val="nil"/>
              <w:left w:val="nil"/>
              <w:bottom w:val="single" w:sz="4" w:space="0" w:color="auto"/>
              <w:right w:val="single" w:sz="4" w:space="0" w:color="auto"/>
            </w:tcBorders>
            <w:shd w:val="clear" w:color="auto" w:fill="auto"/>
            <w:noWrap/>
            <w:vAlign w:val="bottom"/>
            <w:hideMark/>
          </w:tcPr>
          <w:p w14:paraId="0DC90462" w14:textId="77777777" w:rsidR="000A1B9C" w:rsidRPr="000A1B9C" w:rsidRDefault="000A1B9C" w:rsidP="000A1B9C">
            <w:pPr>
              <w:jc w:val="center"/>
              <w:rPr>
                <w:rFonts w:ascii="Calibri" w:hAnsi="Calibri" w:cs="Calibri"/>
                <w:color w:val="0563C1"/>
                <w:sz w:val="22"/>
                <w:szCs w:val="22"/>
                <w:u w:val="single"/>
                <w:lang w:eastAsia="en-US"/>
              </w:rPr>
            </w:pPr>
            <w:hyperlink r:id="rId70"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3B9D4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B1B025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5E6B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2CE1319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4E10E5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BAC5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Richard Brown</w:t>
            </w:r>
          </w:p>
        </w:tc>
        <w:tc>
          <w:tcPr>
            <w:tcW w:w="1060" w:type="dxa"/>
            <w:tcBorders>
              <w:top w:val="nil"/>
              <w:left w:val="nil"/>
              <w:bottom w:val="single" w:sz="4" w:space="0" w:color="auto"/>
              <w:right w:val="single" w:sz="4" w:space="0" w:color="auto"/>
            </w:tcBorders>
            <w:shd w:val="clear" w:color="auto" w:fill="auto"/>
            <w:noWrap/>
            <w:vAlign w:val="bottom"/>
            <w:hideMark/>
          </w:tcPr>
          <w:p w14:paraId="3E297DA5" w14:textId="77777777" w:rsidR="000A1B9C" w:rsidRPr="000A1B9C" w:rsidRDefault="000A1B9C" w:rsidP="000A1B9C">
            <w:pPr>
              <w:jc w:val="center"/>
              <w:rPr>
                <w:rFonts w:ascii="Calibri" w:hAnsi="Calibri" w:cs="Calibri"/>
                <w:color w:val="0563C1"/>
                <w:sz w:val="22"/>
                <w:szCs w:val="22"/>
                <w:u w:val="single"/>
                <w:lang w:eastAsia="en-US"/>
              </w:rPr>
            </w:pPr>
            <w:hyperlink r:id="rId71"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58C60A0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407C1F7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EE4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4022DF6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FF87ABF"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18F0FC7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Registry Stakeholder Group (</w:t>
            </w:r>
            <w:proofErr w:type="spellStart"/>
            <w:r w:rsidRPr="000A1B9C">
              <w:rPr>
                <w:rFonts w:ascii="Calibri" w:hAnsi="Calibri" w:cs="Calibri"/>
                <w:b/>
                <w:bCs/>
                <w:color w:val="000000"/>
                <w:sz w:val="22"/>
                <w:szCs w:val="22"/>
                <w:lang w:eastAsia="en-US"/>
              </w:rPr>
              <w:t>RySG</w:t>
            </w:r>
            <w:proofErr w:type="spellEnd"/>
            <w:r w:rsidRPr="000A1B9C">
              <w:rPr>
                <w:rFonts w:ascii="Calibri" w:hAnsi="Calibri" w:cs="Calibri"/>
                <w:b/>
                <w:bCs/>
                <w:color w:val="000000"/>
                <w:sz w:val="22"/>
                <w:szCs w:val="22"/>
                <w:lang w:eastAsia="en-US"/>
              </w:rPr>
              <w:t>)</w:t>
            </w:r>
          </w:p>
        </w:tc>
        <w:tc>
          <w:tcPr>
            <w:tcW w:w="1060" w:type="dxa"/>
            <w:tcBorders>
              <w:top w:val="nil"/>
              <w:left w:val="nil"/>
              <w:bottom w:val="single" w:sz="4" w:space="0" w:color="auto"/>
              <w:right w:val="nil"/>
            </w:tcBorders>
            <w:shd w:val="clear" w:color="000000" w:fill="D9D9D9"/>
            <w:noWrap/>
            <w:vAlign w:val="bottom"/>
            <w:hideMark/>
          </w:tcPr>
          <w:p w14:paraId="70127D0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052816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83B37F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2DDE52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97.0%</w:t>
            </w:r>
          </w:p>
        </w:tc>
        <w:tc>
          <w:tcPr>
            <w:tcW w:w="1300" w:type="dxa"/>
            <w:tcBorders>
              <w:top w:val="nil"/>
              <w:left w:val="nil"/>
              <w:bottom w:val="single" w:sz="4" w:space="0" w:color="auto"/>
              <w:right w:val="single" w:sz="4" w:space="0" w:color="auto"/>
            </w:tcBorders>
            <w:shd w:val="clear" w:color="000000" w:fill="D9D9D9"/>
            <w:noWrap/>
            <w:vAlign w:val="bottom"/>
            <w:hideMark/>
          </w:tcPr>
          <w:p w14:paraId="35ABEEE4"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BF8F3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A89A3A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Beth Bacon</w:t>
            </w:r>
          </w:p>
        </w:tc>
        <w:tc>
          <w:tcPr>
            <w:tcW w:w="1060" w:type="dxa"/>
            <w:tcBorders>
              <w:top w:val="nil"/>
              <w:left w:val="nil"/>
              <w:bottom w:val="single" w:sz="4" w:space="0" w:color="auto"/>
              <w:right w:val="single" w:sz="4" w:space="0" w:color="auto"/>
            </w:tcBorders>
            <w:shd w:val="clear" w:color="auto" w:fill="auto"/>
            <w:noWrap/>
            <w:vAlign w:val="bottom"/>
            <w:hideMark/>
          </w:tcPr>
          <w:p w14:paraId="2D588607" w14:textId="77777777" w:rsidR="000A1B9C" w:rsidRPr="000A1B9C" w:rsidRDefault="000A1B9C" w:rsidP="000A1B9C">
            <w:pPr>
              <w:jc w:val="center"/>
              <w:rPr>
                <w:rFonts w:ascii="Calibri" w:hAnsi="Calibri" w:cs="Calibri"/>
                <w:color w:val="0563C1"/>
                <w:sz w:val="22"/>
                <w:szCs w:val="22"/>
                <w:u w:val="single"/>
                <w:lang w:eastAsia="en-US"/>
              </w:rPr>
            </w:pPr>
            <w:hyperlink r:id="rId72" w:tgtFrame="_parent" w:history="1">
              <w:r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81A89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6D0C18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1B5C3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97.0%</w:t>
            </w:r>
          </w:p>
        </w:tc>
        <w:tc>
          <w:tcPr>
            <w:tcW w:w="1300" w:type="dxa"/>
            <w:tcBorders>
              <w:top w:val="nil"/>
              <w:left w:val="nil"/>
              <w:bottom w:val="single" w:sz="4" w:space="0" w:color="auto"/>
              <w:right w:val="single" w:sz="4" w:space="0" w:color="auto"/>
            </w:tcBorders>
            <w:shd w:val="clear" w:color="auto" w:fill="auto"/>
            <w:noWrap/>
            <w:vAlign w:val="bottom"/>
            <w:hideMark/>
          </w:tcPr>
          <w:p w14:paraId="28ADB32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1BD2BB9" w14:textId="77777777" w:rsidTr="000A1B9C">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14:paraId="11E681A9" w14:textId="77777777" w:rsidR="000A1B9C" w:rsidRPr="000A1B9C" w:rsidRDefault="000A1B9C" w:rsidP="000A1B9C">
            <w:pPr>
              <w:jc w:val="right"/>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Totals:</w:t>
            </w:r>
          </w:p>
        </w:tc>
        <w:tc>
          <w:tcPr>
            <w:tcW w:w="1060" w:type="dxa"/>
            <w:tcBorders>
              <w:top w:val="nil"/>
              <w:left w:val="nil"/>
              <w:bottom w:val="single" w:sz="4" w:space="0" w:color="auto"/>
              <w:right w:val="single" w:sz="4" w:space="0" w:color="auto"/>
            </w:tcBorders>
            <w:shd w:val="clear" w:color="000000" w:fill="BDD7EE"/>
            <w:noWrap/>
            <w:vAlign w:val="bottom"/>
            <w:hideMark/>
          </w:tcPr>
          <w:p w14:paraId="5308DED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65A1C5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9FE634B"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4F33E9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95.8%</w:t>
            </w:r>
          </w:p>
        </w:tc>
        <w:tc>
          <w:tcPr>
            <w:tcW w:w="1300" w:type="dxa"/>
            <w:tcBorders>
              <w:top w:val="nil"/>
              <w:left w:val="nil"/>
              <w:bottom w:val="single" w:sz="4" w:space="0" w:color="auto"/>
              <w:right w:val="single" w:sz="4" w:space="0" w:color="auto"/>
            </w:tcBorders>
            <w:shd w:val="clear" w:color="000000" w:fill="BDD7EE"/>
            <w:noWrap/>
            <w:vAlign w:val="bottom"/>
            <w:hideMark/>
          </w:tcPr>
          <w:p w14:paraId="158CB30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bl>
    <w:p w14:paraId="63A9BFE8" w14:textId="77777777" w:rsidR="00AA553D" w:rsidRDefault="00AA553D" w:rsidP="006860F8">
      <w:pPr>
        <w:rPr>
          <w:rFonts w:ascii="Calibri" w:eastAsia="Calibri" w:hAnsi="Calibri" w:cs="Calibri"/>
          <w:color w:val="000000"/>
        </w:rPr>
      </w:pPr>
    </w:p>
    <w:p w14:paraId="1540DE88" w14:textId="77777777" w:rsidR="006860F8" w:rsidRDefault="006860F8" w:rsidP="006860F8">
      <w:pPr>
        <w:rPr>
          <w:rFonts w:ascii="Calibri" w:eastAsia="Calibri" w:hAnsi="Calibri" w:cs="Calibri"/>
          <w:color w:val="000000"/>
        </w:rPr>
      </w:pPr>
      <w:r>
        <w:rPr>
          <w:rFonts w:ascii="Calibri" w:eastAsia="Calibri" w:hAnsi="Calibri" w:cs="Calibri"/>
          <w:color w:val="000000"/>
        </w:rPr>
        <w:t>There are a total of 33 Observers to the Working group.</w:t>
      </w:r>
    </w:p>
    <w:p w14:paraId="74A5BB41" w14:textId="77777777" w:rsidR="006860F8" w:rsidRDefault="006860F8" w:rsidP="006860F8">
      <w:pPr>
        <w:rPr>
          <w:rFonts w:ascii="Calibri" w:eastAsia="Calibri" w:hAnsi="Calibri" w:cs="Calibri"/>
          <w:color w:val="000000"/>
        </w:rPr>
      </w:pPr>
    </w:p>
    <w:p w14:paraId="4830E2E6" w14:textId="77777777" w:rsidR="006860F8" w:rsidRDefault="006860F8" w:rsidP="006860F8">
      <w:pPr>
        <w:rPr>
          <w:rFonts w:ascii="Calibri" w:eastAsia="Calibri" w:hAnsi="Calibri" w:cs="Calibri"/>
          <w:color w:val="000000"/>
        </w:rPr>
      </w:pPr>
      <w:r>
        <w:rPr>
          <w:rFonts w:ascii="Calibri" w:eastAsia="Calibri" w:hAnsi="Calibri" w:cs="Calibri"/>
          <w:color w:val="000000"/>
        </w:rPr>
        <w:t>ICANN org Policy Staff Support for the Working Group:</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456185EE"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798A5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660D247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13E0710"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63A1AC0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C508F3C"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993C7B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5A6BFC23" w14:textId="77777777" w:rsidTr="000A1B9C">
        <w:trPr>
          <w:trHeight w:val="300"/>
        </w:trPr>
        <w:tc>
          <w:tcPr>
            <w:tcW w:w="588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495BDC1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Internet Corporation for Assigned Names &amp; Numbers (ICANN)</w:t>
            </w:r>
          </w:p>
        </w:tc>
        <w:tc>
          <w:tcPr>
            <w:tcW w:w="1300" w:type="dxa"/>
            <w:tcBorders>
              <w:top w:val="nil"/>
              <w:left w:val="nil"/>
              <w:bottom w:val="single" w:sz="4" w:space="0" w:color="auto"/>
              <w:right w:val="nil"/>
            </w:tcBorders>
            <w:shd w:val="clear" w:color="000000" w:fill="D9D9D9"/>
            <w:noWrap/>
            <w:vAlign w:val="bottom"/>
            <w:hideMark/>
          </w:tcPr>
          <w:p w14:paraId="641850E0"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3E3836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D9D9D9"/>
            <w:noWrap/>
            <w:vAlign w:val="bottom"/>
            <w:hideMark/>
          </w:tcPr>
          <w:p w14:paraId="1A34108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D8D365A"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BB4C1C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Berry Cobb</w:t>
            </w:r>
          </w:p>
        </w:tc>
        <w:tc>
          <w:tcPr>
            <w:tcW w:w="1060" w:type="dxa"/>
            <w:tcBorders>
              <w:top w:val="nil"/>
              <w:left w:val="nil"/>
              <w:bottom w:val="single" w:sz="4" w:space="0" w:color="auto"/>
              <w:right w:val="single" w:sz="4" w:space="0" w:color="auto"/>
            </w:tcBorders>
            <w:shd w:val="clear" w:color="auto" w:fill="auto"/>
            <w:noWrap/>
            <w:vAlign w:val="bottom"/>
            <w:hideMark/>
          </w:tcPr>
          <w:p w14:paraId="607ABAD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5DE7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8F917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CBE28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BE81F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03679F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6AEF1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Caitlin Tubergen</w:t>
            </w:r>
          </w:p>
        </w:tc>
        <w:tc>
          <w:tcPr>
            <w:tcW w:w="1060" w:type="dxa"/>
            <w:tcBorders>
              <w:top w:val="nil"/>
              <w:left w:val="nil"/>
              <w:bottom w:val="single" w:sz="4" w:space="0" w:color="auto"/>
              <w:right w:val="single" w:sz="4" w:space="0" w:color="auto"/>
            </w:tcBorders>
            <w:shd w:val="clear" w:color="auto" w:fill="auto"/>
            <w:noWrap/>
            <w:vAlign w:val="bottom"/>
            <w:hideMark/>
          </w:tcPr>
          <w:p w14:paraId="2A6226E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A7F6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72B7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BA79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E9DF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09CF2C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4F1C04A"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Devan Reed</w:t>
            </w:r>
          </w:p>
        </w:tc>
        <w:tc>
          <w:tcPr>
            <w:tcW w:w="1060" w:type="dxa"/>
            <w:tcBorders>
              <w:top w:val="nil"/>
              <w:left w:val="nil"/>
              <w:bottom w:val="single" w:sz="4" w:space="0" w:color="auto"/>
              <w:right w:val="single" w:sz="4" w:space="0" w:color="auto"/>
            </w:tcBorders>
            <w:shd w:val="clear" w:color="auto" w:fill="auto"/>
            <w:noWrap/>
            <w:vAlign w:val="bottom"/>
            <w:hideMark/>
          </w:tcPr>
          <w:p w14:paraId="196A9C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F9BE3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01F6F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6CAF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359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0104F8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019F9E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Emily </w:t>
            </w:r>
            <w:proofErr w:type="spellStart"/>
            <w:r w:rsidRPr="000A1B9C">
              <w:rPr>
                <w:rFonts w:ascii="Calibri" w:hAnsi="Calibri" w:cs="Calibri"/>
                <w:color w:val="000000"/>
                <w:sz w:val="22"/>
                <w:szCs w:val="22"/>
                <w:lang w:eastAsia="en-US"/>
              </w:rPr>
              <w:t>Barabas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F9515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D198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79837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67A1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76FE8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B6C809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C79B85"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Holida</w:t>
            </w:r>
            <w:proofErr w:type="spellEnd"/>
            <w:r w:rsidRPr="000A1B9C">
              <w:rPr>
                <w:rFonts w:ascii="Calibri" w:hAnsi="Calibri" w:cs="Calibri"/>
                <w:color w:val="000000"/>
                <w:sz w:val="22"/>
                <w:szCs w:val="22"/>
                <w:lang w:eastAsia="en-US"/>
              </w:rPr>
              <w:t xml:space="preserve"> </w:t>
            </w:r>
            <w:proofErr w:type="spellStart"/>
            <w:r w:rsidRPr="000A1B9C">
              <w:rPr>
                <w:rFonts w:ascii="Calibri" w:hAnsi="Calibri" w:cs="Calibri"/>
                <w:color w:val="000000"/>
                <w:sz w:val="22"/>
                <w:szCs w:val="22"/>
                <w:lang w:eastAsia="en-US"/>
              </w:rPr>
              <w:t>Yanik</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0A6475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0B783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0EFA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B5358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D3E10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53C768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C8EF45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Isabelle Colas</w:t>
            </w:r>
          </w:p>
        </w:tc>
        <w:tc>
          <w:tcPr>
            <w:tcW w:w="1060" w:type="dxa"/>
            <w:tcBorders>
              <w:top w:val="nil"/>
              <w:left w:val="nil"/>
              <w:bottom w:val="single" w:sz="4" w:space="0" w:color="auto"/>
              <w:right w:val="single" w:sz="4" w:space="0" w:color="auto"/>
            </w:tcBorders>
            <w:shd w:val="clear" w:color="auto" w:fill="auto"/>
            <w:noWrap/>
            <w:vAlign w:val="bottom"/>
            <w:hideMark/>
          </w:tcPr>
          <w:p w14:paraId="7341216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C085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814C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D1A161"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901F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FD9FA8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B9D170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Julie </w:t>
            </w:r>
            <w:proofErr w:type="spellStart"/>
            <w:r w:rsidRPr="000A1B9C">
              <w:rPr>
                <w:rFonts w:ascii="Calibri" w:hAnsi="Calibri" w:cs="Calibri"/>
                <w:color w:val="000000"/>
                <w:sz w:val="22"/>
                <w:szCs w:val="22"/>
                <w:lang w:eastAsia="en-US"/>
              </w:rPr>
              <w:t>Bisland</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48941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A3DE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89109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4EB2E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32CC7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F8AC9C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6D8B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Julie Hedlund</w:t>
            </w:r>
          </w:p>
        </w:tc>
        <w:tc>
          <w:tcPr>
            <w:tcW w:w="1060" w:type="dxa"/>
            <w:tcBorders>
              <w:top w:val="nil"/>
              <w:left w:val="nil"/>
              <w:bottom w:val="single" w:sz="4" w:space="0" w:color="auto"/>
              <w:right w:val="single" w:sz="4" w:space="0" w:color="auto"/>
            </w:tcBorders>
            <w:shd w:val="clear" w:color="auto" w:fill="auto"/>
            <w:noWrap/>
            <w:vAlign w:val="bottom"/>
            <w:hideMark/>
          </w:tcPr>
          <w:p w14:paraId="3D7F22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63E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A974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E2244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5668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34FA26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6C438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Michelle </w:t>
            </w:r>
            <w:proofErr w:type="spellStart"/>
            <w:r w:rsidRPr="000A1B9C">
              <w:rPr>
                <w:rFonts w:ascii="Calibri" w:hAnsi="Calibri" w:cs="Calibri"/>
                <w:color w:val="000000"/>
                <w:sz w:val="22"/>
                <w:szCs w:val="22"/>
                <w:lang w:eastAsia="en-US"/>
              </w:rPr>
              <w:t>DeSmyter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667FA5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FAF8E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C6D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078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CA98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99F37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1151704"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Nathalie Peregrine</w:t>
            </w:r>
          </w:p>
        </w:tc>
        <w:tc>
          <w:tcPr>
            <w:tcW w:w="1060" w:type="dxa"/>
            <w:tcBorders>
              <w:top w:val="nil"/>
              <w:left w:val="nil"/>
              <w:bottom w:val="single" w:sz="4" w:space="0" w:color="auto"/>
              <w:right w:val="single" w:sz="4" w:space="0" w:color="auto"/>
            </w:tcBorders>
            <w:shd w:val="clear" w:color="auto" w:fill="auto"/>
            <w:noWrap/>
            <w:vAlign w:val="bottom"/>
            <w:hideMark/>
          </w:tcPr>
          <w:p w14:paraId="4120BBA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B3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CE5E4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03D50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0F9A4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552C81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C0E7363"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Terri Agnew</w:t>
            </w:r>
          </w:p>
        </w:tc>
        <w:tc>
          <w:tcPr>
            <w:tcW w:w="1060" w:type="dxa"/>
            <w:tcBorders>
              <w:top w:val="nil"/>
              <w:left w:val="nil"/>
              <w:bottom w:val="single" w:sz="4" w:space="0" w:color="auto"/>
              <w:right w:val="single" w:sz="4" w:space="0" w:color="auto"/>
            </w:tcBorders>
            <w:shd w:val="clear" w:color="auto" w:fill="auto"/>
            <w:noWrap/>
            <w:vAlign w:val="bottom"/>
            <w:hideMark/>
          </w:tcPr>
          <w:p w14:paraId="116D7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3FA55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48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15BC0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DAEA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bl>
    <w:p w14:paraId="485C4D0B" w14:textId="2FEE6DB8" w:rsidR="008C5C31" w:rsidRPr="003819D1" w:rsidRDefault="00135EB4" w:rsidP="00D4457E">
      <w:pPr>
        <w:pStyle w:val="Heading1"/>
        <w:numPr>
          <w:ilvl w:val="0"/>
          <w:numId w:val="0"/>
        </w:numPr>
        <w:rPr>
          <w:rFonts w:asciiTheme="majorHAnsi" w:hAnsiTheme="majorHAnsi"/>
        </w:rPr>
      </w:pPr>
      <w:bookmarkStart w:id="28" w:name="_Toc105508331"/>
      <w:r>
        <w:rPr>
          <w:rFonts w:asciiTheme="majorHAnsi" w:hAnsiTheme="majorHAnsi"/>
        </w:rPr>
        <w:lastRenderedPageBreak/>
        <w:t xml:space="preserve">Annex C - </w:t>
      </w:r>
      <w:r w:rsidR="008C5C31">
        <w:rPr>
          <w:rFonts w:asciiTheme="majorHAnsi" w:hAnsiTheme="majorHAnsi"/>
        </w:rPr>
        <w:t>Community Input</w:t>
      </w:r>
      <w:bookmarkEnd w:id="28"/>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w:t>
      </w:r>
      <w:proofErr w:type="gramStart"/>
      <w:r w:rsidRPr="00660D45">
        <w:rPr>
          <w:rFonts w:asciiTheme="majorHAnsi" w:hAnsiTheme="majorHAnsi"/>
        </w:rPr>
        <w:t>experience</w:t>
      </w:r>
      <w:proofErr w:type="gramEnd"/>
      <w:r w:rsidRPr="00660D45">
        <w:rPr>
          <w:rFonts w:asciiTheme="majorHAnsi" w:hAnsiTheme="majorHAnsi"/>
        </w:rPr>
        <w:t xml:space="preserv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w:t>
      </w:r>
      <w:proofErr w:type="spellStart"/>
      <w:r w:rsidRPr="00FF0A78">
        <w:rPr>
          <w:rFonts w:asciiTheme="majorHAnsi" w:hAnsiTheme="majorHAnsi" w:cstheme="majorHAnsi"/>
        </w:rPr>
        <w:t>RySG</w:t>
      </w:r>
      <w:proofErr w:type="spellEnd"/>
      <w:r w:rsidRPr="00FF0A78">
        <w:rPr>
          <w:rFonts w:asciiTheme="majorHAnsi" w:hAnsiTheme="majorHAnsi" w:cstheme="majorHAnsi"/>
        </w:rPr>
        <w:t>)</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hyperlink r:id="rId73" w:history="1">
        <w:r w:rsidR="00F243D3" w:rsidRPr="00A42408">
          <w:rPr>
            <w:rStyle w:val="Hyperlink"/>
            <w:rFonts w:ascii="Calibri" w:eastAsiaTheme="majorEastAsia" w:hAnsi="Calibri" w:cs="Calibri"/>
          </w:rPr>
          <w:t>https://community.icann.org/x/tIT8CQ</w:t>
        </w:r>
      </w:hyperlink>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5A95A250" w:rsidR="002C4A83" w:rsidRPr="005A3C63" w:rsidRDefault="003E15BC" w:rsidP="000B7FAB">
      <w:pPr>
        <w:rPr>
          <w:rFonts w:asciiTheme="majorHAnsi" w:hAnsiTheme="majorHAnsi"/>
        </w:rPr>
        <w:sectPr w:rsidR="002C4A83" w:rsidRPr="005A3C63" w:rsidSect="001B0C6B">
          <w:type w:val="continuous"/>
          <w:pgSz w:w="12240" w:h="15840"/>
          <w:pgMar w:top="1440" w:right="1800" w:bottom="1440" w:left="1800" w:header="720" w:footer="720" w:gutter="0"/>
          <w:cols w:space="720"/>
          <w:docGrid w:linePitch="360"/>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w:t>
      </w:r>
      <w:proofErr w:type="gramStart"/>
      <w:r w:rsidR="005A3C63">
        <w:rPr>
          <w:rFonts w:asciiTheme="majorHAnsi" w:hAnsiTheme="majorHAnsi"/>
        </w:rPr>
        <w:t>documents  and</w:t>
      </w:r>
      <w:proofErr w:type="gramEnd"/>
      <w:r w:rsidR="005A3C63">
        <w:rPr>
          <w:rFonts w:asciiTheme="majorHAnsi" w:hAnsiTheme="majorHAnsi"/>
        </w:rPr>
        <w:t xml:space="preserve"> considered by the working group in the context of deliberations on each topi</w:t>
      </w:r>
      <w:r w:rsidR="00A42408">
        <w:rPr>
          <w:rFonts w:asciiTheme="majorHAnsi" w:hAnsiTheme="majorHAnsi"/>
        </w:rPr>
        <w:t>c</w:t>
      </w:r>
      <w:r w:rsidR="00D4457E">
        <w:rPr>
          <w:rFonts w:asciiTheme="majorHAnsi" w:hAnsiTheme="majorHAnsi"/>
        </w:rPr>
        <w:t>.</w:t>
      </w:r>
    </w:p>
    <w:p w14:paraId="1BD4E83A" w14:textId="3A58EDAB" w:rsidR="00135EB4" w:rsidRPr="003819D1" w:rsidRDefault="00135EB4" w:rsidP="00932855">
      <w:pPr>
        <w:pStyle w:val="Heading1"/>
        <w:numPr>
          <w:ilvl w:val="0"/>
          <w:numId w:val="0"/>
        </w:numPr>
        <w:rPr>
          <w:rFonts w:asciiTheme="majorHAnsi" w:hAnsiTheme="majorHAnsi"/>
        </w:rPr>
      </w:pPr>
      <w:bookmarkStart w:id="29" w:name="_Toc105508332"/>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29"/>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hyperlink r:id="rId74" w:history="1">
        <w:r w:rsidRPr="000F4B93">
          <w:rPr>
            <w:rStyle w:val="Hyperlink"/>
            <w:rFonts w:asciiTheme="majorHAnsi" w:hAnsiTheme="majorHAnsi"/>
          </w:rPr>
          <w:t>Final Issue Report</w:t>
        </w:r>
      </w:hyperlink>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w:t>
            </w:r>
            <w:proofErr w:type="gramStart"/>
            <w:r w:rsidRPr="00B95D63">
              <w:rPr>
                <w:rFonts w:asciiTheme="majorHAnsi" w:eastAsia="ArialMT" w:hAnsiTheme="majorHAnsi" w:cstheme="majorHAnsi"/>
                <w:color w:val="000000"/>
                <w:sz w:val="22"/>
                <w:szCs w:val="22"/>
              </w:rPr>
              <w:t>emphasis</w:t>
            </w:r>
            <w:proofErr w:type="gramEnd"/>
            <w:r w:rsidRPr="00B95D63">
              <w:rPr>
                <w:rFonts w:asciiTheme="majorHAnsi" w:eastAsia="ArialMT" w:hAnsiTheme="majorHAnsi" w:cstheme="majorHAnsi"/>
                <w:color w:val="000000"/>
                <w:sz w:val="22"/>
                <w:szCs w:val="22"/>
              </w:rPr>
              <w:t xml:space="preserve">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55B43685" w:rsidR="00932855" w:rsidRPr="00B95D63" w:rsidRDefault="00932855" w:rsidP="00880E15">
            <w:pPr>
              <w:spacing w:before="280"/>
              <w:rPr>
                <w:rFonts w:asciiTheme="majorHAnsi" w:eastAsia="Arial" w:hAnsiTheme="majorHAnsi" w:cstheme="majorHAnsi"/>
                <w:sz w:val="22"/>
                <w:szCs w:val="22"/>
              </w:rPr>
            </w:pPr>
            <w:proofErr w:type="gramStart"/>
            <w:r w:rsidRPr="00B95D63">
              <w:rPr>
                <w:rFonts w:asciiTheme="majorHAnsi" w:eastAsia="Arial" w:hAnsiTheme="majorHAnsi" w:cstheme="majorHAnsi"/>
                <w:sz w:val="22"/>
                <w:szCs w:val="22"/>
              </w:rPr>
              <w:t>In light of</w:t>
            </w:r>
            <w:proofErr w:type="gramEnd"/>
            <w:r w:rsidRPr="00B95D63">
              <w:rPr>
                <w:rFonts w:asciiTheme="majorHAnsi" w:eastAsia="Arial" w:hAnsiTheme="majorHAnsi" w:cstheme="majorHAnsi"/>
                <w:sz w:val="22"/>
                <w:szCs w:val="22"/>
              </w:rPr>
              <w:t xml:space="preserve">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ecommendation</w:t>
            </w:r>
            <w:r w:rsidR="00542E3C">
              <w:rPr>
                <w:rFonts w:asciiTheme="majorHAnsi" w:eastAsia="Arial" w:hAnsiTheme="majorHAnsi" w:cstheme="majorHAnsi"/>
                <w:sz w:val="22"/>
                <w:szCs w:val="22"/>
              </w:rPr>
              <w:t xml:space="preserve"> 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w:t>
            </w:r>
            <w:r w:rsidR="00542E3C">
              <w:rPr>
                <w:rFonts w:asciiTheme="majorHAnsi" w:eastAsia="Arial" w:hAnsiTheme="majorHAnsi" w:cstheme="majorHAnsi"/>
                <w:sz w:val="22"/>
                <w:szCs w:val="22"/>
              </w:rPr>
              <w:t xml:space="preserve"> 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46217BF1"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42E3C">
              <w:rPr>
                <w:rFonts w:asciiTheme="majorHAnsi" w:eastAsia="ArialMT" w:hAnsiTheme="majorHAnsi" w:cstheme="majorHAnsi"/>
                <w:sz w:val="22"/>
                <w:szCs w:val="22"/>
              </w:rPr>
              <w:t xml:space="preserve"> 15.</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 xml:space="preserve">Transfer Policy section I.A.4.6.5 provides that both registrars will retain correspondence in written or electronic form of any Transfer Emergency Action Contact (TEAC) communication and </w:t>
            </w:r>
            <w:proofErr w:type="gramStart"/>
            <w:r w:rsidRPr="00B95D63">
              <w:rPr>
                <w:rFonts w:asciiTheme="majorHAnsi" w:eastAsia="ArialMT" w:hAnsiTheme="majorHAnsi" w:cstheme="majorHAnsi"/>
                <w:i/>
                <w:color w:val="000000"/>
                <w:sz w:val="22"/>
                <w:szCs w:val="22"/>
              </w:rPr>
              <w:t>responses, and</w:t>
            </w:r>
            <w:proofErr w:type="gramEnd"/>
            <w:r w:rsidRPr="00B95D63">
              <w:rPr>
                <w:rFonts w:asciiTheme="majorHAnsi" w:eastAsia="ArialMT" w:hAnsiTheme="majorHAnsi" w:cstheme="majorHAnsi"/>
                <w:i/>
                <w:color w:val="000000"/>
                <w:sz w:val="22"/>
                <w:szCs w:val="22"/>
              </w:rPr>
              <w:t xml:space="preserve">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Transfer Policy section I.A.5.6 provides that the "</w:t>
            </w:r>
            <w:proofErr w:type="spellStart"/>
            <w:r w:rsidRPr="00B95D63">
              <w:rPr>
                <w:rFonts w:asciiTheme="majorHAnsi" w:eastAsia="ArialMT" w:hAnsiTheme="majorHAnsi" w:cstheme="majorHAnsi"/>
                <w:color w:val="000000"/>
                <w:sz w:val="22"/>
                <w:szCs w:val="22"/>
              </w:rPr>
              <w:t>AuthInfo</w:t>
            </w:r>
            <w:proofErr w:type="spellEnd"/>
            <w:r w:rsidRPr="00B95D63">
              <w:rPr>
                <w:rFonts w:asciiTheme="majorHAnsi" w:eastAsia="ArialMT" w:hAnsiTheme="majorHAnsi" w:cstheme="majorHAnsi"/>
                <w:color w:val="000000"/>
                <w:sz w:val="22"/>
                <w:szCs w:val="22"/>
              </w:rPr>
              <w:t xml:space="preserve">"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4709C7CD"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r w:rsidR="00542E3C">
              <w:rPr>
                <w:rFonts w:asciiTheme="majorHAnsi" w:eastAsia="ArialMT" w:hAnsiTheme="majorHAnsi" w:cstheme="majorHAnsi"/>
                <w:color w:val="000000"/>
                <w:sz w:val="22"/>
                <w:szCs w:val="22"/>
              </w:rPr>
              <w:t>the working group’s response to charter question a1</w:t>
            </w:r>
            <w:r w:rsidRPr="00B95D63">
              <w:rPr>
                <w:rFonts w:asciiTheme="majorHAnsi" w:eastAsia="ArialMT" w:hAnsiTheme="majorHAnsi" w:cstheme="majorHAnsi"/>
                <w:color w:val="000000"/>
                <w:sz w:val="22"/>
                <w:szCs w:val="22"/>
              </w:rPr>
              <w: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35ECA152"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w:t>
            </w:r>
            <w:proofErr w:type="gramStart"/>
            <w:r w:rsidRPr="00B95D63">
              <w:rPr>
                <w:rFonts w:asciiTheme="majorHAnsi" w:eastAsia="ArialMT" w:hAnsiTheme="majorHAnsi" w:cstheme="majorHAnsi"/>
                <w:color w:val="000000"/>
                <w:sz w:val="22"/>
                <w:szCs w:val="22"/>
              </w:rPr>
              <w:t>recommending  to</w:t>
            </w:r>
            <w:proofErr w:type="gramEnd"/>
            <w:r w:rsidRPr="00B95D63">
              <w:rPr>
                <w:rFonts w:asciiTheme="majorHAnsi" w:eastAsia="ArialMT" w:hAnsiTheme="majorHAnsi" w:cstheme="majorHAnsi"/>
                <w:color w:val="000000"/>
                <w:sz w:val="22"/>
                <w:szCs w:val="22"/>
              </w:rPr>
              <w:t xml:space="preserve"> replace the requirement for the Losing FOA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2</w:t>
            </w:r>
            <w:r w:rsidRPr="00B95D63">
              <w:rPr>
                <w:rFonts w:asciiTheme="majorHAnsi" w:eastAsia="ArialMT" w:hAnsiTheme="majorHAnsi" w:cstheme="majorHAnsi"/>
                <w:color w:val="000000"/>
                <w:sz w:val="22"/>
                <w:szCs w:val="22"/>
              </w:rPr>
              <w:t xml:space="preserve">). Instead, the working group is recommending </w:t>
            </w:r>
            <w:proofErr w:type="gramStart"/>
            <w:r w:rsidRPr="00B95D63">
              <w:rPr>
                <w:rFonts w:asciiTheme="majorHAnsi" w:eastAsia="ArialMT" w:hAnsiTheme="majorHAnsi" w:cstheme="majorHAnsi"/>
                <w:color w:val="000000"/>
                <w:sz w:val="22"/>
                <w:szCs w:val="22"/>
              </w:rPr>
              <w:t>to introduce</w:t>
            </w:r>
            <w:proofErr w:type="gramEnd"/>
            <w:r w:rsidRPr="00B95D63">
              <w:rPr>
                <w:rFonts w:asciiTheme="majorHAnsi" w:eastAsia="ArialMT" w:hAnsiTheme="majorHAnsi" w:cstheme="majorHAnsi"/>
                <w:color w:val="000000"/>
                <w:sz w:val="22"/>
                <w:szCs w:val="22"/>
              </w:rPr>
              <w:t xml:space="preserve"> two new required notifications to be sent from the Losing Registrar to the Registered Name Holder, namely (</w:t>
            </w:r>
            <w:proofErr w:type="spellStart"/>
            <w:r w:rsidRPr="00B95D63">
              <w:rPr>
                <w:rFonts w:asciiTheme="majorHAnsi" w:eastAsia="ArialMT" w:hAnsiTheme="majorHAnsi" w:cstheme="majorHAnsi"/>
                <w:color w:val="000000"/>
                <w:sz w:val="22"/>
                <w:szCs w:val="22"/>
              </w:rPr>
              <w:t>i</w:t>
            </w:r>
            <w:proofErr w:type="spellEnd"/>
            <w:r w:rsidRPr="00B95D63">
              <w:rPr>
                <w:rFonts w:asciiTheme="majorHAnsi" w:eastAsia="ArialMT" w:hAnsiTheme="majorHAnsi" w:cstheme="majorHAnsi"/>
                <w:color w:val="000000"/>
                <w:sz w:val="22"/>
                <w:szCs w:val="22"/>
              </w:rPr>
              <w:t xml:space="preserve">) a notification of </w:t>
            </w:r>
            <w:r w:rsidRPr="00B95D63">
              <w:rPr>
                <w:rFonts w:asciiTheme="majorHAnsi" w:eastAsia="ArialMT" w:hAnsiTheme="majorHAnsi" w:cstheme="majorHAnsi"/>
                <w:color w:val="000000"/>
                <w:sz w:val="22"/>
                <w:szCs w:val="22"/>
              </w:rPr>
              <w:lastRenderedPageBreak/>
              <w:t xml:space="preserve">provision of the Transfer Authorization Code (TAC), formerly referred to as the Auth-Info Code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3</w:t>
            </w:r>
            <w:r w:rsidRPr="00B95D63">
              <w:rPr>
                <w:rFonts w:asciiTheme="majorHAnsi" w:eastAsia="ArialMT" w:hAnsiTheme="majorHAnsi" w:cstheme="majorHAnsi"/>
                <w:color w:val="000000"/>
                <w:sz w:val="22"/>
                <w:szCs w:val="22"/>
              </w:rPr>
              <w:t>), and (ii) and a notification of inter-</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egistrar transfer request completion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4</w:t>
            </w:r>
            <w:r w:rsidRPr="00B95D63">
              <w:rPr>
                <w:rFonts w:asciiTheme="majorHAnsi" w:eastAsia="ArialMT" w:hAnsiTheme="majorHAnsi" w:cstheme="majorHAnsi"/>
                <w:color w:val="000000"/>
                <w:sz w:val="22"/>
                <w:szCs w:val="22"/>
              </w:rPr>
              <w:t>).</w:t>
            </w:r>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lastRenderedPageBreak/>
              <w:t>Transfer Policy section II.B.1, Availability of Change of Registrant, provides that “Registrants must be permitted to update their registration/</w:t>
            </w:r>
            <w:proofErr w:type="spellStart"/>
            <w:r w:rsidRPr="00B95D63">
              <w:rPr>
                <w:rFonts w:asciiTheme="majorHAnsi" w:eastAsia="ArialMT" w:hAnsiTheme="majorHAnsi" w:cstheme="majorHAnsi"/>
                <w:i/>
                <w:color w:val="000000"/>
                <w:sz w:val="22"/>
                <w:szCs w:val="22"/>
              </w:rPr>
              <w:t>Whois</w:t>
            </w:r>
            <w:proofErr w:type="spellEnd"/>
            <w:r w:rsidRPr="00B95D63">
              <w:rPr>
                <w:rFonts w:asciiTheme="majorHAnsi" w:eastAsia="ArialMT" w:hAnsiTheme="majorHAnsi" w:cstheme="majorHAnsi"/>
                <w:i/>
                <w:color w:val="000000"/>
                <w:sz w:val="22"/>
                <w:szCs w:val="22"/>
              </w:rPr>
              <w:t xml:space="preserve">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discussion to Phase 1(b) of the PDP.</w:t>
            </w:r>
            <w:r w:rsidRPr="00B95D63">
              <w:rPr>
                <w:rFonts w:asciiTheme="majorHAnsi" w:hAnsiTheme="majorHAnsi" w:cstheme="majorHAnsi"/>
                <w:i/>
                <w:sz w:val="22"/>
                <w:szCs w:val="22"/>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in sections I.A.1.1, I.A.2.1.2, I.A.2.2.1, I.A.3.6, I.A.3.7.5, I.B.1, and the Notes section titled “Secure Mechanism.” If updates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replacing these references with RDDS. (The Temporary Specification, Appendix G, Section 2.2.4, on Supplemental Procedures to the Transfer Policy, provides that the term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w:t>
            </w:r>
            <w:r w:rsidRPr="00B95D63">
              <w:rPr>
                <w:rFonts w:asciiTheme="majorHAnsi" w:eastAsia="ArialMT" w:hAnsiTheme="majorHAnsi" w:cstheme="majorHAnsi"/>
                <w:color w:val="000000"/>
                <w:sz w:val="22"/>
                <w:szCs w:val="22"/>
              </w:rPr>
              <w:lastRenderedPageBreak/>
              <w:t xml:space="preserve">confirm that the Prior Registrant and/or their respective Designated Agents have explicitly consented to the Change of Registrant. The footnote to this section notes that “The registrar may use additional contact information on file when obtaining confirmation from the Prior Registrant and is not limited to the publicly accessible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If changes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updating this footnote to eliminate the reference to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w:t>
            </w:r>
          </w:p>
        </w:tc>
        <w:tc>
          <w:tcPr>
            <w:tcW w:w="6520" w:type="dxa"/>
          </w:tcPr>
          <w:p w14:paraId="7AF4F7E2" w14:textId="42893A93"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 xml:space="preserve">For terminology consistency, the working group is recommending replacing current references to </w:t>
            </w:r>
            <w:proofErr w:type="spellStart"/>
            <w:r w:rsidRPr="00B95D63">
              <w:rPr>
                <w:rFonts w:asciiTheme="majorHAnsi" w:eastAsia="ArialMT" w:hAnsiTheme="majorHAnsi" w:cstheme="majorHAnsi"/>
                <w:sz w:val="22"/>
                <w:szCs w:val="22"/>
              </w:rPr>
              <w:t>Whois</w:t>
            </w:r>
            <w:proofErr w:type="spellEnd"/>
            <w:r w:rsidRPr="00B95D63">
              <w:rPr>
                <w:rFonts w:asciiTheme="majorHAnsi" w:eastAsia="ArialMT" w:hAnsiTheme="majorHAnsi" w:cstheme="majorHAnsi"/>
                <w:sz w:val="22"/>
                <w:szCs w:val="22"/>
              </w:rPr>
              <w:t xml:space="preserve"> to RDDS throughout the Transfer Policy for any references to </w:t>
            </w:r>
            <w:proofErr w:type="spellStart"/>
            <w:r w:rsidRPr="00B95D63">
              <w:rPr>
                <w:rFonts w:asciiTheme="majorHAnsi" w:eastAsia="ArialMT" w:hAnsiTheme="majorHAnsi" w:cstheme="majorHAnsi"/>
                <w:sz w:val="22"/>
                <w:szCs w:val="22"/>
              </w:rPr>
              <w:t>Whois</w:t>
            </w:r>
            <w:proofErr w:type="spellEnd"/>
            <w:r w:rsidRPr="00B95D63">
              <w:rPr>
                <w:rFonts w:asciiTheme="majorHAnsi" w:eastAsia="ArialMT" w:hAnsiTheme="majorHAnsi" w:cstheme="majorHAnsi"/>
                <w:sz w:val="22"/>
                <w:szCs w:val="22"/>
              </w:rPr>
              <w:t xml:space="preserve">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Recommendation</w:t>
            </w:r>
            <w:r w:rsidR="009422E5">
              <w:rPr>
                <w:rFonts w:asciiTheme="majorHAnsi" w:eastAsia="ArialMT" w:hAnsiTheme="majorHAnsi" w:cstheme="majorHAnsi"/>
                <w:sz w:val="22"/>
                <w:szCs w:val="22"/>
              </w:rPr>
              <w:t xml:space="preserve"> 14.)</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B95D63">
              <w:rPr>
                <w:rFonts w:asciiTheme="majorHAnsi" w:eastAsia="ArialMT" w:hAnsiTheme="majorHAnsi" w:cstheme="majorHAnsi"/>
                <w:sz w:val="22"/>
                <w:szCs w:val="22"/>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(b1)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(b2)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(b3) The term "Publicly accessible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(b4)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(c) Registrar and Registry Operator SHALL follow best practices in generating and updating the "</w:t>
            </w:r>
            <w:proofErr w:type="spellStart"/>
            <w:r w:rsidRPr="00B95D63">
              <w:rPr>
                <w:rFonts w:asciiTheme="majorHAnsi" w:eastAsia="Arial" w:hAnsiTheme="majorHAnsi" w:cstheme="majorHAnsi"/>
                <w:sz w:val="22"/>
                <w:szCs w:val="22"/>
              </w:rPr>
              <w:t>AuthInfo</w:t>
            </w:r>
            <w:proofErr w:type="spellEnd"/>
            <w:r w:rsidRPr="00B95D63">
              <w:rPr>
                <w:rFonts w:asciiTheme="majorHAnsi" w:eastAsia="Arial" w:hAnsiTheme="majorHAnsi" w:cstheme="majorHAnsi"/>
                <w:sz w:val="22"/>
                <w:szCs w:val="22"/>
              </w:rPr>
              <w:t xml:space="preserve">"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(d) Registry Operator MUST verify that the "</w:t>
            </w:r>
            <w:proofErr w:type="spellStart"/>
            <w:r w:rsidRPr="00B95D63">
              <w:rPr>
                <w:rFonts w:asciiTheme="majorHAnsi" w:eastAsia="Arial" w:hAnsiTheme="majorHAnsi" w:cstheme="majorHAnsi"/>
                <w:sz w:val="22"/>
                <w:szCs w:val="22"/>
              </w:rPr>
              <w:t>AuthInfo</w:t>
            </w:r>
            <w:proofErr w:type="spellEnd"/>
            <w:r w:rsidRPr="00B95D63">
              <w:rPr>
                <w:rFonts w:asciiTheme="majorHAnsi" w:eastAsia="Arial" w:hAnsiTheme="majorHAnsi" w:cstheme="majorHAnsi"/>
                <w:sz w:val="22"/>
                <w:szCs w:val="22"/>
              </w:rPr>
              <w:t xml:space="preserve">" code provided by the Gaining Registrar is valid </w:t>
            </w:r>
            <w:proofErr w:type="gramStart"/>
            <w:r w:rsidRPr="00B95D63">
              <w:rPr>
                <w:rFonts w:asciiTheme="majorHAnsi" w:eastAsia="Arial" w:hAnsiTheme="majorHAnsi" w:cstheme="majorHAnsi"/>
                <w:sz w:val="22"/>
                <w:szCs w:val="22"/>
              </w:rPr>
              <w:t>in order to</w:t>
            </w:r>
            <w:proofErr w:type="gramEnd"/>
            <w:r w:rsidRPr="00B95D63">
              <w:rPr>
                <w:rFonts w:asciiTheme="majorHAnsi" w:eastAsia="Arial" w:hAnsiTheme="majorHAnsi" w:cstheme="majorHAnsi"/>
                <w:sz w:val="22"/>
                <w:szCs w:val="22"/>
              </w:rPr>
              <w:t xml:space="preserve">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690F95C6"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9422E5">
              <w:rPr>
                <w:rFonts w:asciiTheme="majorHAnsi" w:eastAsia="ArialMT" w:hAnsiTheme="majorHAnsi" w:cstheme="majorHAnsi"/>
                <w:sz w:val="22"/>
                <w:szCs w:val="22"/>
              </w:rPr>
              <w:t>1).</w:t>
            </w:r>
            <w:r w:rsidRPr="00B95D63">
              <w:rPr>
                <w:rFonts w:asciiTheme="majorHAnsi" w:eastAsia="ArialMT" w:hAnsiTheme="majorHAnsi" w:cstheme="majorHAnsi"/>
                <w:sz w:val="22"/>
                <w:szCs w:val="22"/>
              </w:rPr>
              <w:t xml:space="preserve"> </w:t>
            </w:r>
          </w:p>
          <w:p w14:paraId="101210FF" w14:textId="35E38514"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9422E5">
              <w:rPr>
                <w:rFonts w:asciiTheme="majorHAnsi" w:eastAsia="ArialMT" w:hAnsiTheme="majorHAnsi" w:cstheme="majorHAnsi"/>
                <w:sz w:val="22"/>
                <w:szCs w:val="22"/>
              </w:rPr>
              <w:t xml:space="preserve"> 14, </w:t>
            </w:r>
            <w:r w:rsidRPr="00B95D63">
              <w:rPr>
                <w:rFonts w:asciiTheme="majorHAnsi" w:eastAsia="ArialMT" w:hAnsiTheme="majorHAnsi" w:cstheme="majorHAnsi"/>
                <w:sz w:val="22"/>
                <w:szCs w:val="22"/>
              </w:rPr>
              <w:t>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(b1)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(b2)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(b3) The term "Publicly accessible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(b4)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SHALL have the same meaning as "RDDS". </w:t>
            </w:r>
          </w:p>
          <w:p w14:paraId="71F02BF1" w14:textId="106146D9"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recommendations regarding generating and updating the TAC (formerly referred to as Auth-Info Code) that can be found in</w:t>
            </w:r>
            <w:r w:rsidR="009422E5">
              <w:rPr>
                <w:rFonts w:asciiTheme="majorHAnsi" w:eastAsia="Arial" w:hAnsiTheme="majorHAnsi" w:cstheme="majorHAnsi"/>
                <w:sz w:val="22"/>
                <w:szCs w:val="22"/>
              </w:rPr>
              <w:t xml:space="preserve"> Section 3.2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proofErr w:type="spellStart"/>
            <w:r w:rsidRPr="00B95D63">
              <w:rPr>
                <w:rFonts w:asciiTheme="majorHAnsi" w:eastAsia="ArialMT" w:hAnsiTheme="majorHAnsi" w:cstheme="majorHAnsi"/>
                <w:i/>
                <w:sz w:val="22"/>
                <w:szCs w:val="22"/>
              </w:rPr>
              <w:lastRenderedPageBreak/>
              <w:t>Whois</w:t>
            </w:r>
            <w:proofErr w:type="spellEnd"/>
            <w:r w:rsidRPr="00B95D63">
              <w:rPr>
                <w:rFonts w:asciiTheme="majorHAnsi" w:eastAsia="ArialMT" w:hAnsiTheme="majorHAnsi" w:cstheme="majorHAnsi"/>
                <w:i/>
                <w:sz w:val="22"/>
                <w:szCs w:val="22"/>
              </w:rPr>
              <w:t xml:space="preserve"> details are changed following expiration of the domain name pursuant to the terms of the registration agreement, the protections of the </w:t>
            </w:r>
            <w:hyperlink r:id="rId75" w:history="1">
              <w:r w:rsidRPr="002F0F90">
                <w:rPr>
                  <w:rStyle w:val="Hyperlink"/>
                  <w:rFonts w:asciiTheme="majorHAnsi" w:eastAsia="ArialMT" w:hAnsiTheme="majorHAnsi" w:cstheme="majorHAnsi"/>
                  <w:i/>
                  <w:sz w:val="22"/>
                  <w:szCs w:val="22"/>
                </w:rPr>
                <w:t>Expired Registration Recovery Policy</w:t>
              </w:r>
            </w:hyperlink>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19F0BA21" w:rsidR="000A1B9C" w:rsidRDefault="000A1B9C">
      <w:pPr>
        <w:rPr>
          <w:rFonts w:asciiTheme="majorHAnsi" w:hAnsiTheme="majorHAnsi" w:cstheme="majorHAnsi"/>
          <w:sz w:val="22"/>
          <w:szCs w:val="22"/>
        </w:rPr>
      </w:pPr>
      <w:r>
        <w:rPr>
          <w:rFonts w:asciiTheme="majorHAnsi" w:hAnsiTheme="majorHAnsi" w:cstheme="majorHAnsi"/>
          <w:sz w:val="22"/>
          <w:szCs w:val="22"/>
        </w:rPr>
        <w:br w:type="page"/>
      </w:r>
    </w:p>
    <w:p w14:paraId="75D74F2E" w14:textId="75BF99FC" w:rsidR="000A1B9C" w:rsidRPr="003819D1" w:rsidRDefault="000A1B9C" w:rsidP="000A1B9C">
      <w:pPr>
        <w:pStyle w:val="Heading1"/>
        <w:numPr>
          <w:ilvl w:val="0"/>
          <w:numId w:val="0"/>
        </w:numPr>
        <w:rPr>
          <w:rFonts w:asciiTheme="majorHAnsi" w:hAnsiTheme="majorHAnsi"/>
        </w:rPr>
      </w:pPr>
      <w:bookmarkStart w:id="30" w:name="_Toc105508333"/>
      <w:r>
        <w:rPr>
          <w:rFonts w:asciiTheme="majorHAnsi" w:hAnsiTheme="majorHAnsi"/>
        </w:rPr>
        <w:lastRenderedPageBreak/>
        <w:t>Annex E – Proposed Transfer Policy Swim Lane Diagram</w:t>
      </w:r>
      <w:bookmarkEnd w:id="30"/>
    </w:p>
    <w:p w14:paraId="60058F25" w14:textId="77777777" w:rsidR="000A1B9C" w:rsidRDefault="000A1B9C" w:rsidP="000A1B9C">
      <w:pPr>
        <w:rPr>
          <w:rFonts w:ascii="ArialMT" w:eastAsia="ArialMT" w:hAnsi="ArialMT" w:cs="ArialMT"/>
          <w:sz w:val="22"/>
          <w:szCs w:val="22"/>
        </w:rPr>
      </w:pPr>
      <w:r>
        <w:rPr>
          <w:rFonts w:ascii="ArialMT" w:eastAsia="ArialMT" w:hAnsi="ArialMT" w:cs="ArialMT"/>
          <w:sz w:val="22"/>
          <w:szCs w:val="22"/>
        </w:rPr>
        <w:t xml:space="preserve"> </w:t>
      </w:r>
    </w:p>
    <w:p w14:paraId="75387C02" w14:textId="6936D779" w:rsidR="000A1B9C" w:rsidRDefault="000A1B9C" w:rsidP="000A1B9C">
      <w:pPr>
        <w:rPr>
          <w:rFonts w:asciiTheme="majorHAnsi" w:hAnsiTheme="majorHAnsi"/>
        </w:rPr>
      </w:pPr>
      <w:r>
        <w:rPr>
          <w:rFonts w:asciiTheme="majorHAnsi" w:hAnsiTheme="majorHAnsi"/>
        </w:rPr>
        <w:t>This</w:t>
      </w:r>
      <w:r w:rsidR="000919C4">
        <w:rPr>
          <w:rFonts w:asciiTheme="majorHAnsi" w:hAnsiTheme="majorHAnsi"/>
        </w:rPr>
        <w:t xml:space="preserve"> swim lane diagram should be reviewed alongside a detailed review of each the proposed recommendations listed in this report. It attempts to outline the beginning</w:t>
      </w:r>
      <w:r w:rsidR="0014573D">
        <w:rPr>
          <w:rFonts w:asciiTheme="majorHAnsi" w:hAnsiTheme="majorHAnsi"/>
        </w:rPr>
        <w:t>-</w:t>
      </w:r>
      <w:r w:rsidR="000919C4">
        <w:rPr>
          <w:rFonts w:asciiTheme="majorHAnsi" w:hAnsiTheme="majorHAnsi"/>
        </w:rPr>
        <w:t>to</w:t>
      </w:r>
      <w:r w:rsidR="0014573D">
        <w:rPr>
          <w:rFonts w:asciiTheme="majorHAnsi" w:hAnsiTheme="majorHAnsi"/>
        </w:rPr>
        <w:t>-</w:t>
      </w:r>
      <w:r w:rsidR="000919C4">
        <w:rPr>
          <w:rFonts w:asciiTheme="majorHAnsi" w:hAnsiTheme="majorHAnsi"/>
        </w:rPr>
        <w:t xml:space="preserve">end process of executing the transfer of </w:t>
      </w:r>
      <w:r w:rsidR="004351E9">
        <w:rPr>
          <w:rFonts w:asciiTheme="majorHAnsi" w:hAnsiTheme="majorHAnsi"/>
        </w:rPr>
        <w:t xml:space="preserve">a </w:t>
      </w:r>
      <w:r w:rsidR="000919C4">
        <w:rPr>
          <w:rFonts w:asciiTheme="majorHAnsi" w:hAnsiTheme="majorHAnsi"/>
        </w:rPr>
        <w:t xml:space="preserve">domain by the roles that are played within the transaction. Each spot that coincides with a working group recommendation will contain a small callout to the </w:t>
      </w:r>
      <w:r w:rsidR="004351E9">
        <w:rPr>
          <w:rFonts w:asciiTheme="majorHAnsi" w:hAnsiTheme="majorHAnsi"/>
        </w:rPr>
        <w:t xml:space="preserve">relevant </w:t>
      </w:r>
      <w:r w:rsidR="000919C4">
        <w:rPr>
          <w:rFonts w:asciiTheme="majorHAnsi" w:hAnsiTheme="majorHAnsi"/>
        </w:rPr>
        <w:t>charter question</w:t>
      </w:r>
      <w:r w:rsidR="004351E9">
        <w:rPr>
          <w:rFonts w:asciiTheme="majorHAnsi" w:hAnsiTheme="majorHAnsi"/>
        </w:rPr>
        <w:t>(</w:t>
      </w:r>
      <w:r w:rsidR="000919C4">
        <w:rPr>
          <w:rFonts w:asciiTheme="majorHAnsi" w:hAnsiTheme="majorHAnsi"/>
        </w:rPr>
        <w:t>s</w:t>
      </w:r>
      <w:r w:rsidR="004351E9">
        <w:rPr>
          <w:rFonts w:asciiTheme="majorHAnsi" w:hAnsiTheme="majorHAnsi"/>
        </w:rPr>
        <w:t>)</w:t>
      </w:r>
      <w:r w:rsidR="000919C4">
        <w:rPr>
          <w:rFonts w:asciiTheme="majorHAnsi" w:hAnsiTheme="majorHAnsi"/>
        </w:rPr>
        <w:t xml:space="preserve"> and recommendation number</w:t>
      </w:r>
      <w:r w:rsidR="004351E9">
        <w:rPr>
          <w:rFonts w:asciiTheme="majorHAnsi" w:hAnsiTheme="majorHAnsi"/>
        </w:rPr>
        <w:t>(s)</w:t>
      </w:r>
      <w:r w:rsidR="000919C4">
        <w:rPr>
          <w:rFonts w:asciiTheme="majorHAnsi" w:hAnsiTheme="majorHAnsi"/>
        </w:rPr>
        <w:t>.</w:t>
      </w:r>
    </w:p>
    <w:p w14:paraId="775999C1" w14:textId="77777777" w:rsidR="000919C4" w:rsidRDefault="000919C4" w:rsidP="000A1B9C">
      <w:pPr>
        <w:rPr>
          <w:rFonts w:asciiTheme="majorHAnsi" w:hAnsiTheme="majorHAnsi"/>
        </w:rPr>
      </w:pPr>
    </w:p>
    <w:p w14:paraId="50516CF6" w14:textId="628AE5F9" w:rsidR="000A1B9C" w:rsidRDefault="000A1B9C" w:rsidP="000A1B9C">
      <w:pPr>
        <w:rPr>
          <w:rFonts w:asciiTheme="majorHAnsi" w:hAnsiTheme="majorHAnsi"/>
        </w:rPr>
      </w:pPr>
      <w:r>
        <w:rPr>
          <w:rFonts w:asciiTheme="majorHAnsi" w:hAnsiTheme="majorHAnsi"/>
        </w:rPr>
        <w:t xml:space="preserve">A full PDF version of this swim lane diagram can be found on the </w:t>
      </w:r>
      <w:r w:rsidR="00D4457E">
        <w:rPr>
          <w:rFonts w:asciiTheme="majorHAnsi" w:hAnsiTheme="majorHAnsi"/>
        </w:rPr>
        <w:t>working group</w:t>
      </w:r>
      <w:r>
        <w:rPr>
          <w:rFonts w:asciiTheme="majorHAnsi" w:hAnsiTheme="majorHAnsi"/>
        </w:rPr>
        <w:t xml:space="preserve">’s </w:t>
      </w:r>
      <w:hyperlink r:id="rId76" w:history="1">
        <w:r w:rsidRPr="000A1B9C">
          <w:rPr>
            <w:rStyle w:val="Hyperlink"/>
            <w:rFonts w:asciiTheme="majorHAnsi" w:hAnsiTheme="majorHAnsi"/>
          </w:rPr>
          <w:t>wiki space</w:t>
        </w:r>
      </w:hyperlink>
      <w:r>
        <w:rPr>
          <w:rFonts w:asciiTheme="majorHAnsi" w:hAnsiTheme="majorHAnsi"/>
        </w:rPr>
        <w:t>.</w:t>
      </w:r>
    </w:p>
    <w:p w14:paraId="71329295" w14:textId="3F7B1AE6" w:rsidR="000A1B9C" w:rsidRDefault="000A1B9C" w:rsidP="000A1B9C">
      <w:pPr>
        <w:rPr>
          <w:rFonts w:asciiTheme="majorHAnsi" w:hAnsiTheme="majorHAnsi"/>
        </w:rPr>
      </w:pPr>
    </w:p>
    <w:p w14:paraId="43214879" w14:textId="1195DFE6" w:rsidR="00932855" w:rsidRPr="00B95D63" w:rsidRDefault="000919C4" w:rsidP="00F243D3">
      <w:pPr>
        <w:rPr>
          <w:rFonts w:asciiTheme="majorHAnsi" w:hAnsiTheme="majorHAnsi" w:cstheme="majorHAnsi"/>
          <w:sz w:val="22"/>
          <w:szCs w:val="22"/>
        </w:rPr>
      </w:pPr>
      <w:r w:rsidRPr="000919C4">
        <w:rPr>
          <w:rFonts w:asciiTheme="majorHAnsi" w:hAnsiTheme="majorHAnsi" w:cstheme="majorHAnsi"/>
          <w:noProof/>
          <w:sz w:val="22"/>
          <w:szCs w:val="22"/>
        </w:rPr>
        <w:drawing>
          <wp:inline distT="0" distB="0" distL="0" distR="0" wp14:anchorId="3DBB221E" wp14:editId="75E14B53">
            <wp:extent cx="6826102" cy="3296122"/>
            <wp:effectExtent l="0" t="0" r="0" b="6350"/>
            <wp:docPr id="14" name="Picture 14" descr="A picture containing text, sky,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ky, map&#10;&#10;Description automatically generated"/>
                    <pic:cNvPicPr/>
                  </pic:nvPicPr>
                  <pic:blipFill>
                    <a:blip r:embed="rId77"/>
                    <a:stretch>
                      <a:fillRect/>
                    </a:stretch>
                  </pic:blipFill>
                  <pic:spPr>
                    <a:xfrm>
                      <a:off x="0" y="0"/>
                      <a:ext cx="6848511" cy="3306943"/>
                    </a:xfrm>
                    <a:prstGeom prst="rect">
                      <a:avLst/>
                    </a:prstGeom>
                  </pic:spPr>
                </pic:pic>
              </a:graphicData>
            </a:graphic>
          </wp:inline>
        </w:drawing>
      </w:r>
    </w:p>
    <w:sectPr w:rsidR="00932855" w:rsidRPr="00B95D63" w:rsidSect="001B0C6B">
      <w:headerReference w:type="first" r:id="rId78"/>
      <w:footerReference w:type="first" r:id="rId7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FF4A" w14:textId="77777777" w:rsidR="00FF0DDF" w:rsidRDefault="00FF0DDF" w:rsidP="00124409">
      <w:r>
        <w:separator/>
      </w:r>
    </w:p>
    <w:p w14:paraId="444977C6" w14:textId="77777777" w:rsidR="00FF0DDF" w:rsidRDefault="00FF0DDF"/>
  </w:endnote>
  <w:endnote w:type="continuationSeparator" w:id="0">
    <w:p w14:paraId="6D17D4E8" w14:textId="77777777" w:rsidR="00FF0DDF" w:rsidRDefault="00FF0DDF" w:rsidP="00124409">
      <w:r>
        <w:continuationSeparator/>
      </w:r>
    </w:p>
    <w:p w14:paraId="464FCA95" w14:textId="77777777" w:rsidR="00FF0DDF" w:rsidRDefault="00FF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EndPr>
      <w:rPr>
        <w:rStyle w:val="PageNumber"/>
      </w:rPr>
    </w:sdtEnd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Pr="001B0C6B" w:rsidRDefault="00804C20"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FF0DDF">
      <w:fldChar w:fldCharType="begin"/>
    </w:r>
    <w:r w:rsidR="00FF0DDF">
      <w:instrText xml:space="preserve"> NUMPAGES </w:instrText>
    </w:r>
    <w:r w:rsidR="00FF0DDF">
      <w:fldChar w:fldCharType="separate"/>
    </w:r>
    <w:r>
      <w:rPr>
        <w:noProof/>
      </w:rPr>
      <w:t>23</w:t>
    </w:r>
    <w:r w:rsidR="00FF0DDF">
      <w:rPr>
        <w:noProof/>
      </w:rPr>
      <w:fldChar w:fldCharType="end"/>
    </w:r>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272524"/>
      <w:docPartObj>
        <w:docPartGallery w:val="Page Numbers (Bottom of Page)"/>
        <w:docPartUnique/>
      </w:docPartObj>
    </w:sdtPr>
    <w:sdtEndPr>
      <w:rPr>
        <w:rStyle w:val="PageNumber"/>
      </w:rPr>
    </w:sdtEndPr>
    <w:sdtContent>
      <w:p w14:paraId="30658492" w14:textId="77777777" w:rsidR="00897A33" w:rsidRDefault="00897A33"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BA7D6" w14:textId="77777777" w:rsidR="00897A33" w:rsidRDefault="00897A33" w:rsidP="0093285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6D0" w14:textId="77777777" w:rsidR="00897A33" w:rsidRPr="001B0C6B" w:rsidRDefault="00897A33"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1360" behindDoc="0" locked="0" layoutInCell="1" allowOverlap="1" wp14:anchorId="20A13033" wp14:editId="62C2D198">
              <wp:simplePos x="0" y="0"/>
              <wp:positionH relativeFrom="column">
                <wp:posOffset>-62865</wp:posOffset>
              </wp:positionH>
              <wp:positionV relativeFrom="paragraph">
                <wp:posOffset>-84455</wp:posOffset>
              </wp:positionV>
              <wp:extent cx="4841240" cy="0"/>
              <wp:effectExtent l="0" t="25400" r="10160" b="25400"/>
              <wp:wrapNone/>
              <wp:docPr id="2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197E57" id="Straight Connector 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92384" behindDoc="0" locked="0" layoutInCell="1" allowOverlap="1" wp14:anchorId="66EF8F7B" wp14:editId="0F6044AB">
              <wp:simplePos x="0" y="0"/>
              <wp:positionH relativeFrom="column">
                <wp:posOffset>4773295</wp:posOffset>
              </wp:positionH>
              <wp:positionV relativeFrom="paragraph">
                <wp:posOffset>-83185</wp:posOffset>
              </wp:positionV>
              <wp:extent cx="788670" cy="0"/>
              <wp:effectExtent l="0" t="25400" r="2413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EEEB79" id="Straight Connector 2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3844FAEF" w14:textId="77777777" w:rsidR="00897A33" w:rsidRDefault="00897A33" w:rsidP="0093285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6EF" w14:textId="77777777" w:rsidR="00897A33" w:rsidRDefault="00897A33" w:rsidP="000B7FAB">
    <w:pPr>
      <w:jc w:val="right"/>
    </w:pPr>
    <w:r w:rsidRPr="00124409">
      <w:rPr>
        <w:noProof/>
      </w:rPr>
      <mc:AlternateContent>
        <mc:Choice Requires="wps">
          <w:drawing>
            <wp:anchor distT="0" distB="0" distL="114300" distR="114300" simplePos="0" relativeHeight="251785216" behindDoc="0" locked="0" layoutInCell="1" allowOverlap="1" wp14:anchorId="2F3FC489" wp14:editId="3C639B61">
              <wp:simplePos x="0" y="0"/>
              <wp:positionH relativeFrom="column">
                <wp:posOffset>-62865</wp:posOffset>
              </wp:positionH>
              <wp:positionV relativeFrom="paragraph">
                <wp:posOffset>-84455</wp:posOffset>
              </wp:positionV>
              <wp:extent cx="4841240" cy="0"/>
              <wp:effectExtent l="0" t="25400" r="10160" b="25400"/>
              <wp:wrapNone/>
              <wp:docPr id="2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6D7F20" id="Straight Connector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6240" behindDoc="0" locked="0" layoutInCell="1" allowOverlap="1" wp14:anchorId="544CA962" wp14:editId="1C0B09F1">
              <wp:simplePos x="0" y="0"/>
              <wp:positionH relativeFrom="column">
                <wp:posOffset>4773295</wp:posOffset>
              </wp:positionH>
              <wp:positionV relativeFrom="paragraph">
                <wp:posOffset>-83185</wp:posOffset>
              </wp:positionV>
              <wp:extent cx="788670" cy="0"/>
              <wp:effectExtent l="0" t="25400" r="2413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FACFC" id="Straight Connector 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FF0DDF">
      <w:fldChar w:fldCharType="begin"/>
    </w:r>
    <w:r w:rsidR="00FF0DDF">
      <w:instrText xml:space="preserve"> NUMPAGES </w:instrText>
    </w:r>
    <w:r w:rsidR="00FF0DDF">
      <w:fldChar w:fldCharType="separate"/>
    </w:r>
    <w:r>
      <w:rPr>
        <w:noProof/>
      </w:rPr>
      <w:t>23</w:t>
    </w:r>
    <w:r w:rsidR="00FF0DDF">
      <w:rPr>
        <w:noProof/>
      </w:rPr>
      <w:fldChar w:fldCharType="end"/>
    </w:r>
  </w:p>
  <w:p w14:paraId="41AE3BDA" w14:textId="77777777" w:rsidR="00897A33" w:rsidRPr="000B7FAB" w:rsidRDefault="00897A33" w:rsidP="000B7F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sidR="00FF0DDF">
      <w:fldChar w:fldCharType="begin"/>
    </w:r>
    <w:r w:rsidR="00FF0DDF">
      <w:instrText xml:space="preserve"> NUMPAGES </w:instrText>
    </w:r>
    <w:r w:rsidR="00FF0DDF">
      <w:fldChar w:fldCharType="separate"/>
    </w:r>
    <w:r>
      <w:rPr>
        <w:noProof/>
      </w:rPr>
      <w:t>23</w:t>
    </w:r>
    <w:r w:rsidR="00FF0D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46C9" w14:textId="77777777" w:rsidR="00FF0DDF" w:rsidRPr="001907AB" w:rsidRDefault="00FF0DDF" w:rsidP="00124409">
      <w:pPr>
        <w:rPr>
          <w:color w:val="0A3251"/>
        </w:rPr>
      </w:pPr>
      <w:r w:rsidRPr="001907AB">
        <w:rPr>
          <w:color w:val="0A3251"/>
        </w:rPr>
        <w:separator/>
      </w:r>
    </w:p>
    <w:p w14:paraId="3B26764B" w14:textId="77777777" w:rsidR="00FF0DDF" w:rsidRDefault="00FF0DDF"/>
  </w:footnote>
  <w:footnote w:type="continuationSeparator" w:id="0">
    <w:p w14:paraId="67B8F115" w14:textId="77777777" w:rsidR="00FF0DDF" w:rsidRPr="001907AB" w:rsidRDefault="00FF0DDF" w:rsidP="00124409">
      <w:pPr>
        <w:rPr>
          <w:color w:val="0A3251"/>
        </w:rPr>
      </w:pPr>
      <w:r w:rsidRPr="001907AB">
        <w:rPr>
          <w:color w:val="0A3251"/>
        </w:rPr>
        <w:continuationSeparator/>
      </w:r>
    </w:p>
    <w:p w14:paraId="3D05A7AB" w14:textId="77777777" w:rsidR="00FF0DDF" w:rsidRDefault="00FF0DDF"/>
  </w:footnote>
  <w:footnote w:type="continuationNotice" w:id="1">
    <w:p w14:paraId="5B449567" w14:textId="77777777" w:rsidR="00FF0DDF" w:rsidRDefault="00FF0DDF"/>
    <w:p w14:paraId="7124738C" w14:textId="77777777" w:rsidR="00FF0DDF" w:rsidRDefault="00FF0DDF"/>
  </w:footnote>
  <w:footnote w:id="2">
    <w:p w14:paraId="696D90EB" w14:textId="77777777" w:rsidR="00400933" w:rsidRPr="0014573D" w:rsidRDefault="00400933" w:rsidP="00400933">
      <w:pPr>
        <w:pStyle w:val="FootnoteText"/>
        <w:rPr>
          <w:rFonts w:asciiTheme="majorHAnsi" w:hAnsiTheme="majorHAnsi" w:cstheme="majorHAnsi"/>
        </w:rPr>
      </w:pPr>
      <w:r w:rsidRPr="0014573D">
        <w:rPr>
          <w:rStyle w:val="FootnoteReference"/>
          <w:rFonts w:asciiTheme="majorHAnsi" w:hAnsiTheme="majorHAnsi" w:cstheme="majorHAnsi"/>
        </w:rPr>
        <w:footnoteRef/>
      </w:r>
      <w:r w:rsidRPr="0014573D">
        <w:rPr>
          <w:rFonts w:asciiTheme="majorHAnsi" w:hAnsiTheme="majorHAnsi" w:cstheme="majorHAnsi"/>
        </w:rPr>
        <w:t xml:space="preserve"> See </w:t>
      </w:r>
      <w:hyperlink r:id="rId1" w:history="1">
        <w:r w:rsidRPr="0014573D">
          <w:rPr>
            <w:rStyle w:val="Hyperlink"/>
            <w:rFonts w:asciiTheme="majorHAnsi" w:hAnsiTheme="majorHAnsi" w:cstheme="majorHAnsi"/>
          </w:rPr>
          <w:t>Final Report on the Inter-Registrar Transfer Policy - Part D Policy Development Process</w:t>
        </w:r>
      </w:hyperlink>
      <w:r w:rsidRPr="0014573D">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B0C6B" w:rsidRDefault="00135EB4">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For additional information about the EPDP Phase 1, Recommendation 27, Wave 1 Report, please see pages 52-56 of the </w:t>
      </w:r>
      <w:hyperlink r:id="rId2" w:history="1">
        <w:r w:rsidRPr="001B0C6B">
          <w:rPr>
            <w:rStyle w:val="Hyperlink"/>
            <w:rFonts w:asciiTheme="majorHAnsi" w:hAnsiTheme="majorHAnsi" w:cstheme="majorHAnsi"/>
          </w:rPr>
          <w:t>Final Issue Report</w:t>
        </w:r>
      </w:hyperlink>
      <w:r w:rsidRPr="001B0C6B">
        <w:rPr>
          <w:rFonts w:asciiTheme="majorHAnsi" w:hAnsiTheme="majorHAnsi" w:cstheme="majorHAnsi"/>
        </w:rPr>
        <w:t>.</w:t>
      </w:r>
    </w:p>
  </w:footnote>
  <w:footnote w:id="4">
    <w:p w14:paraId="7B2E1B7D" w14:textId="1A0E37FA" w:rsidR="00313B4B" w:rsidRPr="001B0C6B" w:rsidRDefault="00313B4B" w:rsidP="00313B4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topic of denying (</w:t>
      </w:r>
      <w:proofErr w:type="spellStart"/>
      <w:r w:rsidRPr="001B0C6B">
        <w:rPr>
          <w:rFonts w:asciiTheme="majorHAnsi" w:hAnsiTheme="majorHAnsi" w:cstheme="majorHAnsi"/>
        </w:rPr>
        <w:t>NACKing</w:t>
      </w:r>
      <w:proofErr w:type="spellEnd"/>
      <w:r w:rsidRPr="001B0C6B">
        <w:rPr>
          <w:rFonts w:asciiTheme="majorHAnsi" w:hAnsiTheme="majorHAnsi" w:cstheme="majorHAnsi"/>
        </w:rPr>
        <w:t>) transfers was later moved to Phase 1(a) by</w:t>
      </w:r>
      <w:r w:rsidR="0014573D" w:rsidRPr="001B0C6B">
        <w:rPr>
          <w:rFonts w:asciiTheme="majorHAnsi" w:hAnsiTheme="majorHAnsi" w:cstheme="majorHAnsi"/>
        </w:rPr>
        <w:t xml:space="preserve"> a</w:t>
      </w:r>
      <w:r w:rsidRPr="001B0C6B">
        <w:rPr>
          <w:rFonts w:asciiTheme="majorHAnsi" w:hAnsiTheme="majorHAnsi" w:cstheme="majorHAnsi"/>
        </w:rPr>
        <w:t xml:space="preserve"> </w:t>
      </w:r>
      <w:hyperlink r:id="rId3" w:anchor="202112" w:history="1">
        <w:r w:rsidRPr="001B0C6B">
          <w:rPr>
            <w:rStyle w:val="Hyperlink"/>
            <w:rFonts w:asciiTheme="majorHAnsi" w:eastAsiaTheme="majorEastAsia" w:hAnsiTheme="majorHAnsi" w:cstheme="majorHAnsi"/>
          </w:rPr>
          <w:t>Project Change Request</w:t>
        </w:r>
      </w:hyperlink>
      <w:r w:rsidRPr="001B0C6B">
        <w:rPr>
          <w:rFonts w:asciiTheme="majorHAnsi" w:hAnsiTheme="majorHAnsi" w:cstheme="majorHAnsi"/>
        </w:rPr>
        <w:t xml:space="preserve"> to ensure that the </w:t>
      </w:r>
      <w:r w:rsidR="00135EB4" w:rsidRPr="001B0C6B">
        <w:rPr>
          <w:rFonts w:asciiTheme="majorHAnsi" w:hAnsiTheme="majorHAnsi" w:cstheme="majorHAnsi"/>
        </w:rPr>
        <w:t>w</w:t>
      </w:r>
      <w:r w:rsidRPr="001B0C6B">
        <w:rPr>
          <w:rFonts w:asciiTheme="majorHAnsi" w:hAnsiTheme="majorHAnsi" w:cstheme="majorHAnsi"/>
        </w:rPr>
        <w:t xml:space="preserve">orking </w:t>
      </w:r>
      <w:r w:rsidR="00135EB4" w:rsidRPr="001B0C6B">
        <w:rPr>
          <w:rFonts w:asciiTheme="majorHAnsi" w:hAnsiTheme="majorHAnsi" w:cstheme="majorHAnsi"/>
        </w:rPr>
        <w:t>g</w:t>
      </w:r>
      <w:r w:rsidRPr="001B0C6B">
        <w:rPr>
          <w:rFonts w:asciiTheme="majorHAnsi" w:hAnsiTheme="majorHAnsi" w:cstheme="majorHAnsi"/>
        </w:rPr>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25362E27" w14:textId="65D10F05"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6">
    <w:p w14:paraId="570098B5" w14:textId="203A1127"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Ibid.</w:t>
      </w:r>
    </w:p>
  </w:footnote>
  <w:footnote w:id="7">
    <w:p w14:paraId="32E383EF" w14:textId="1B361D54"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notes that, in place of the Losing FOA, notifications are sent to the RNH in relation to an inter-</w:t>
      </w:r>
      <w:r w:rsidR="001668C9" w:rsidRPr="001B0C6B">
        <w:rPr>
          <w:rFonts w:asciiTheme="majorHAnsi" w:hAnsiTheme="majorHAnsi" w:cstheme="majorHAnsi"/>
        </w:rPr>
        <w:t>R</w:t>
      </w:r>
      <w:r w:rsidRPr="001B0C6B">
        <w:rPr>
          <w:rFonts w:asciiTheme="majorHAnsi" w:hAnsiTheme="majorHAnsi" w:cstheme="majorHAnsi"/>
        </w:rPr>
        <w:t xml:space="preserve">egistrar transfer, as detailed in </w:t>
      </w:r>
      <w:r w:rsidR="00AF3D0D" w:rsidRPr="001B0C6B">
        <w:rPr>
          <w:rFonts w:asciiTheme="majorHAnsi" w:hAnsiTheme="majorHAnsi" w:cstheme="majorHAnsi"/>
        </w:rPr>
        <w:t xml:space="preserve">Preliminary </w:t>
      </w:r>
      <w:r w:rsidR="00C16489" w:rsidRPr="001B0C6B">
        <w:rPr>
          <w:rFonts w:asciiTheme="majorHAnsi" w:hAnsiTheme="majorHAnsi" w:cstheme="majorHAnsi"/>
        </w:rPr>
        <w:t>R</w:t>
      </w:r>
      <w:r w:rsidRPr="001B0C6B">
        <w:rPr>
          <w:rFonts w:asciiTheme="majorHAnsi" w:hAnsiTheme="majorHAnsi" w:cstheme="majorHAnsi"/>
        </w:rPr>
        <w:t>ecommendations</w:t>
      </w:r>
      <w:r w:rsidR="00F86541" w:rsidRPr="001B0C6B">
        <w:rPr>
          <w:rFonts w:asciiTheme="majorHAnsi" w:hAnsiTheme="majorHAnsi" w:cstheme="majorHAnsi"/>
        </w:rPr>
        <w:t xml:space="preserve"> 3-4.</w:t>
      </w:r>
    </w:p>
  </w:footnote>
  <w:footnote w:id="8">
    <w:p w14:paraId="609D2B17" w14:textId="7D1BAA77"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this notification MAY be sent via email, SMS, or other secure messaging system. These examples are not intended to be limiting, and it is understood that additional methods of notification MAY be created that were not originally anticipated by the working group. </w:t>
      </w:r>
    </w:p>
  </w:footnote>
  <w:footnote w:id="9">
    <w:p w14:paraId="3C5F53F4" w14:textId="4DAC57C6"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from a security perspective, it is best for the “Notification of TAC Provision” to be delivered by a method of communication that is different from the method used to deliver the TAC. If this is not possible, and the same method of communication is used, the Registrar of Record MAY choose to send the "Notification of TAC Provision" and the TAC together in a single communication. </w:t>
      </w:r>
    </w:p>
  </w:footnote>
  <w:footnote w:id="10">
    <w:p w14:paraId="4405E2D4" w14:textId="196BA439"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This is the Registrar of Record at the time of the transfer request.</w:t>
      </w:r>
    </w:p>
  </w:footnote>
  <w:footnote w:id="11">
    <w:p w14:paraId="554BC082" w14:textId="0420CDE3"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w:t>
      </w:r>
      <w:r w:rsidR="00C16489" w:rsidRPr="001B0C6B">
        <w:rPr>
          <w:rFonts w:asciiTheme="majorHAnsi" w:hAnsiTheme="majorHAnsi" w:cstheme="majorHAnsi"/>
        </w:rPr>
        <w:t xml:space="preserve">The footnote on </w:t>
      </w:r>
      <w:r w:rsidR="00AF3D0D" w:rsidRPr="001B0C6B">
        <w:rPr>
          <w:rFonts w:asciiTheme="majorHAnsi" w:hAnsiTheme="majorHAnsi" w:cstheme="majorHAnsi"/>
        </w:rPr>
        <w:t xml:space="preserve">Preliminary </w:t>
      </w:r>
      <w:r w:rsidR="00C16489" w:rsidRPr="001B0C6B">
        <w:rPr>
          <w:rFonts w:asciiTheme="majorHAnsi" w:hAnsiTheme="majorHAnsi" w:cstheme="majorHAnsi"/>
        </w:rPr>
        <w:t xml:space="preserve">Recommendation </w:t>
      </w:r>
      <w:r w:rsidR="00F86541" w:rsidRPr="001B0C6B">
        <w:rPr>
          <w:rFonts w:asciiTheme="majorHAnsi" w:hAnsiTheme="majorHAnsi" w:cstheme="majorHAnsi"/>
        </w:rPr>
        <w:t xml:space="preserve">3 </w:t>
      </w:r>
      <w:r w:rsidRPr="001B0C6B">
        <w:rPr>
          <w:rFonts w:asciiTheme="majorHAnsi" w:hAnsiTheme="majorHAnsi" w:cstheme="majorHAnsi"/>
        </w:rPr>
        <w:t>regarding the method by which notifications are sent equally applies to the “Notification of Transfer Completion.”</w:t>
      </w:r>
    </w:p>
  </w:footnote>
  <w:footnote w:id="12">
    <w:p w14:paraId="2338FAAB" w14:textId="77FE77F9" w:rsidR="007502FB" w:rsidRPr="001B0C6B" w:rsidRDefault="007502F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Full text of the CPH Tech Ops proposal can be found in Annex B of the </w:t>
      </w:r>
      <w:hyperlink r:id="rId4" w:history="1">
        <w:r w:rsidRPr="001B0C6B">
          <w:rPr>
            <w:rStyle w:val="Hyperlink"/>
            <w:rFonts w:asciiTheme="majorHAnsi" w:hAnsiTheme="majorHAnsi" w:cstheme="majorHAnsi"/>
          </w:rPr>
          <w:t>TPR Final Issue Report</w:t>
        </w:r>
      </w:hyperlink>
      <w:r w:rsidRPr="001B0C6B">
        <w:rPr>
          <w:rFonts w:asciiTheme="majorHAnsi" w:hAnsiTheme="majorHAnsi" w:cstheme="majorHAnsi"/>
        </w:rPr>
        <w:t>.</w:t>
      </w:r>
    </w:p>
  </w:footnote>
  <w:footnote w:id="13">
    <w:p w14:paraId="778BC2D5" w14:textId="33ABE4FE" w:rsidR="001A6E43" w:rsidRPr="001B0C6B" w:rsidRDefault="001A6E43">
      <w:pPr>
        <w:pStyle w:val="FootnoteText"/>
        <w:rPr>
          <w:rFonts w:asciiTheme="majorHAnsi" w:hAnsiTheme="majorHAnsi" w:cstheme="majorHAnsi"/>
        </w:rPr>
      </w:pPr>
      <w:r w:rsidRPr="001B0C6B">
        <w:rPr>
          <w:rStyle w:val="FootnoteReference"/>
          <w:rFonts w:asciiTheme="majorHAnsi" w:hAnsiTheme="majorHAnsi" w:cstheme="majorHAnsi"/>
        </w:rPr>
        <w:footnoteRef/>
      </w:r>
      <w:r w:rsidR="005470FD" w:rsidRPr="001B0C6B">
        <w:rPr>
          <w:rFonts w:asciiTheme="majorHAnsi" w:hAnsiTheme="majorHAnsi" w:cstheme="majorHAnsi"/>
        </w:rPr>
        <w:t xml:space="preserve">Available at: </w:t>
      </w:r>
      <w:hyperlink r:id="rId5" w:history="1">
        <w:r w:rsidRPr="001B0C6B">
          <w:rPr>
            <w:rStyle w:val="Hyperlink"/>
            <w:rFonts w:asciiTheme="majorHAnsi" w:hAnsiTheme="majorHAnsi" w:cstheme="majorHAnsi"/>
          </w:rPr>
          <w:t>https://community.icann.org/download/attachments/181307054/Compliance_Transfer%20Data_presented%2029%20June%202021.xlsx?version=1&amp;modificationDate=1638449700087&amp;api=v2</w:t>
        </w:r>
      </w:hyperlink>
    </w:p>
  </w:footnote>
  <w:footnote w:id="14">
    <w:p w14:paraId="2515E064" w14:textId="0D8224D3" w:rsidR="001A6E43" w:rsidRPr="001B0C6B" w:rsidRDefault="001A6E43">
      <w:pPr>
        <w:pStyle w:val="FootnoteText"/>
        <w:rPr>
          <w:rFonts w:ascii="Calibri" w:hAnsi="Calibri" w:cs="Calibri"/>
          <w:szCs w:val="20"/>
        </w:rPr>
      </w:pPr>
      <w:r w:rsidRPr="0014573D">
        <w:rPr>
          <w:rStyle w:val="FootnoteReference"/>
          <w:rFonts w:cs="Calibri"/>
          <w:szCs w:val="20"/>
        </w:rPr>
        <w:footnoteRef/>
      </w:r>
      <w:r w:rsidR="005470FD" w:rsidRPr="001B0C6B">
        <w:rPr>
          <w:rFonts w:ascii="Calibri" w:hAnsi="Calibri" w:cs="Calibri"/>
          <w:szCs w:val="20"/>
        </w:rPr>
        <w:t xml:space="preserve">Available at: </w:t>
      </w:r>
      <w:hyperlink r:id="rId6" w:history="1">
        <w:r w:rsidRPr="001B0C6B">
          <w:rPr>
            <w:rStyle w:val="Hyperlink"/>
            <w:rFonts w:ascii="Calibri" w:hAnsi="Calibri" w:cs="Calibri"/>
            <w:szCs w:val="20"/>
          </w:rPr>
          <w:t>https://community.icann.org/download/attachments/181307054/Compliance_Unauthorized%20Transfer%20Data%20Aug%202020-Sept%202021_presented%209%20November%202021.xlsx?version=1&amp;modificationDate=1638449975000&amp;api=v2</w:t>
        </w:r>
      </w:hyperlink>
    </w:p>
  </w:footnote>
  <w:footnote w:id="15">
    <w:p w14:paraId="5992933E" w14:textId="187FFC51" w:rsidR="00E10C97" w:rsidRPr="001B0C6B" w:rsidRDefault="00E10C97">
      <w:pPr>
        <w:pStyle w:val="FootnoteText"/>
        <w:rPr>
          <w:rFonts w:ascii="Calibri" w:hAnsi="Calibri" w:cs="Calibri"/>
          <w:szCs w:val="20"/>
        </w:rPr>
      </w:pPr>
      <w:r w:rsidRPr="0014573D">
        <w:rPr>
          <w:rStyle w:val="FootnoteReference"/>
          <w:rFonts w:cs="Calibri"/>
          <w:szCs w:val="20"/>
        </w:rPr>
        <w:footnoteRef/>
      </w:r>
      <w:r w:rsidRPr="001B0C6B">
        <w:rPr>
          <w:rFonts w:ascii="Calibri" w:hAnsi="Calibri" w:cs="Calibri"/>
          <w:szCs w:val="20"/>
        </w:rPr>
        <w:t xml:space="preserve"> "Designated representative" means an individual or entity that the Registered Name Holder explicitly authorizes to obtain the TAC on their behalf.</w:t>
      </w:r>
    </w:p>
  </w:footnote>
  <w:footnote w:id="16">
    <w:p w14:paraId="49A5CE33" w14:textId="6BBED0D1" w:rsidR="00E10C97" w:rsidRPr="001B0C6B" w:rsidRDefault="00E10C97">
      <w:pPr>
        <w:pStyle w:val="FootnoteText"/>
        <w:rPr>
          <w:rFonts w:ascii="Calibri" w:hAnsi="Calibri" w:cs="Calibri"/>
        </w:rPr>
      </w:pPr>
      <w:r w:rsidRPr="0014573D">
        <w:rPr>
          <w:rStyle w:val="FootnoteReference"/>
          <w:rFonts w:cs="Calibri"/>
          <w:szCs w:val="20"/>
        </w:rPr>
        <w:footnoteRef/>
      </w:r>
      <w:r w:rsidRPr="001B0C6B">
        <w:rPr>
          <w:rFonts w:ascii="Calibri" w:hAnsi="Calibri" w:cs="Calibri"/>
          <w:szCs w:val="20"/>
        </w:rPr>
        <w:t xml:space="preserve"> Note: This definition draws on elements included in </w:t>
      </w:r>
      <w:r w:rsidR="00F8396E" w:rsidRPr="001B0C6B">
        <w:rPr>
          <w:rFonts w:ascii="Calibri" w:hAnsi="Calibri" w:cs="Calibri"/>
          <w:szCs w:val="20"/>
        </w:rPr>
        <w:t xml:space="preserve">Preliminary </w:t>
      </w:r>
      <w:r w:rsidR="005470FD" w:rsidRPr="001B0C6B">
        <w:rPr>
          <w:rFonts w:ascii="Calibri" w:hAnsi="Calibri" w:cs="Calibri"/>
          <w:szCs w:val="20"/>
        </w:rPr>
        <w:t>R</w:t>
      </w:r>
      <w:r w:rsidRPr="001B0C6B">
        <w:rPr>
          <w:rFonts w:ascii="Calibri" w:hAnsi="Calibri" w:cs="Calibri"/>
          <w:szCs w:val="20"/>
        </w:rPr>
        <w:t>ecommendation 9.</w:t>
      </w:r>
    </w:p>
  </w:footnote>
  <w:footnote w:id="17">
    <w:p w14:paraId="24BB2636" w14:textId="26F952C5" w:rsidR="00EC628E" w:rsidRPr="001B0C6B" w:rsidRDefault="00EC628E" w:rsidP="00EC628E">
      <w:pPr>
        <w:pStyle w:val="NormalWeb"/>
        <w:spacing w:before="0" w:beforeAutospacing="0" w:after="0" w:afterAutospacing="0"/>
        <w:rPr>
          <w:rFonts w:ascii="Calibri" w:hAnsi="Calibri" w:cs="Calibri"/>
          <w:color w:val="595959" w:themeColor="text1" w:themeTint="A6"/>
          <w:szCs w:val="24"/>
        </w:rPr>
      </w:pPr>
      <w:r w:rsidRPr="0014573D">
        <w:rPr>
          <w:rStyle w:val="FootnoteReference"/>
          <w:rFonts w:cs="Calibri"/>
          <w:color w:val="595959" w:themeColor="text1" w:themeTint="A6"/>
          <w:szCs w:val="24"/>
        </w:rPr>
        <w:footnoteRef/>
      </w:r>
      <w:r w:rsidRPr="0014573D">
        <w:rPr>
          <w:rStyle w:val="FootnoteReference"/>
          <w:rFonts w:cs="Calibri"/>
          <w:color w:val="595959" w:themeColor="text1" w:themeTint="A6"/>
          <w:szCs w:val="24"/>
        </w:rPr>
        <w:t xml:space="preserve"> </w:t>
      </w:r>
      <w:r w:rsidRPr="001B0C6B">
        <w:rPr>
          <w:rFonts w:ascii="Calibri" w:hAnsi="Calibri" w:cs="Calibri"/>
          <w:color w:val="595959" w:themeColor="text1" w:themeTint="A6"/>
          <w:szCs w:val="24"/>
        </w:rPr>
        <w: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t>
      </w:r>
    </w:p>
    <w:p w14:paraId="3AB5AC33" w14:textId="77777777" w:rsidR="00EC628E" w:rsidRPr="00EC628E" w:rsidRDefault="00EC628E" w:rsidP="00EC628E">
      <w:pPr>
        <w:rPr>
          <w:lang w:eastAsia="en-US"/>
        </w:rPr>
      </w:pPr>
    </w:p>
    <w:p w14:paraId="669BFE69" w14:textId="77777777" w:rsidR="00EC628E" w:rsidRDefault="00EC628E" w:rsidP="00EC628E">
      <w:pPr>
        <w:pStyle w:val="FootnoteText"/>
      </w:pPr>
    </w:p>
  </w:footnote>
  <w:footnote w:id="18">
    <w:p w14:paraId="230324ED" w14:textId="5BDC036D" w:rsidR="00E40E9E" w:rsidRDefault="00E40E9E">
      <w:pPr>
        <w:pStyle w:val="FootnoteText"/>
      </w:pPr>
      <w:r w:rsidRPr="00D4457E">
        <w:rPr>
          <w:rStyle w:val="FootnoteReference"/>
        </w:rPr>
        <w:footnoteRef/>
      </w:r>
      <w:r w:rsidRPr="00D4457E">
        <w:t xml:space="preserve"> </w:t>
      </w:r>
      <w:r w:rsidRPr="00D4457E">
        <w:rPr>
          <w:rFonts w:ascii="Calibri" w:hAnsi="Calibri" w:cs="Calibri"/>
        </w:rPr>
        <w:t xml:space="preserve"> [FIPS-180-4] National Institute of Standards and Technology, U.S. Department of Commerce, "Secure Hash Standard, NIST Federal Information Processing Standards (FIPS) Publication 180-4", DOI10.6028/NIST.FIPS.180-4, August 2015, &lt;</w:t>
      </w:r>
      <w:hyperlink r:id="rId7" w:history="1">
        <w:r w:rsidRPr="00D4457E">
          <w:rPr>
            <w:rStyle w:val="Hyperlink"/>
            <w:rFonts w:ascii="Calibri" w:hAnsi="Calibri" w:cs="Calibri"/>
            <w:color w:val="595959" w:themeColor="text1" w:themeTint="A6"/>
          </w:rPr>
          <w:t>https://csrc.nist.gov/publications/detail/fips/180/4/final</w:t>
        </w:r>
      </w:hyperlink>
      <w:r w:rsidRPr="00D4457E">
        <w:rPr>
          <w:rFonts w:ascii="Calibri" w:hAnsi="Calibri" w:cs="Calibri"/>
        </w:rPr>
        <w:t>&gt;.</w:t>
      </w:r>
    </w:p>
  </w:footnote>
  <w:footnote w:id="19">
    <w:p w14:paraId="5CB16162" w14:textId="3D4CEF99" w:rsidR="001A3B37" w:rsidRPr="001B0C6B" w:rsidRDefault="001A3B37">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Available in Annex B of the TPR </w:t>
      </w:r>
      <w:hyperlink r:id="rId8" w:history="1">
        <w:r w:rsidRPr="001B0C6B">
          <w:rPr>
            <w:rStyle w:val="Hyperlink"/>
            <w:rFonts w:ascii="Calibri" w:hAnsi="Calibri" w:cs="Calibri"/>
          </w:rPr>
          <w:t>Final Issue Report</w:t>
        </w:r>
      </w:hyperlink>
      <w:r w:rsidRPr="001B0C6B">
        <w:rPr>
          <w:rFonts w:ascii="Calibri" w:hAnsi="Calibri" w:cs="Calibri"/>
        </w:rPr>
        <w:t>.</w:t>
      </w:r>
    </w:p>
  </w:footnote>
  <w:footnote w:id="20">
    <w:p w14:paraId="4801EEC6" w14:textId="789EEDB0" w:rsidR="002C510C" w:rsidRPr="001B0C6B" w:rsidRDefault="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Key Issues 4, 6, and 7 related to Change of Registrant, and, accordingly, the working group agreed to discuss these issues during Phase 1(b) of its work.</w:t>
      </w:r>
    </w:p>
  </w:footnote>
  <w:footnote w:id="21">
    <w:p w14:paraId="1BBDD1F7" w14:textId="6E185CA7" w:rsidR="002C510C" w:rsidRPr="001B0C6B" w:rsidRDefault="002C510C" w:rsidP="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Additional context from the working group’s discussion can be found in</w:t>
      </w:r>
      <w:r w:rsidR="00C45720" w:rsidRPr="001B0C6B">
        <w:rPr>
          <w:rFonts w:ascii="Calibri" w:hAnsi="Calibri" w:cs="Calibri"/>
        </w:rPr>
        <w:t xml:space="preserve"> Annex D </w:t>
      </w:r>
      <w:r w:rsidRPr="001B0C6B">
        <w:rPr>
          <w:rFonts w:ascii="Calibri" w:hAnsi="Calibri" w:cs="Calibri"/>
        </w:rPr>
        <w:t>of this report.</w:t>
      </w:r>
    </w:p>
    <w:p w14:paraId="1C5B98F5" w14:textId="5C2CB5F6" w:rsidR="002C510C" w:rsidRPr="001B0C6B" w:rsidRDefault="002C510C">
      <w:pPr>
        <w:pStyle w:val="FootnoteText"/>
        <w:rPr>
          <w:rFonts w:ascii="Calibri" w:hAnsi="Calibri" w:cs="Calibri"/>
        </w:rPr>
      </w:pPr>
    </w:p>
  </w:footnote>
  <w:footnote w:id="22">
    <w:p w14:paraId="39E9DF41" w14:textId="066FC2C0" w:rsidR="00655702" w:rsidRPr="001B0C6B" w:rsidRDefault="00655702" w:rsidP="00655702">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Use of the term “lock” is not intended to imply or require a specific technical solution for implementation. Rather, it is used as shorthand meaning that the domain is ineligible for inter-</w:t>
      </w:r>
      <w:r w:rsidR="001C5E7C" w:rsidRPr="001B0C6B">
        <w:rPr>
          <w:rFonts w:ascii="Calibri" w:hAnsi="Calibri" w:cs="Calibri"/>
        </w:rPr>
        <w:t>R</w:t>
      </w:r>
      <w:r w:rsidRPr="001B0C6B">
        <w:rPr>
          <w:rFonts w:ascii="Calibri" w:hAnsi="Calibri" w:cs="Calibri"/>
        </w:rPr>
        <w:t xml:space="preserve">egistrar transfer for </w:t>
      </w:r>
      <w:proofErr w:type="gramStart"/>
      <w:r w:rsidRPr="001B0C6B">
        <w:rPr>
          <w:rFonts w:ascii="Calibri" w:hAnsi="Calibri" w:cs="Calibri"/>
        </w:rPr>
        <w:t>a period of time</w:t>
      </w:r>
      <w:proofErr w:type="gramEnd"/>
      <w:r w:rsidRPr="001B0C6B">
        <w:rPr>
          <w:rFonts w:ascii="Calibri" w:hAnsi="Calibri" w:cs="Calibri"/>
        </w:rPr>
        <w:t>.</w:t>
      </w:r>
    </w:p>
    <w:p w14:paraId="5C269EDF" w14:textId="77777777" w:rsidR="00655702" w:rsidRPr="00EF0921" w:rsidRDefault="00655702" w:rsidP="00655702">
      <w:pPr>
        <w:pStyle w:val="FootnoteText"/>
      </w:pPr>
    </w:p>
  </w:footnote>
  <w:footnote w:id="23">
    <w:p w14:paraId="27FBB0CA" w14:textId="77777777" w:rsidR="00154376" w:rsidRPr="001B0C6B" w:rsidRDefault="00154376" w:rsidP="00154376">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In implementation, to the extent that there is re-numbering of applicable provisions, this reference should be updated accordingly.</w:t>
      </w:r>
    </w:p>
  </w:footnote>
  <w:footnote w:id="24">
    <w:p w14:paraId="79F4B586" w14:textId="4CB0BCFC"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9" w:history="1">
        <w:r w:rsidRPr="001B0C6B">
          <w:rPr>
            <w:rStyle w:val="Hyperlink"/>
            <w:rFonts w:ascii="Calibri" w:hAnsi="Calibri" w:cs="Calibri"/>
          </w:rPr>
          <w:t>UDRP Rule</w:t>
        </w:r>
      </w:hyperlink>
      <w:r w:rsidRPr="001B0C6B">
        <w:rPr>
          <w:rFonts w:ascii="Calibri" w:hAnsi="Calibri" w:cs="Calibri"/>
        </w:rPr>
        <w:t xml:space="preserve"> 1 (definitions of Lock and Pendency, respectively), </w:t>
      </w:r>
      <w:hyperlink r:id="rId10" w:history="1">
        <w:r w:rsidRPr="001B0C6B">
          <w:rPr>
            <w:rStyle w:val="Hyperlink"/>
            <w:rFonts w:ascii="Calibri" w:hAnsi="Calibri" w:cs="Calibri"/>
          </w:rPr>
          <w:t>UDRP Rule</w:t>
        </w:r>
      </w:hyperlink>
      <w:r w:rsidRPr="001B0C6B">
        <w:rPr>
          <w:rFonts w:ascii="Calibri" w:hAnsi="Calibri" w:cs="Calibri"/>
        </w:rPr>
        <w:t xml:space="preserve"> 4(b), and Paragraph I.A.3.8.1 of the </w:t>
      </w:r>
      <w:hyperlink r:id="rId11" w:history="1">
        <w:r w:rsidRPr="001B0C6B">
          <w:rPr>
            <w:rStyle w:val="Hyperlink"/>
            <w:rFonts w:ascii="Calibri" w:hAnsi="Calibri" w:cs="Calibri"/>
          </w:rPr>
          <w:t>Transfer Policy</w:t>
        </w:r>
      </w:hyperlink>
      <w:r w:rsidRPr="001B0C6B">
        <w:rPr>
          <w:rFonts w:ascii="Calibri" w:hAnsi="Calibri" w:cs="Calibri"/>
        </w:rPr>
        <w:t xml:space="preserve">. </w:t>
      </w:r>
    </w:p>
  </w:footnote>
  <w:footnote w:id="25">
    <w:p w14:paraId="436A5E39" w14:textId="425C3E1D"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12" w:history="1">
        <w:r w:rsidRPr="001B0C6B">
          <w:rPr>
            <w:rStyle w:val="Hyperlink"/>
            <w:rFonts w:ascii="Calibri" w:hAnsi="Calibri" w:cs="Calibri"/>
          </w:rPr>
          <w:t>UDRP</w:t>
        </w:r>
      </w:hyperlink>
      <w:r w:rsidRPr="001B0C6B">
        <w:rPr>
          <w:rFonts w:ascii="Calibri" w:hAnsi="Calibri" w:cs="Calibri"/>
        </w:rPr>
        <w:t xml:space="preserve"> Section 4(</w:t>
      </w:r>
      <w:proofErr w:type="spellStart"/>
      <w:r w:rsidRPr="001B0C6B">
        <w:rPr>
          <w:rFonts w:ascii="Calibri" w:hAnsi="Calibri" w:cs="Calibri"/>
        </w:rPr>
        <w:t>i</w:t>
      </w:r>
      <w:proofErr w:type="spellEnd"/>
      <w:r w:rsidRPr="001B0C6B">
        <w:rPr>
          <w:rFonts w:ascii="Calibri" w:hAnsi="Calibri" w:cs="Calibri"/>
        </w:rPr>
        <w:t xml:space="preserve">), 4(k), </w:t>
      </w:r>
      <w:hyperlink r:id="rId13" w:history="1">
        <w:r w:rsidRPr="001B0C6B">
          <w:rPr>
            <w:rStyle w:val="Hyperlink"/>
            <w:rFonts w:ascii="Calibri" w:hAnsi="Calibri" w:cs="Calibri"/>
          </w:rPr>
          <w:t>UDRP Rule</w:t>
        </w:r>
      </w:hyperlink>
      <w:r w:rsidRPr="001B0C6B">
        <w:rPr>
          <w:rFonts w:ascii="Calibri" w:hAnsi="Calibri" w:cs="Calibri"/>
        </w:rPr>
        <w:t xml:space="preserve"> 16(a).</w:t>
      </w:r>
    </w:p>
  </w:footnote>
  <w:footnote w:id="26">
    <w:p w14:paraId="07C44F4C" w14:textId="4A19C7A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w:t>
      </w:r>
      <w:hyperlink r:id="rId14" w:history="1">
        <w:r w:rsidRPr="001B0C6B">
          <w:rPr>
            <w:rStyle w:val="Hyperlink"/>
            <w:rFonts w:ascii="Calibri" w:hAnsi="Calibri" w:cs="Calibri"/>
          </w:rPr>
          <w:t>UDRP Rule</w:t>
        </w:r>
      </w:hyperlink>
      <w:r w:rsidRPr="001B0C6B">
        <w:rPr>
          <w:rFonts w:ascii="Calibri" w:hAnsi="Calibri" w:cs="Calibri"/>
        </w:rPr>
        <w:t xml:space="preserve"> 1 defines Lock as “a set of measures that a </w:t>
      </w:r>
      <w:r w:rsidR="001C5E7C" w:rsidRPr="001B0C6B">
        <w:rPr>
          <w:rFonts w:ascii="Calibri" w:hAnsi="Calibri" w:cs="Calibri"/>
        </w:rPr>
        <w:t>R</w:t>
      </w:r>
      <w:r w:rsidRPr="001B0C6B">
        <w:rPr>
          <w:rFonts w:ascii="Calibri" w:hAnsi="Calibri" w:cs="Calibri"/>
        </w:rPr>
        <w:t xml:space="preserve">egistrar applies to a domain name, which prevents at a minimum any modification to the registrant and </w:t>
      </w:r>
      <w:r w:rsidR="001C5E7C" w:rsidRPr="001B0C6B">
        <w:rPr>
          <w:rFonts w:ascii="Calibri" w:hAnsi="Calibri" w:cs="Calibri"/>
        </w:rPr>
        <w:t>R</w:t>
      </w:r>
      <w:r w:rsidRPr="001B0C6B">
        <w:rPr>
          <w:rFonts w:ascii="Calibri" w:hAnsi="Calibri" w:cs="Calibri"/>
        </w:rPr>
        <w:t xml:space="preserve">egistrar information by the </w:t>
      </w:r>
      <w:proofErr w:type="gramStart"/>
      <w:r w:rsidRPr="001B0C6B">
        <w:rPr>
          <w:rFonts w:ascii="Calibri" w:hAnsi="Calibri" w:cs="Calibri"/>
        </w:rPr>
        <w:t>Respondent, but</w:t>
      </w:r>
      <w:proofErr w:type="gramEnd"/>
      <w:r w:rsidRPr="001B0C6B">
        <w:rPr>
          <w:rFonts w:ascii="Calibri" w:hAnsi="Calibri" w:cs="Calibri"/>
        </w:rPr>
        <w:t xml:space="preserve"> does not affect the resolution of the domain name or the renewal of the domain name.”</w:t>
      </w:r>
    </w:p>
  </w:footnote>
  <w:footnote w:id="27">
    <w:p w14:paraId="68F1C7E2" w14:textId="4F83148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See UDRP, Paragraph 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7703A039" w:rsidR="00804C20" w:rsidRPr="001B0C6B" w:rsidRDefault="00804C20"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r w:rsidR="001B0C6B">
      <w:rPr>
        <w:rFonts w:asciiTheme="majorHAnsi" w:hAnsiTheme="majorHAnsi" w:cstheme="majorHAnsi"/>
        <w:noProof/>
      </w:rPr>
      <w:t>8 June 2022</w:t>
    </w:r>
    <w:r w:rsidRPr="001B0C6B">
      <w:rPr>
        <w:rFonts w:asciiTheme="majorHAnsi" w:hAnsiTheme="majorHAnsi" w:cstheme="majorHAnsi"/>
      </w:rP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057854D7"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1B0C6B">
      <w:rPr>
        <w:noProof/>
      </w:rPr>
      <w:t>8 June 2022</w:t>
    </w:r>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7FDB" w14:textId="14256CB8" w:rsidR="00897A33" w:rsidRPr="001B0C6B" w:rsidRDefault="00897A33"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0336" behindDoc="0" locked="0" layoutInCell="1" allowOverlap="1" wp14:anchorId="731E610B" wp14:editId="6F7DE43F">
              <wp:simplePos x="0" y="0"/>
              <wp:positionH relativeFrom="column">
                <wp:posOffset>4131310</wp:posOffset>
              </wp:positionH>
              <wp:positionV relativeFrom="paragraph">
                <wp:posOffset>266700</wp:posOffset>
              </wp:positionV>
              <wp:extent cx="1390015" cy="0"/>
              <wp:effectExtent l="0" t="0" r="32385" b="2540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C56F14" id="Straight Connector 1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89312" behindDoc="0" locked="0" layoutInCell="1" allowOverlap="1" wp14:anchorId="4BAA2B77" wp14:editId="5A524155">
              <wp:simplePos x="0" y="0"/>
              <wp:positionH relativeFrom="column">
                <wp:posOffset>-45720</wp:posOffset>
              </wp:positionH>
              <wp:positionV relativeFrom="paragraph">
                <wp:posOffset>266065</wp:posOffset>
              </wp:positionV>
              <wp:extent cx="4177030" cy="0"/>
              <wp:effectExtent l="0" t="0" r="1397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6758E0" id="Straight Connector 22" o:spid="_x0000_s1026" style="position:absolute;z-index:25178931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r w:rsidR="001B0C6B">
      <w:rPr>
        <w:rFonts w:asciiTheme="majorHAnsi" w:hAnsiTheme="majorHAnsi" w:cstheme="majorHAnsi"/>
        <w:noProof/>
      </w:rPr>
      <w:t>8 June 2022</w:t>
    </w:r>
    <w:r w:rsidRPr="001B0C6B">
      <w:rPr>
        <w:rFonts w:asciiTheme="majorHAnsi" w:hAnsiTheme="majorHAnsi" w:cstheme="majorHAnsi"/>
      </w:rPr>
      <w:fldChar w:fldCharType="end"/>
    </w:r>
  </w:p>
  <w:p w14:paraId="48A9E04E" w14:textId="77777777" w:rsidR="00897A33" w:rsidRPr="00804C20" w:rsidRDefault="00897A33" w:rsidP="0080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619" w14:textId="47FB101E" w:rsidR="00897A33" w:rsidRPr="007B7451" w:rsidRDefault="00897A33" w:rsidP="000B7FAB">
    <w:pPr>
      <w:tabs>
        <w:tab w:val="center" w:pos="7800"/>
      </w:tabs>
    </w:pPr>
    <w:r>
      <w:rPr>
        <w:noProof/>
      </w:rPr>
      <mc:AlternateContent>
        <mc:Choice Requires="wps">
          <w:drawing>
            <wp:anchor distT="0" distB="0" distL="114300" distR="114300" simplePos="0" relativeHeight="251788288" behindDoc="0" locked="0" layoutInCell="1" allowOverlap="1" wp14:anchorId="7B370592" wp14:editId="08DDADC0">
              <wp:simplePos x="0" y="0"/>
              <wp:positionH relativeFrom="column">
                <wp:posOffset>4131310</wp:posOffset>
              </wp:positionH>
              <wp:positionV relativeFrom="paragraph">
                <wp:posOffset>266700</wp:posOffset>
              </wp:positionV>
              <wp:extent cx="1390015" cy="0"/>
              <wp:effectExtent l="0" t="0" r="32385" b="25400"/>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0CE0B8" id="Straight Connector 1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87264" behindDoc="0" locked="0" layoutInCell="1" allowOverlap="1" wp14:anchorId="3B5F4E08" wp14:editId="524153FC">
              <wp:simplePos x="0" y="0"/>
              <wp:positionH relativeFrom="column">
                <wp:posOffset>-45720</wp:posOffset>
              </wp:positionH>
              <wp:positionV relativeFrom="paragraph">
                <wp:posOffset>266065</wp:posOffset>
              </wp:positionV>
              <wp:extent cx="4177030" cy="0"/>
              <wp:effectExtent l="0" t="0" r="13970"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D11A35" id="Straight Connector 26" o:spid="_x0000_s1026" style="position:absolute;z-index:25178726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1B0C6B">
      <w:rPr>
        <w:noProof/>
      </w:rPr>
      <w:t>8 June 2022</w:t>
    </w:r>
    <w:r>
      <w:fldChar w:fldCharType="end"/>
    </w:r>
  </w:p>
  <w:p w14:paraId="07645DB4" w14:textId="77777777" w:rsidR="00897A33" w:rsidRDefault="00897A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63C1AB56"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1B0C6B">
      <w:rPr>
        <w:noProof/>
      </w:rPr>
      <w:t>8 June 2022</w:t>
    </w:r>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0"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4351870">
    <w:abstractNumId w:val="10"/>
  </w:num>
  <w:num w:numId="2" w16cid:durableId="1306206575">
    <w:abstractNumId w:val="21"/>
  </w:num>
  <w:num w:numId="3" w16cid:durableId="1500584316">
    <w:abstractNumId w:val="19"/>
  </w:num>
  <w:num w:numId="4" w16cid:durableId="2055275738">
    <w:abstractNumId w:val="16"/>
  </w:num>
  <w:num w:numId="5" w16cid:durableId="1027946274">
    <w:abstractNumId w:val="4"/>
  </w:num>
  <w:num w:numId="6" w16cid:durableId="2051105549">
    <w:abstractNumId w:val="16"/>
    <w:lvlOverride w:ilvl="0">
      <w:startOverride w:val="1"/>
    </w:lvlOverride>
  </w:num>
  <w:num w:numId="7" w16cid:durableId="123234201">
    <w:abstractNumId w:val="16"/>
    <w:lvlOverride w:ilvl="0">
      <w:startOverride w:val="1"/>
    </w:lvlOverride>
  </w:num>
  <w:num w:numId="8" w16cid:durableId="1649047724">
    <w:abstractNumId w:val="16"/>
    <w:lvlOverride w:ilvl="0">
      <w:startOverride w:val="1"/>
    </w:lvlOverride>
  </w:num>
  <w:num w:numId="9" w16cid:durableId="1779449527">
    <w:abstractNumId w:val="16"/>
    <w:lvlOverride w:ilvl="0">
      <w:startOverride w:val="1"/>
    </w:lvlOverride>
  </w:num>
  <w:num w:numId="10" w16cid:durableId="484052774">
    <w:abstractNumId w:val="16"/>
    <w:lvlOverride w:ilvl="0">
      <w:startOverride w:val="1"/>
    </w:lvlOverride>
  </w:num>
  <w:num w:numId="11" w16cid:durableId="26610048">
    <w:abstractNumId w:val="6"/>
  </w:num>
  <w:num w:numId="12" w16cid:durableId="1990859546">
    <w:abstractNumId w:val="3"/>
  </w:num>
  <w:num w:numId="13" w16cid:durableId="437800986">
    <w:abstractNumId w:val="2"/>
  </w:num>
  <w:num w:numId="14" w16cid:durableId="1029070470">
    <w:abstractNumId w:val="16"/>
    <w:lvlOverride w:ilvl="0">
      <w:startOverride w:val="1"/>
    </w:lvlOverride>
  </w:num>
  <w:num w:numId="15" w16cid:durableId="1554459008">
    <w:abstractNumId w:val="16"/>
    <w:lvlOverride w:ilvl="0">
      <w:startOverride w:val="1"/>
    </w:lvlOverride>
  </w:num>
  <w:num w:numId="16" w16cid:durableId="1535852160">
    <w:abstractNumId w:val="16"/>
    <w:lvlOverride w:ilvl="0">
      <w:startOverride w:val="1"/>
    </w:lvlOverride>
  </w:num>
  <w:num w:numId="17" w16cid:durableId="1646469578">
    <w:abstractNumId w:val="20"/>
  </w:num>
  <w:num w:numId="18" w16cid:durableId="1930196397">
    <w:abstractNumId w:val="0"/>
  </w:num>
  <w:num w:numId="19" w16cid:durableId="741834321">
    <w:abstractNumId w:val="17"/>
  </w:num>
  <w:num w:numId="20" w16cid:durableId="494952884">
    <w:abstractNumId w:val="5"/>
    <w:lvlOverride w:ilvl="0">
      <w:lvl w:ilvl="0">
        <w:numFmt w:val="lowerLetter"/>
        <w:lvlText w:val="%1."/>
        <w:lvlJc w:val="left"/>
      </w:lvl>
    </w:lvlOverride>
  </w:num>
  <w:num w:numId="21" w16cid:durableId="166559324">
    <w:abstractNumId w:val="11"/>
  </w:num>
  <w:num w:numId="22" w16cid:durableId="757600771">
    <w:abstractNumId w:val="27"/>
  </w:num>
  <w:num w:numId="23" w16cid:durableId="2051873769">
    <w:abstractNumId w:val="9"/>
  </w:num>
  <w:num w:numId="24" w16cid:durableId="1260212440">
    <w:abstractNumId w:val="8"/>
  </w:num>
  <w:num w:numId="25" w16cid:durableId="819068">
    <w:abstractNumId w:val="13"/>
  </w:num>
  <w:num w:numId="26" w16cid:durableId="1120607886">
    <w:abstractNumId w:val="18"/>
  </w:num>
  <w:num w:numId="27" w16cid:durableId="301615634">
    <w:abstractNumId w:val="24"/>
  </w:num>
  <w:num w:numId="28" w16cid:durableId="700059389">
    <w:abstractNumId w:val="15"/>
  </w:num>
  <w:num w:numId="29" w16cid:durableId="85001100">
    <w:abstractNumId w:val="12"/>
  </w:num>
  <w:num w:numId="30" w16cid:durableId="1810129914">
    <w:abstractNumId w:val="26"/>
  </w:num>
  <w:num w:numId="31" w16cid:durableId="63991331">
    <w:abstractNumId w:val="23"/>
  </w:num>
  <w:num w:numId="32" w16cid:durableId="2123184138">
    <w:abstractNumId w:val="22"/>
  </w:num>
  <w:num w:numId="33" w16cid:durableId="1173300648">
    <w:abstractNumId w:val="7"/>
  </w:num>
  <w:num w:numId="34" w16cid:durableId="1149596647">
    <w:abstractNumId w:val="1"/>
  </w:num>
  <w:num w:numId="35" w16cid:durableId="818109497">
    <w:abstractNumId w:val="14"/>
  </w:num>
  <w:num w:numId="36" w16cid:durableId="84274078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5419"/>
    <w:rsid w:val="000162AE"/>
    <w:rsid w:val="0003340A"/>
    <w:rsid w:val="000349B0"/>
    <w:rsid w:val="000367B4"/>
    <w:rsid w:val="000441DF"/>
    <w:rsid w:val="00046C9F"/>
    <w:rsid w:val="00047E6A"/>
    <w:rsid w:val="00053B91"/>
    <w:rsid w:val="00057B37"/>
    <w:rsid w:val="00063289"/>
    <w:rsid w:val="00080C90"/>
    <w:rsid w:val="00080EDF"/>
    <w:rsid w:val="00084523"/>
    <w:rsid w:val="000919C4"/>
    <w:rsid w:val="00093983"/>
    <w:rsid w:val="00094F55"/>
    <w:rsid w:val="00097EC2"/>
    <w:rsid w:val="000A1B9C"/>
    <w:rsid w:val="000A6E00"/>
    <w:rsid w:val="000A7253"/>
    <w:rsid w:val="000B477C"/>
    <w:rsid w:val="000B7FAB"/>
    <w:rsid w:val="000C0391"/>
    <w:rsid w:val="000C23D3"/>
    <w:rsid w:val="000C2CD3"/>
    <w:rsid w:val="000C4629"/>
    <w:rsid w:val="000C75B3"/>
    <w:rsid w:val="000D2C3A"/>
    <w:rsid w:val="000D2EA8"/>
    <w:rsid w:val="000D3F3D"/>
    <w:rsid w:val="000E4E05"/>
    <w:rsid w:val="000F0F9D"/>
    <w:rsid w:val="000F4B93"/>
    <w:rsid w:val="000F50D3"/>
    <w:rsid w:val="000F55A4"/>
    <w:rsid w:val="000F7A83"/>
    <w:rsid w:val="00102600"/>
    <w:rsid w:val="00112AF1"/>
    <w:rsid w:val="001243F1"/>
    <w:rsid w:val="00124409"/>
    <w:rsid w:val="00127E6B"/>
    <w:rsid w:val="001357FD"/>
    <w:rsid w:val="00135EB4"/>
    <w:rsid w:val="001402CC"/>
    <w:rsid w:val="001452D0"/>
    <w:rsid w:val="0014573D"/>
    <w:rsid w:val="001519C5"/>
    <w:rsid w:val="00154376"/>
    <w:rsid w:val="00160E93"/>
    <w:rsid w:val="0016397B"/>
    <w:rsid w:val="00163BAF"/>
    <w:rsid w:val="00164B74"/>
    <w:rsid w:val="001668C9"/>
    <w:rsid w:val="001907AB"/>
    <w:rsid w:val="001909DC"/>
    <w:rsid w:val="00193C42"/>
    <w:rsid w:val="00196020"/>
    <w:rsid w:val="001A3B37"/>
    <w:rsid w:val="001A6E43"/>
    <w:rsid w:val="001A7364"/>
    <w:rsid w:val="001B0C6B"/>
    <w:rsid w:val="001C5E7C"/>
    <w:rsid w:val="001C6378"/>
    <w:rsid w:val="001C724D"/>
    <w:rsid w:val="001D61DA"/>
    <w:rsid w:val="001D6D3E"/>
    <w:rsid w:val="001F2D74"/>
    <w:rsid w:val="00203967"/>
    <w:rsid w:val="002145FA"/>
    <w:rsid w:val="00220C95"/>
    <w:rsid w:val="002269EC"/>
    <w:rsid w:val="00227FE9"/>
    <w:rsid w:val="00234A02"/>
    <w:rsid w:val="00245383"/>
    <w:rsid w:val="00245697"/>
    <w:rsid w:val="00247464"/>
    <w:rsid w:val="00256F17"/>
    <w:rsid w:val="00261F20"/>
    <w:rsid w:val="002647D7"/>
    <w:rsid w:val="00265504"/>
    <w:rsid w:val="00274DD8"/>
    <w:rsid w:val="0028083D"/>
    <w:rsid w:val="0028545E"/>
    <w:rsid w:val="0029430A"/>
    <w:rsid w:val="00295012"/>
    <w:rsid w:val="002B144B"/>
    <w:rsid w:val="002B14B7"/>
    <w:rsid w:val="002B6876"/>
    <w:rsid w:val="002C0DCC"/>
    <w:rsid w:val="002C11B7"/>
    <w:rsid w:val="002C4A83"/>
    <w:rsid w:val="002C510C"/>
    <w:rsid w:val="002E04DE"/>
    <w:rsid w:val="002E1315"/>
    <w:rsid w:val="002E2402"/>
    <w:rsid w:val="002E2759"/>
    <w:rsid w:val="002F004E"/>
    <w:rsid w:val="002F0F90"/>
    <w:rsid w:val="00305B79"/>
    <w:rsid w:val="003061D0"/>
    <w:rsid w:val="0031288E"/>
    <w:rsid w:val="00313B4B"/>
    <w:rsid w:val="00320CF3"/>
    <w:rsid w:val="00322430"/>
    <w:rsid w:val="00326E24"/>
    <w:rsid w:val="00326FA3"/>
    <w:rsid w:val="00334C04"/>
    <w:rsid w:val="00340022"/>
    <w:rsid w:val="00343C22"/>
    <w:rsid w:val="00344834"/>
    <w:rsid w:val="0034730F"/>
    <w:rsid w:val="003514A8"/>
    <w:rsid w:val="003535E1"/>
    <w:rsid w:val="00362984"/>
    <w:rsid w:val="00365E82"/>
    <w:rsid w:val="00372FA8"/>
    <w:rsid w:val="00374D23"/>
    <w:rsid w:val="003756F6"/>
    <w:rsid w:val="00377381"/>
    <w:rsid w:val="003819D1"/>
    <w:rsid w:val="00392078"/>
    <w:rsid w:val="003946DC"/>
    <w:rsid w:val="00395455"/>
    <w:rsid w:val="003A60B7"/>
    <w:rsid w:val="003B1C55"/>
    <w:rsid w:val="003C6B68"/>
    <w:rsid w:val="003D05AB"/>
    <w:rsid w:val="003E15BC"/>
    <w:rsid w:val="003E5E3F"/>
    <w:rsid w:val="00400933"/>
    <w:rsid w:val="004028CD"/>
    <w:rsid w:val="00402C50"/>
    <w:rsid w:val="00403CC9"/>
    <w:rsid w:val="004319A9"/>
    <w:rsid w:val="004351E9"/>
    <w:rsid w:val="00437073"/>
    <w:rsid w:val="0044417E"/>
    <w:rsid w:val="00445C40"/>
    <w:rsid w:val="004478A3"/>
    <w:rsid w:val="00450A8A"/>
    <w:rsid w:val="00453090"/>
    <w:rsid w:val="00462B36"/>
    <w:rsid w:val="00463AB0"/>
    <w:rsid w:val="00475AC9"/>
    <w:rsid w:val="004762E2"/>
    <w:rsid w:val="004801A4"/>
    <w:rsid w:val="00480EA1"/>
    <w:rsid w:val="004938B3"/>
    <w:rsid w:val="0049711F"/>
    <w:rsid w:val="004A05F8"/>
    <w:rsid w:val="004A2920"/>
    <w:rsid w:val="004B63F0"/>
    <w:rsid w:val="004B715C"/>
    <w:rsid w:val="004C0544"/>
    <w:rsid w:val="004C0B81"/>
    <w:rsid w:val="004C18E6"/>
    <w:rsid w:val="004C3DE0"/>
    <w:rsid w:val="004C3FF5"/>
    <w:rsid w:val="004D585D"/>
    <w:rsid w:val="004E05F5"/>
    <w:rsid w:val="004E3178"/>
    <w:rsid w:val="004E5FD1"/>
    <w:rsid w:val="004F1BFE"/>
    <w:rsid w:val="0050188E"/>
    <w:rsid w:val="005027D7"/>
    <w:rsid w:val="00505218"/>
    <w:rsid w:val="00507EA6"/>
    <w:rsid w:val="00511602"/>
    <w:rsid w:val="00513C38"/>
    <w:rsid w:val="005219F2"/>
    <w:rsid w:val="0053109B"/>
    <w:rsid w:val="0053186E"/>
    <w:rsid w:val="00532D36"/>
    <w:rsid w:val="00542E3C"/>
    <w:rsid w:val="005470FD"/>
    <w:rsid w:val="005478FC"/>
    <w:rsid w:val="00553AB8"/>
    <w:rsid w:val="00557846"/>
    <w:rsid w:val="00561A92"/>
    <w:rsid w:val="00563290"/>
    <w:rsid w:val="00564698"/>
    <w:rsid w:val="00564F56"/>
    <w:rsid w:val="00571421"/>
    <w:rsid w:val="0057629F"/>
    <w:rsid w:val="005771CF"/>
    <w:rsid w:val="0058103F"/>
    <w:rsid w:val="00586295"/>
    <w:rsid w:val="005864AC"/>
    <w:rsid w:val="00590847"/>
    <w:rsid w:val="005A281A"/>
    <w:rsid w:val="005A3C63"/>
    <w:rsid w:val="005B049C"/>
    <w:rsid w:val="005B0AA7"/>
    <w:rsid w:val="005B0C35"/>
    <w:rsid w:val="005B11DF"/>
    <w:rsid w:val="005B6FC2"/>
    <w:rsid w:val="005D37BC"/>
    <w:rsid w:val="005E46EF"/>
    <w:rsid w:val="005E5071"/>
    <w:rsid w:val="005F2CCF"/>
    <w:rsid w:val="005F32F8"/>
    <w:rsid w:val="005F38E6"/>
    <w:rsid w:val="005F6B10"/>
    <w:rsid w:val="00607AFB"/>
    <w:rsid w:val="006141B4"/>
    <w:rsid w:val="00614FB7"/>
    <w:rsid w:val="00620BBF"/>
    <w:rsid w:val="006302B5"/>
    <w:rsid w:val="006332ED"/>
    <w:rsid w:val="006458E7"/>
    <w:rsid w:val="00645970"/>
    <w:rsid w:val="006500AD"/>
    <w:rsid w:val="00650F05"/>
    <w:rsid w:val="00655702"/>
    <w:rsid w:val="00660D45"/>
    <w:rsid w:val="006620C4"/>
    <w:rsid w:val="006731B0"/>
    <w:rsid w:val="00683609"/>
    <w:rsid w:val="006860F8"/>
    <w:rsid w:val="006953B5"/>
    <w:rsid w:val="006B2D58"/>
    <w:rsid w:val="006B70C6"/>
    <w:rsid w:val="006C1B17"/>
    <w:rsid w:val="006C41CA"/>
    <w:rsid w:val="006C73E2"/>
    <w:rsid w:val="006D2697"/>
    <w:rsid w:val="006E449C"/>
    <w:rsid w:val="006F1DD9"/>
    <w:rsid w:val="006F22E8"/>
    <w:rsid w:val="006F23F2"/>
    <w:rsid w:val="006F3163"/>
    <w:rsid w:val="006F364F"/>
    <w:rsid w:val="00700AFF"/>
    <w:rsid w:val="00702397"/>
    <w:rsid w:val="0070785E"/>
    <w:rsid w:val="0071153E"/>
    <w:rsid w:val="00713579"/>
    <w:rsid w:val="00722B24"/>
    <w:rsid w:val="00723098"/>
    <w:rsid w:val="00733F48"/>
    <w:rsid w:val="007413E2"/>
    <w:rsid w:val="007502FB"/>
    <w:rsid w:val="0076032C"/>
    <w:rsid w:val="0077663C"/>
    <w:rsid w:val="007835A0"/>
    <w:rsid w:val="00795E91"/>
    <w:rsid w:val="00797141"/>
    <w:rsid w:val="007A02EF"/>
    <w:rsid w:val="007A0A46"/>
    <w:rsid w:val="007A6FFA"/>
    <w:rsid w:val="007B3813"/>
    <w:rsid w:val="007B5CB8"/>
    <w:rsid w:val="007B7451"/>
    <w:rsid w:val="007C66F3"/>
    <w:rsid w:val="007E0B62"/>
    <w:rsid w:val="007E0C75"/>
    <w:rsid w:val="007E1CE2"/>
    <w:rsid w:val="007E3AF9"/>
    <w:rsid w:val="007E7631"/>
    <w:rsid w:val="007F7CE1"/>
    <w:rsid w:val="008008CB"/>
    <w:rsid w:val="00804110"/>
    <w:rsid w:val="00804C20"/>
    <w:rsid w:val="00805C43"/>
    <w:rsid w:val="0080624D"/>
    <w:rsid w:val="0081344A"/>
    <w:rsid w:val="00816CC6"/>
    <w:rsid w:val="0082321A"/>
    <w:rsid w:val="0082546E"/>
    <w:rsid w:val="00842E2E"/>
    <w:rsid w:val="00845AD0"/>
    <w:rsid w:val="00846625"/>
    <w:rsid w:val="008639E9"/>
    <w:rsid w:val="00864447"/>
    <w:rsid w:val="0086734D"/>
    <w:rsid w:val="00892464"/>
    <w:rsid w:val="008924EA"/>
    <w:rsid w:val="00897A33"/>
    <w:rsid w:val="008A4D46"/>
    <w:rsid w:val="008A5901"/>
    <w:rsid w:val="008B6B1C"/>
    <w:rsid w:val="008C165C"/>
    <w:rsid w:val="008C2D59"/>
    <w:rsid w:val="008C5C31"/>
    <w:rsid w:val="008C6450"/>
    <w:rsid w:val="008F32E7"/>
    <w:rsid w:val="008F37D8"/>
    <w:rsid w:val="00900D67"/>
    <w:rsid w:val="00905FB8"/>
    <w:rsid w:val="00912814"/>
    <w:rsid w:val="00914F33"/>
    <w:rsid w:val="00920BCA"/>
    <w:rsid w:val="009316E6"/>
    <w:rsid w:val="00932855"/>
    <w:rsid w:val="009422E5"/>
    <w:rsid w:val="0095569B"/>
    <w:rsid w:val="00955F30"/>
    <w:rsid w:val="0095750F"/>
    <w:rsid w:val="00957767"/>
    <w:rsid w:val="00974948"/>
    <w:rsid w:val="00981112"/>
    <w:rsid w:val="00981899"/>
    <w:rsid w:val="00986195"/>
    <w:rsid w:val="009A0041"/>
    <w:rsid w:val="009A4774"/>
    <w:rsid w:val="009A6466"/>
    <w:rsid w:val="009A7E11"/>
    <w:rsid w:val="009B6108"/>
    <w:rsid w:val="009B78AB"/>
    <w:rsid w:val="009C3078"/>
    <w:rsid w:val="009D0156"/>
    <w:rsid w:val="009E0FBF"/>
    <w:rsid w:val="009F245A"/>
    <w:rsid w:val="00A2580B"/>
    <w:rsid w:val="00A30639"/>
    <w:rsid w:val="00A323FD"/>
    <w:rsid w:val="00A34332"/>
    <w:rsid w:val="00A42408"/>
    <w:rsid w:val="00A46437"/>
    <w:rsid w:val="00A46923"/>
    <w:rsid w:val="00A55835"/>
    <w:rsid w:val="00A629AC"/>
    <w:rsid w:val="00A63B9C"/>
    <w:rsid w:val="00A7137F"/>
    <w:rsid w:val="00A83E13"/>
    <w:rsid w:val="00A85B49"/>
    <w:rsid w:val="00A85F66"/>
    <w:rsid w:val="00A90B05"/>
    <w:rsid w:val="00A93A66"/>
    <w:rsid w:val="00A95ED1"/>
    <w:rsid w:val="00AA553D"/>
    <w:rsid w:val="00AA707A"/>
    <w:rsid w:val="00AB512F"/>
    <w:rsid w:val="00AD0780"/>
    <w:rsid w:val="00AD46E8"/>
    <w:rsid w:val="00AE5EF0"/>
    <w:rsid w:val="00AE6653"/>
    <w:rsid w:val="00AE7843"/>
    <w:rsid w:val="00AF3D0D"/>
    <w:rsid w:val="00AF45C3"/>
    <w:rsid w:val="00AF54E2"/>
    <w:rsid w:val="00AF7735"/>
    <w:rsid w:val="00AF7782"/>
    <w:rsid w:val="00B04234"/>
    <w:rsid w:val="00B11C5C"/>
    <w:rsid w:val="00B15E25"/>
    <w:rsid w:val="00B20038"/>
    <w:rsid w:val="00B20D1A"/>
    <w:rsid w:val="00B353FF"/>
    <w:rsid w:val="00B42C5A"/>
    <w:rsid w:val="00B469B1"/>
    <w:rsid w:val="00B52940"/>
    <w:rsid w:val="00B755E4"/>
    <w:rsid w:val="00B772B6"/>
    <w:rsid w:val="00B9102F"/>
    <w:rsid w:val="00B9293B"/>
    <w:rsid w:val="00B95D63"/>
    <w:rsid w:val="00B96F38"/>
    <w:rsid w:val="00BB3635"/>
    <w:rsid w:val="00BE41D3"/>
    <w:rsid w:val="00BE44D6"/>
    <w:rsid w:val="00BE6522"/>
    <w:rsid w:val="00BE7899"/>
    <w:rsid w:val="00C00DD6"/>
    <w:rsid w:val="00C05D7F"/>
    <w:rsid w:val="00C12578"/>
    <w:rsid w:val="00C16489"/>
    <w:rsid w:val="00C20E94"/>
    <w:rsid w:val="00C31597"/>
    <w:rsid w:val="00C32BC2"/>
    <w:rsid w:val="00C33C8F"/>
    <w:rsid w:val="00C340A7"/>
    <w:rsid w:val="00C37797"/>
    <w:rsid w:val="00C417E8"/>
    <w:rsid w:val="00C45720"/>
    <w:rsid w:val="00C46F55"/>
    <w:rsid w:val="00C47DE8"/>
    <w:rsid w:val="00C5178C"/>
    <w:rsid w:val="00C5443C"/>
    <w:rsid w:val="00C730F6"/>
    <w:rsid w:val="00C7485B"/>
    <w:rsid w:val="00C80496"/>
    <w:rsid w:val="00C93CFC"/>
    <w:rsid w:val="00CA0E16"/>
    <w:rsid w:val="00CB0A4E"/>
    <w:rsid w:val="00CB19BE"/>
    <w:rsid w:val="00CE1C76"/>
    <w:rsid w:val="00CE33D3"/>
    <w:rsid w:val="00CF02B0"/>
    <w:rsid w:val="00CF22A6"/>
    <w:rsid w:val="00CF567F"/>
    <w:rsid w:val="00CF604F"/>
    <w:rsid w:val="00D20DC9"/>
    <w:rsid w:val="00D226C9"/>
    <w:rsid w:val="00D258E3"/>
    <w:rsid w:val="00D27DEF"/>
    <w:rsid w:val="00D30A30"/>
    <w:rsid w:val="00D40C4C"/>
    <w:rsid w:val="00D4457E"/>
    <w:rsid w:val="00D50FC6"/>
    <w:rsid w:val="00D53444"/>
    <w:rsid w:val="00D70C17"/>
    <w:rsid w:val="00D775AB"/>
    <w:rsid w:val="00D86DD1"/>
    <w:rsid w:val="00D91AF3"/>
    <w:rsid w:val="00D9754A"/>
    <w:rsid w:val="00D976CB"/>
    <w:rsid w:val="00DB603E"/>
    <w:rsid w:val="00DC054B"/>
    <w:rsid w:val="00DC37ED"/>
    <w:rsid w:val="00DC7232"/>
    <w:rsid w:val="00DD2060"/>
    <w:rsid w:val="00DD39AD"/>
    <w:rsid w:val="00DF22A3"/>
    <w:rsid w:val="00E06DEA"/>
    <w:rsid w:val="00E10C97"/>
    <w:rsid w:val="00E15362"/>
    <w:rsid w:val="00E17416"/>
    <w:rsid w:val="00E23B15"/>
    <w:rsid w:val="00E25C45"/>
    <w:rsid w:val="00E32A8D"/>
    <w:rsid w:val="00E342A4"/>
    <w:rsid w:val="00E40E9E"/>
    <w:rsid w:val="00E42698"/>
    <w:rsid w:val="00E501B4"/>
    <w:rsid w:val="00E53308"/>
    <w:rsid w:val="00E55DBB"/>
    <w:rsid w:val="00E75DF3"/>
    <w:rsid w:val="00E765C1"/>
    <w:rsid w:val="00E773A3"/>
    <w:rsid w:val="00E86F4D"/>
    <w:rsid w:val="00E90092"/>
    <w:rsid w:val="00E91A9B"/>
    <w:rsid w:val="00E96E47"/>
    <w:rsid w:val="00EA28B1"/>
    <w:rsid w:val="00EB5DF1"/>
    <w:rsid w:val="00EC628E"/>
    <w:rsid w:val="00EC68DC"/>
    <w:rsid w:val="00ED4FE4"/>
    <w:rsid w:val="00EE1BF8"/>
    <w:rsid w:val="00EF0921"/>
    <w:rsid w:val="00EF4EA9"/>
    <w:rsid w:val="00EF7D5B"/>
    <w:rsid w:val="00F100F2"/>
    <w:rsid w:val="00F105BE"/>
    <w:rsid w:val="00F10922"/>
    <w:rsid w:val="00F13404"/>
    <w:rsid w:val="00F135E4"/>
    <w:rsid w:val="00F243D3"/>
    <w:rsid w:val="00F370CE"/>
    <w:rsid w:val="00F4578A"/>
    <w:rsid w:val="00F573B4"/>
    <w:rsid w:val="00F713BD"/>
    <w:rsid w:val="00F7174E"/>
    <w:rsid w:val="00F8396E"/>
    <w:rsid w:val="00F86541"/>
    <w:rsid w:val="00F86B9C"/>
    <w:rsid w:val="00F90529"/>
    <w:rsid w:val="00F96436"/>
    <w:rsid w:val="00FA5E1D"/>
    <w:rsid w:val="00FA7BAC"/>
    <w:rsid w:val="00FB0D3A"/>
    <w:rsid w:val="00FB14F7"/>
    <w:rsid w:val="00FB19D3"/>
    <w:rsid w:val="00FB3302"/>
    <w:rsid w:val="00FC1490"/>
    <w:rsid w:val="00FE28C0"/>
    <w:rsid w:val="00FE76A0"/>
    <w:rsid w:val="00FF02E8"/>
    <w:rsid w:val="00FF0990"/>
    <w:rsid w:val="00FF0A78"/>
    <w:rsid w:val="00FF0DDF"/>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392078"/>
    <w:pPr>
      <w:tabs>
        <w:tab w:val="right" w:pos="8636"/>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4641669">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6356342">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0215">
      <w:bodyDiv w:val="1"/>
      <w:marLeft w:val="0"/>
      <w:marRight w:val="0"/>
      <w:marTop w:val="0"/>
      <w:marBottom w:val="0"/>
      <w:divBdr>
        <w:top w:val="none" w:sz="0" w:space="0" w:color="auto"/>
        <w:left w:val="none" w:sz="0" w:space="0" w:color="auto"/>
        <w:bottom w:val="none" w:sz="0" w:space="0" w:color="auto"/>
        <w:right w:val="none" w:sz="0" w:space="0" w:color="auto"/>
      </w:divBdr>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4085787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18261240">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08701561">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44968265">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790">
      <w:bodyDiv w:val="1"/>
      <w:marLeft w:val="0"/>
      <w:marRight w:val="0"/>
      <w:marTop w:val="0"/>
      <w:marBottom w:val="0"/>
      <w:divBdr>
        <w:top w:val="none" w:sz="0" w:space="0" w:color="auto"/>
        <w:left w:val="none" w:sz="0" w:space="0" w:color="auto"/>
        <w:bottom w:val="none" w:sz="0" w:space="0" w:color="auto"/>
        <w:right w:val="none" w:sz="0" w:space="0" w:color="auto"/>
      </w:divBdr>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9784">
      <w:bodyDiv w:val="1"/>
      <w:marLeft w:val="0"/>
      <w:marRight w:val="0"/>
      <w:marTop w:val="0"/>
      <w:marBottom w:val="0"/>
      <w:divBdr>
        <w:top w:val="none" w:sz="0" w:space="0" w:color="auto"/>
        <w:left w:val="none" w:sz="0" w:space="0" w:color="auto"/>
        <w:bottom w:val="none" w:sz="0" w:space="0" w:color="auto"/>
        <w:right w:val="none" w:sz="0" w:space="0" w:color="auto"/>
      </w:divBdr>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56030541">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0920588">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0666361">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tIT8CQ" TargetMode="External"/><Relationship Id="rId21" Type="http://schemas.openxmlformats.org/officeDocument/2006/relationships/hyperlink" Target="https://71.schedule.icann.org/" TargetMode="External"/><Relationship Id="rId42" Type="http://schemas.openxmlformats.org/officeDocument/2006/relationships/hyperlink" Target="https://gnso.icann.org/sites/default/files/file/field-file-attach/final-issue-report-pdp-transfer-policy-review-12jan21-en.pdf" TargetMode="External"/><Relationship Id="rId47" Type="http://schemas.openxmlformats.org/officeDocument/2006/relationships/hyperlink" Target="https://mm.icann.org/pipermail/comments-irtp-status-14nov18/attachments/20190107/1b8606b2/WIPOCentercommentsonIRTPpolicystatusreport-0001.pdf" TargetMode="External"/><Relationship Id="rId63" Type="http://schemas.openxmlformats.org/officeDocument/2006/relationships/hyperlink" Target="https://community.icann.org/x/squjBg" TargetMode="External"/><Relationship Id="rId68" Type="http://schemas.openxmlformats.org/officeDocument/2006/relationships/hyperlink" Target="https://community.icann.org/x/Gb-hAg" TargetMode="External"/><Relationship Id="rId16" Type="http://schemas.openxmlformats.org/officeDocument/2006/relationships/footer" Target="footer3.xml"/><Relationship Id="rId11" Type="http://schemas.openxmlformats.org/officeDocument/2006/relationships/hyperlink" Target="https://gnso.icann.org/en/council/resolutions/2020-current" TargetMode="External"/><Relationship Id="rId32" Type="http://schemas.openxmlformats.org/officeDocument/2006/relationships/footer" Target="footer6.xml"/><Relationship Id="rId37" Type="http://schemas.openxmlformats.org/officeDocument/2006/relationships/hyperlink" Target="https://gnso.icann.org/sites/default/files/file/field-file-attach/final-issue-report-pdp-transfer-policy-review-12jan21-en.pdf" TargetMode="External"/><Relationship Id="rId53" Type="http://schemas.openxmlformats.org/officeDocument/2006/relationships/hyperlink" Target="https://gnso.icann.org/en/council/resolutions/2020-current" TargetMode="External"/><Relationship Id="rId58" Type="http://schemas.openxmlformats.org/officeDocument/2006/relationships/hyperlink" Target="https://mm.icann.org/pipermail/gnso-tpr/" TargetMode="External"/><Relationship Id="rId74" Type="http://schemas.openxmlformats.org/officeDocument/2006/relationships/hyperlink" Target="https://gnso.icann.org/sites/default/files/file/field-file-attach/final-issue-report-pdp-transfer-policy-review-12jan21-en.pdf"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community.icann.org/x/FptEB" TargetMode="External"/><Relationship Id="rId19" Type="http://schemas.openxmlformats.org/officeDocument/2006/relationships/hyperlink" Target="https://gnso.icann.org/en/council/resolutions/2020-current" TargetMode="External"/><Relationship Id="rId14" Type="http://schemas.openxmlformats.org/officeDocument/2006/relationships/footer" Target="footer2.xml"/><Relationship Id="rId22" Type="http://schemas.openxmlformats.org/officeDocument/2006/relationships/hyperlink" Target="https://72.schedule.icann.org/" TargetMode="External"/><Relationship Id="rId27" Type="http://schemas.openxmlformats.org/officeDocument/2006/relationships/hyperlink" Target="https://community.icann.org/display/TPRPDP/Working+Documents" TargetMode="External"/><Relationship Id="rId30" Type="http://schemas.openxmlformats.org/officeDocument/2006/relationships/footer" Target="footer5.xml"/><Relationship Id="rId35" Type="http://schemas.openxmlformats.org/officeDocument/2006/relationships/hyperlink" Target="https://community.icann.org/pages/viewpage.action?pageId=164626481" TargetMode="External"/><Relationship Id="rId43" Type="http://schemas.openxmlformats.org/officeDocument/2006/relationships/hyperlink" Target="https://gnso.icann.org/en/council/resolutions/2020-current" TargetMode="External"/><Relationship Id="rId48" Type="http://schemas.openxmlformats.org/officeDocument/2006/relationships/hyperlink" Target="https://www.icann.org/uploads/ckeditor/IRTPPSRRevised_GNSO_Final.pdf" TargetMode="External"/><Relationship Id="rId56" Type="http://schemas.openxmlformats.org/officeDocument/2006/relationships/hyperlink" Target="https://community.icann.org/display/TPRPDP/1.+WG+Meetings" TargetMode="External"/><Relationship Id="rId64" Type="http://schemas.openxmlformats.org/officeDocument/2006/relationships/hyperlink" Target="https://community.icann.org/x/CBQnAw" TargetMode="External"/><Relationship Id="rId69" Type="http://schemas.openxmlformats.org/officeDocument/2006/relationships/hyperlink" Target="https://community.icann.org/x/VIK1CQ" TargetMode="External"/><Relationship Id="rId77"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gnso.icann.org/sites/default/files/file/field-file-attach/transfer-policy-review-scoping-team-06apr20-en.pdf" TargetMode="External"/><Relationship Id="rId72" Type="http://schemas.openxmlformats.org/officeDocument/2006/relationships/hyperlink" Target="https://community.icann.org/x/hhWOAw"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MQDQCQ" TargetMode="External"/><Relationship Id="rId25" Type="http://schemas.openxmlformats.org/officeDocument/2006/relationships/hyperlink" Target="https://community.icann.org/display/TPRPDP" TargetMode="External"/><Relationship Id="rId33" Type="http://schemas.openxmlformats.org/officeDocument/2006/relationships/hyperlink" Target="https://www.icann.org/uploads/ckeditor/IRTPPSRRevised_GNSO_Final.pdf" TargetMode="External"/><Relationship Id="rId38" Type="http://schemas.openxmlformats.org/officeDocument/2006/relationships/hyperlink" Target="https://www.icann.org/resources/pages/foa-registrar-transfer-confirmation-2016-06-01-en" TargetMode="External"/><Relationship Id="rId46" Type="http://schemas.openxmlformats.org/officeDocument/2006/relationships/hyperlink" Target="https://www.icann.org/en/announcements/details/registrar-advisory-concerning-the-inter-registrar-transfer-policy-3-4-2008-en" TargetMode="External"/><Relationship Id="rId59" Type="http://schemas.openxmlformats.org/officeDocument/2006/relationships/image" Target="media/image2.png"/><Relationship Id="rId67" Type="http://schemas.openxmlformats.org/officeDocument/2006/relationships/hyperlink" Target="https://community.icann.org/x/eAKAAw" TargetMode="External"/><Relationship Id="rId20" Type="http://schemas.openxmlformats.org/officeDocument/2006/relationships/hyperlink" Target="https://community.icann.org/display/TPRPDP/Community+Input" TargetMode="External"/><Relationship Id="rId41" Type="http://schemas.openxmlformats.org/officeDocument/2006/relationships/hyperlink" Target="https://docs.google.com/document/d/1clAqB1wBeOf9ZC5RMMxKrrUTs3N2WyaVYTIyVy_ODs4/edit" TargetMode="External"/><Relationship Id="rId54" Type="http://schemas.openxmlformats.org/officeDocument/2006/relationships/hyperlink" Target="https://gnso.icann.org/en/council/resolutions/2020-current" TargetMode="External"/><Relationship Id="rId62" Type="http://schemas.openxmlformats.org/officeDocument/2006/relationships/hyperlink" Target="https://community.icann.org/x/vAE_Cg" TargetMode="External"/><Relationship Id="rId70" Type="http://schemas.openxmlformats.org/officeDocument/2006/relationships/hyperlink" Target="https://community.icann.org/x/gguMAg" TargetMode="External"/><Relationship Id="rId75" Type="http://schemas.openxmlformats.org/officeDocument/2006/relationships/hyperlink" Target="https://www.icann.org/resources/pages/errp-2013-02-28-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73.schedule.icann.org/" TargetMode="External"/><Relationship Id="rId28" Type="http://schemas.openxmlformats.org/officeDocument/2006/relationships/header" Target="header3.xml"/><Relationship Id="rId36" Type="http://schemas.openxmlformats.org/officeDocument/2006/relationships/hyperlink" Target="https://gnso.icann.org/sites/default/files/file/field-file-attach/final-issue-report-pdp-transfer-policy-review-12jan21-en.pdf" TargetMode="External"/><Relationship Id="rId49" Type="http://schemas.openxmlformats.org/officeDocument/2006/relationships/hyperlink" Target="https://www.icann.org/uploads/ckeditor/IRTPPSRRevised_GNSO_Final.pdf" TargetMode="External"/><Relationship Id="rId57" Type="http://schemas.openxmlformats.org/officeDocument/2006/relationships/hyperlink" Target="https://community.icann.org/x/MQDQCQ" TargetMode="External"/><Relationship Id="rId10" Type="http://schemas.openxmlformats.org/officeDocument/2006/relationships/hyperlink" Target="https://gnso.icann.org/en/council/resolutions/2020-current" TargetMode="External"/><Relationship Id="rId31" Type="http://schemas.openxmlformats.org/officeDocument/2006/relationships/header" Target="header4.xml"/><Relationship Id="rId44" Type="http://schemas.openxmlformats.org/officeDocument/2006/relationships/hyperlink" Target="https://gnso.icann.org/sites/default/files/file/field-file-attach/final-issue-report-pdp-transfer-policy-review-12jan21-en.pdf" TargetMode="External"/><Relationship Id="rId52" Type="http://schemas.openxmlformats.org/officeDocument/2006/relationships/hyperlink" Target="https://gnso.icann.org/sites/default/files/file/field-file-attach/final-issue-report-pdp-transfer-policy-review-12jan21-en.pdf" TargetMode="External"/><Relationship Id="rId60" Type="http://schemas.openxmlformats.org/officeDocument/2006/relationships/hyperlink" Target="https://community.icann.org/x/BAHQCQ" TargetMode="External"/><Relationship Id="rId65" Type="http://schemas.openxmlformats.org/officeDocument/2006/relationships/hyperlink" Target="https://community.icann.org/x/aQWlCQ" TargetMode="External"/><Relationship Id="rId73" Type="http://schemas.openxmlformats.org/officeDocument/2006/relationships/hyperlink" Target="https://community.icann.org/display/TPRPDP/Community+Input" TargetMode="Externa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ann.org/resources/pages/gtld-registration-data-specs-en/" TargetMode="External"/><Relationship Id="rId13" Type="http://schemas.openxmlformats.org/officeDocument/2006/relationships/footer" Target="footer1.xml"/><Relationship Id="rId18" Type="http://schemas.openxmlformats.org/officeDocument/2006/relationships/hyperlink" Target="https://gnso.icann.org/sites/default/files/policy/2021/minutes/minutes-gnso-council-22jul21-en.pdf" TargetMode="External"/><Relationship Id="rId39" Type="http://schemas.openxmlformats.org/officeDocument/2006/relationships/hyperlink" Target="https://gnso.icann.org/sites/default/files/file/field-file-attach/final-issue-report-pdp-transfer-policy-review-12jan21-en.pdf" TargetMode="External"/><Relationship Id="rId34" Type="http://schemas.openxmlformats.org/officeDocument/2006/relationships/hyperlink" Target="https://community.icann.org/display/TPRPDP/Metrics" TargetMode="External"/><Relationship Id="rId50" Type="http://schemas.openxmlformats.org/officeDocument/2006/relationships/hyperlink" Target="https://gnso.icann.org/sites/default/files/filefield_46639/irtp-d-final-25sep14-en.pdf" TargetMode="External"/><Relationship Id="rId55" Type="http://schemas.openxmlformats.org/officeDocument/2006/relationships/hyperlink" Target="https://gnso.icann.org/en/council/resolutions/2020-current" TargetMode="External"/><Relationship Id="rId76" Type="http://schemas.openxmlformats.org/officeDocument/2006/relationships/hyperlink" Target="https://community.icann.org/download/attachments/201949309/TPR_P1_Swimlane_20220620.pdf?version=1&amp;modificationDate=1654174841000&amp;api=v2" TargetMode="External"/><Relationship Id="rId7" Type="http://schemas.openxmlformats.org/officeDocument/2006/relationships/endnotes" Target="endnotes.xml"/><Relationship Id="rId71" Type="http://schemas.openxmlformats.org/officeDocument/2006/relationships/hyperlink" Target="https://community.icann.org/x/VAWlCQ" TargetMode="Externa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s://74.schedule.icann.org/" TargetMode="External"/><Relationship Id="rId40" Type="http://schemas.openxmlformats.org/officeDocument/2006/relationships/hyperlink" Target="https://www.icann.org/resources/pages/auth-2013-05-03-en" TargetMode="External"/><Relationship Id="rId45" Type="http://schemas.openxmlformats.org/officeDocument/2006/relationships/hyperlink" Target="http://www.dnso.org/dnso/notes/20030212.NCTransferTF-gaining-and-losing-registrars.html" TargetMode="External"/><Relationship Id="rId66" Type="http://schemas.openxmlformats.org/officeDocument/2006/relationships/hyperlink" Target="https://community.icann.org/x/6oK1C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sites/default/files/file/field-file-attach/final-issue-report-pdp-transfer-policy-review-12jan21-en.pdf" TargetMode="External"/><Relationship Id="rId13" Type="http://schemas.openxmlformats.org/officeDocument/2006/relationships/hyperlink" Target="https://www.icann.org/resources/pages/udrp-rules-2015-03-11-en" TargetMode="External"/><Relationship Id="rId3" Type="http://schemas.openxmlformats.org/officeDocument/2006/relationships/hyperlink" Target="https://gnso.icann.org/en/council/resolutions/2020-current" TargetMode="External"/><Relationship Id="rId7" Type="http://schemas.openxmlformats.org/officeDocument/2006/relationships/hyperlink" Target="https://csrc.nist.gov/publications/detail/fips/180/4/final" TargetMode="External"/><Relationship Id="rId12" Type="http://schemas.openxmlformats.org/officeDocument/2006/relationships/hyperlink" Target="https://www.icann.org/resources/pages/policy-2012-02-25-en" TargetMode="External"/><Relationship Id="rId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hyperlink" Target="https://gnso.icann.org/sites/default/files/filefield_46639/irtp-d-final-25sep14-en.pdf" TargetMode="External"/><Relationship Id="rId6" Type="http://schemas.openxmlformats.org/officeDocument/2006/relationships/hyperlink" Target="https://community.icann.org/download/attachments/181307054/Compliance_Unauthorized%20Transfer%20Data%20Aug%202020-Sept%202021_presented%209%20November%202021.xlsx?version=1&amp;modificationDate=1638449975000&amp;api=v2" TargetMode="External"/><Relationship Id="rId11" Type="http://schemas.openxmlformats.org/officeDocument/2006/relationships/hyperlink" Target="https://www.icann.org/resources/pages/transfer-policy-2016-06-01-en" TargetMode="External"/><Relationship Id="rId5" Type="http://schemas.openxmlformats.org/officeDocument/2006/relationships/hyperlink" Target="https://community.icann.org/download/attachments/181307054/Compliance_Transfer%20Data_presented%2029%20June%202021.xlsx?version=1&amp;modificationDate=1638449700087&amp;api=v2" TargetMode="External"/><Relationship Id="rId10" Type="http://schemas.openxmlformats.org/officeDocument/2006/relationships/hyperlink" Target="https://www.icann.org/resources/pages/udrp-rules-2015-03-11-en" TargetMode="External"/><Relationship Id="rId4" Type="http://schemas.openxmlformats.org/officeDocument/2006/relationships/hyperlink" Target="https://gnso.icann.org/sites/default/files/file/field-file-attach/final-issue-report-pdp-transfer-policy-review-12jan21-en.pdf" TargetMode="External"/><Relationship Id="rId9" Type="http://schemas.openxmlformats.org/officeDocument/2006/relationships/hyperlink" Target="https://www.icann.org/resources/pages/udrp-rules-2015-03-11-en" TargetMode="External"/><Relationship Id="rId14" Type="http://schemas.openxmlformats.org/officeDocument/2006/relationships/hyperlink" Target="https://www.icann.org/resources/pages/udrp-rules-2015-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55</Pages>
  <Words>16451</Words>
  <Characters>93773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2022-06-08T17:51:00Z</dcterms:created>
  <dcterms:modified xsi:type="dcterms:W3CDTF">2022-06-08T18:00:00Z</dcterms:modified>
</cp:coreProperties>
</file>