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22250AF2" w:rsidR="00376E45" w:rsidRPr="006154D1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154D1">
        <w:rPr>
          <w:rFonts w:asciiTheme="minorHAnsi" w:hAnsiTheme="minorHAnsi" w:cstheme="minorHAnsi"/>
          <w:b/>
          <w:bCs/>
          <w:sz w:val="32"/>
          <w:szCs w:val="32"/>
        </w:rPr>
        <w:t>Customer Standing Committee (CSC) Meeting</w:t>
      </w:r>
      <w:r w:rsidR="009A553A" w:rsidRPr="006154D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76061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5E2FDF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33EDF563" w14:textId="65AC89CF" w:rsidR="004B7FB2" w:rsidRPr="006154D1" w:rsidRDefault="00B750B7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BB285F">
        <w:rPr>
          <w:rFonts w:asciiTheme="minorHAnsi" w:hAnsiTheme="minorHAnsi" w:cstheme="minorHAnsi"/>
          <w:sz w:val="22"/>
          <w:szCs w:val="22"/>
        </w:rPr>
        <w:t xml:space="preserve"> Ju</w:t>
      </w:r>
      <w:r>
        <w:rPr>
          <w:rFonts w:asciiTheme="minorHAnsi" w:hAnsiTheme="minorHAnsi" w:cstheme="minorHAnsi"/>
          <w:sz w:val="22"/>
          <w:szCs w:val="22"/>
        </w:rPr>
        <w:t>ly</w:t>
      </w:r>
      <w:r w:rsidR="00BB285F">
        <w:rPr>
          <w:rFonts w:asciiTheme="minorHAnsi" w:hAnsiTheme="minorHAnsi" w:cstheme="minorHAnsi"/>
          <w:sz w:val="22"/>
          <w:szCs w:val="22"/>
        </w:rPr>
        <w:t xml:space="preserve"> </w:t>
      </w:r>
      <w:r w:rsidR="001D6DEA">
        <w:rPr>
          <w:rFonts w:asciiTheme="minorHAnsi" w:hAnsiTheme="minorHAnsi" w:cstheme="minorHAnsi"/>
          <w:sz w:val="22"/>
          <w:szCs w:val="22"/>
        </w:rPr>
        <w:t>2021</w:t>
      </w:r>
      <w:r w:rsidR="006154D1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@ </w:t>
      </w:r>
      <w:r>
        <w:rPr>
          <w:rFonts w:asciiTheme="minorHAnsi" w:hAnsiTheme="minorHAnsi" w:cstheme="minorHAnsi"/>
          <w:sz w:val="22"/>
          <w:szCs w:val="22"/>
        </w:rPr>
        <w:t>18.00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– </w:t>
      </w:r>
      <w:r w:rsidR="00BB285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9</w:t>
      </w:r>
      <w:r w:rsidR="00BB285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BB285F">
        <w:rPr>
          <w:rFonts w:asciiTheme="minorHAnsi" w:hAnsiTheme="minorHAnsi" w:cstheme="minorHAnsi"/>
          <w:sz w:val="22"/>
          <w:szCs w:val="22"/>
        </w:rPr>
        <w:t xml:space="preserve">0 </w:t>
      </w:r>
      <w:r w:rsidR="004B7FB2" w:rsidRPr="006154D1">
        <w:rPr>
          <w:rFonts w:asciiTheme="minorHAnsi" w:hAnsiTheme="minorHAnsi" w:cstheme="minorHAnsi"/>
          <w:sz w:val="22"/>
          <w:szCs w:val="22"/>
        </w:rPr>
        <w:t>UTC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4A1A7A18" w:rsidR="00553646" w:rsidRDefault="00766C40" w:rsidP="006154D1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Draft </w:t>
      </w:r>
      <w:r w:rsidR="0016648D" w:rsidRPr="006154D1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D493E45" w14:textId="77777777" w:rsidR="002777B7" w:rsidRDefault="002777B7" w:rsidP="00992C31">
      <w:pPr>
        <w:pStyle w:val="ListParagraph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58B8763" w14:textId="0F3E6C61" w:rsidR="00AF6368" w:rsidRDefault="0016648D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Welcome</w:t>
      </w:r>
      <w:r w:rsidR="00632093">
        <w:rPr>
          <w:rFonts w:asciiTheme="minorHAnsi" w:hAnsiTheme="minorHAnsi" w:cstheme="minorHAnsi"/>
          <w:b/>
          <w:sz w:val="20"/>
          <w:szCs w:val="20"/>
        </w:rPr>
        <w:t xml:space="preserve"> &amp; Roll Call</w:t>
      </w:r>
    </w:p>
    <w:p w14:paraId="09AC43A7" w14:textId="77777777" w:rsidR="00EE27D9" w:rsidRDefault="00EE27D9" w:rsidP="00004077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6EEDAC1" w14:textId="65197111" w:rsidR="00BB69AC" w:rsidRDefault="0016648D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Action items</w:t>
      </w:r>
    </w:p>
    <w:p w14:paraId="1C137664" w14:textId="77777777" w:rsidR="00976061" w:rsidRPr="00473864" w:rsidRDefault="00976061" w:rsidP="0047386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700"/>
      </w:tblGrid>
      <w:tr w:rsidR="00BB69AC" w:rsidRPr="006154D1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6154D1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/>
                <w:sz w:val="20"/>
                <w:szCs w:val="20"/>
              </w:rPr>
              <w:t>Action Items</w:t>
            </w:r>
          </w:p>
        </w:tc>
      </w:tr>
      <w:tr w:rsidR="008969DE" w:rsidRPr="006154D1" w14:paraId="3C4D8786" w14:textId="77777777" w:rsidTr="008969DE">
        <w:tc>
          <w:tcPr>
            <w:tcW w:w="2122" w:type="dxa"/>
            <w:shd w:val="clear" w:color="auto" w:fill="auto"/>
          </w:tcPr>
          <w:p w14:paraId="39349A6E" w14:textId="311AA83B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="00B750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202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  <w:p w14:paraId="51200D46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5AA161D" w14:textId="762D6BC3" w:rsidR="008969DE" w:rsidRPr="008969DE" w:rsidRDefault="00B750B7" w:rsidP="008969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</w:t>
            </w:r>
            <w:r w:rsidRPr="00D15C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taff to prep new text circulate to chair and vicechair and then circulate to full CSC</w:t>
            </w:r>
          </w:p>
        </w:tc>
        <w:tc>
          <w:tcPr>
            <w:tcW w:w="1700" w:type="dxa"/>
            <w:shd w:val="clear" w:color="auto" w:fill="auto"/>
          </w:tcPr>
          <w:p w14:paraId="791F2EA6" w14:textId="1017F22A" w:rsidR="008969DE" w:rsidRDefault="00466137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8969DE" w:rsidRPr="006154D1" w14:paraId="1287E3D6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2E797E66" w14:textId="39F5F4FD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B750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05F2CCB9" w14:textId="77777777" w:rsidR="008969DE" w:rsidRPr="006154D1" w:rsidRDefault="008969DE" w:rsidP="008969DE">
            <w:pPr>
              <w:ind w:left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4EA49B7D" w14:textId="2E98889A" w:rsidR="008969DE" w:rsidRPr="006154D1" w:rsidRDefault="00B750B7" w:rsidP="008B20D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2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CSC to appoint liaison </w:t>
            </w:r>
            <w:r w:rsidR="001254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</w:t>
            </w:r>
            <w:proofErr w:type="spellStart"/>
            <w:r w:rsidR="001254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Effectivenss</w:t>
            </w:r>
            <w:proofErr w:type="spellEnd"/>
            <w:r w:rsidR="001254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review team </w:t>
            </w:r>
            <w:r w:rsidRPr="00B62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by </w:t>
            </w:r>
            <w:r w:rsidR="001254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September meeting</w:t>
            </w:r>
            <w:r w:rsidRPr="00B62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1BEDF2CA" w14:textId="089ED2A3" w:rsidR="008969DE" w:rsidRPr="006154D1" w:rsidRDefault="00B750B7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Pending</w:t>
            </w:r>
            <w:r w:rsidR="00125485">
              <w:rPr>
                <w:rFonts w:asciiTheme="minorHAnsi" w:hAnsiTheme="minorHAnsi" w:cstheme="minorHAnsi"/>
                <w:b/>
                <w:sz w:val="20"/>
                <w:szCs w:val="20"/>
              </w:rPr>
              <w:t>, see also agenda item 6</w:t>
            </w:r>
          </w:p>
        </w:tc>
      </w:tr>
      <w:tr w:rsidR="008969DE" w:rsidRPr="006154D1" w14:paraId="2D360F1C" w14:textId="77777777" w:rsidTr="00F17C32">
        <w:tc>
          <w:tcPr>
            <w:tcW w:w="2122" w:type="dxa"/>
          </w:tcPr>
          <w:p w14:paraId="023C41EB" w14:textId="26771D53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B750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CB9782F" w14:textId="1E9ADA0B" w:rsidR="008969DE" w:rsidRPr="00B750B7" w:rsidRDefault="00B750B7" w:rsidP="00B750B7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750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Staff to organize meeting between CSC and PTI Board during or around ICANN72</w:t>
            </w:r>
          </w:p>
        </w:tc>
        <w:tc>
          <w:tcPr>
            <w:tcW w:w="1700" w:type="dxa"/>
          </w:tcPr>
          <w:p w14:paraId="52449C89" w14:textId="647D25C1" w:rsidR="008969DE" w:rsidRPr="006154D1" w:rsidRDefault="00B750B7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Pending</w:t>
            </w:r>
          </w:p>
        </w:tc>
      </w:tr>
    </w:tbl>
    <w:p w14:paraId="2AF7818B" w14:textId="2D54C6F2" w:rsidR="00473864" w:rsidRDefault="00473864" w:rsidP="0016648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56BD520" w14:textId="77777777" w:rsidR="00EE27D9" w:rsidRDefault="00EE27D9" w:rsidP="0016648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F67209B" w14:textId="1E53AD71" w:rsidR="0016648D" w:rsidRPr="00473864" w:rsidRDefault="0016648D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Performance</w:t>
      </w:r>
      <w:r w:rsidR="001D6DEA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73864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IANA Naming Function </w:t>
      </w:r>
      <w:r w:rsidR="00B750B7">
        <w:rPr>
          <w:rFonts w:asciiTheme="minorHAnsi" w:hAnsiTheme="minorHAnsi" w:cstheme="minorHAnsi"/>
          <w:b/>
          <w:bCs/>
          <w:color w:val="000000"/>
          <w:sz w:val="20"/>
          <w:szCs w:val="20"/>
        </w:rPr>
        <w:t>June</w:t>
      </w:r>
      <w:r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</w:t>
      </w:r>
      <w:r w:rsidR="00422E51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1D6DEA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</w:p>
    <w:p w14:paraId="6045982B" w14:textId="08587517" w:rsidR="00EE27D9" w:rsidRPr="00B750B7" w:rsidRDefault="0016648D" w:rsidP="00B750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PTI report to </w:t>
      </w:r>
      <w:proofErr w:type="gramStart"/>
      <w:r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CSC</w:t>
      </w:r>
      <w:r w:rsidR="00053B7C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B750B7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June</w:t>
      </w:r>
      <w:proofErr w:type="gramEnd"/>
      <w:r w:rsidR="0006045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202</w:t>
      </w:r>
      <w:r w:rsidR="001D6DEA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r w:rsidR="00A81FD3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5F84A931" w14:textId="77777777" w:rsidR="00EE27D9" w:rsidRPr="00473864" w:rsidRDefault="00EE27D9" w:rsidP="00004077">
      <w:pPr>
        <w:pStyle w:val="ListParagraph"/>
        <w:ind w:left="144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2E6F93EB" w14:textId="0D58D187" w:rsidR="00EE27D9" w:rsidRDefault="0016648D" w:rsidP="00EE27D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CSC </w:t>
      </w:r>
      <w:r w:rsidR="003A6375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Findings PTI Performance</w:t>
      </w:r>
      <w:r w:rsidR="0047386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B750B7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June</w:t>
      </w:r>
      <w:r w:rsidR="0006045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8D29F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202</w:t>
      </w:r>
      <w:r w:rsidR="001D6DEA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61D0DDC0" w14:textId="05022CEA" w:rsidR="00CE5888" w:rsidRPr="00C61DF2" w:rsidRDefault="00CE5888" w:rsidP="008B20DC">
      <w:pPr>
        <w:rPr>
          <w:rFonts w:asciiTheme="minorHAnsi" w:hAnsiTheme="minorHAnsi" w:cstheme="minorHAnsi"/>
          <w:bCs/>
          <w:sz w:val="20"/>
          <w:szCs w:val="20"/>
        </w:rPr>
      </w:pPr>
    </w:p>
    <w:p w14:paraId="1A825B61" w14:textId="236AD42E" w:rsidR="008B68C4" w:rsidRDefault="00CE5888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E58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Joint CSC / PTI webinar to update and inform community</w:t>
      </w:r>
    </w:p>
    <w:p w14:paraId="0C5D878C" w14:textId="77777777" w:rsidR="00766C40" w:rsidRDefault="00766C40" w:rsidP="00B750B7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For discussion</w:t>
      </w:r>
    </w:p>
    <w:p w14:paraId="0BE11DCC" w14:textId="7B25C7DE" w:rsidR="00384BEA" w:rsidRPr="00766C40" w:rsidRDefault="00B750B7" w:rsidP="00766C40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B750B7">
        <w:rPr>
          <w:rFonts w:asciiTheme="minorHAnsi" w:hAnsiTheme="minorHAnsi" w:cstheme="minorHAnsi"/>
          <w:color w:val="000000"/>
          <w:sz w:val="20"/>
          <w:szCs w:val="20"/>
        </w:rPr>
        <w:t>Feed-back membership</w:t>
      </w:r>
    </w:p>
    <w:p w14:paraId="0615F869" w14:textId="77777777" w:rsidR="00384BEA" w:rsidRDefault="00384BEA" w:rsidP="00473864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6EEB8" w14:textId="03810681" w:rsidR="008B68C4" w:rsidRDefault="008B68C4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Update CSC membership selection process </w:t>
      </w:r>
    </w:p>
    <w:p w14:paraId="66CDCE2F" w14:textId="6B12D89D" w:rsidR="00766C40" w:rsidRDefault="00766C40" w:rsidP="00B750B7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Informational</w:t>
      </w:r>
    </w:p>
    <w:p w14:paraId="5582CED2" w14:textId="77777777" w:rsidR="00766C40" w:rsidRDefault="00267C9F" w:rsidP="00766C40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 w:rsidRPr="00267C9F">
        <w:rPr>
          <w:rFonts w:asciiTheme="minorHAnsi" w:hAnsiTheme="minorHAnsi" w:cstheme="minorHAnsi"/>
          <w:sz w:val="20"/>
          <w:szCs w:val="20"/>
        </w:rPr>
        <w:t>The appointing organization have been informed about the end of term o</w:t>
      </w:r>
      <w:r>
        <w:rPr>
          <w:rFonts w:asciiTheme="minorHAnsi" w:hAnsiTheme="minorHAnsi" w:cstheme="minorHAnsi"/>
          <w:sz w:val="20"/>
          <w:szCs w:val="20"/>
        </w:rPr>
        <w:t xml:space="preserve">f </w:t>
      </w:r>
      <w:r w:rsidRPr="00267C9F">
        <w:rPr>
          <w:rFonts w:asciiTheme="minorHAnsi" w:hAnsiTheme="minorHAnsi" w:cstheme="minorHAnsi"/>
          <w:sz w:val="20"/>
          <w:szCs w:val="20"/>
        </w:rPr>
        <w:t>some of the appointees</w:t>
      </w:r>
      <w:r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RySG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ccNSO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Council will coordinate their appointments and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ccNSO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and GNSO Councils are aware they need to appoint the full slate of members and liaisons.</w:t>
      </w:r>
    </w:p>
    <w:p w14:paraId="5683E4A4" w14:textId="7B826C54" w:rsidR="00B750B7" w:rsidRPr="00766C40" w:rsidRDefault="00B750B7" w:rsidP="00766C40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Update appointing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</w:p>
    <w:p w14:paraId="0EF7C9A7" w14:textId="77777777" w:rsidR="00CE5888" w:rsidRDefault="00CE5888" w:rsidP="00CE588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AC31E3A" w14:textId="46D8E3C9" w:rsidR="00C270C1" w:rsidRDefault="008B68C4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B68C4">
        <w:rPr>
          <w:rFonts w:asciiTheme="minorHAnsi" w:hAnsiTheme="minorHAnsi" w:cstheme="minorHAnsi"/>
          <w:b/>
          <w:bCs/>
          <w:sz w:val="20"/>
          <w:szCs w:val="20"/>
        </w:rPr>
        <w:t>Update CSC Effectiveness Review</w:t>
      </w:r>
      <w:r w:rsidR="00E81BD7">
        <w:rPr>
          <w:rFonts w:asciiTheme="minorHAnsi" w:hAnsiTheme="minorHAnsi" w:cstheme="minorHAnsi"/>
          <w:b/>
          <w:bCs/>
          <w:sz w:val="20"/>
          <w:szCs w:val="20"/>
        </w:rPr>
        <w:t xml:space="preserve"> process</w:t>
      </w:r>
    </w:p>
    <w:p w14:paraId="4F234B39" w14:textId="781B34E5" w:rsidR="00B750B7" w:rsidRDefault="00B750B7" w:rsidP="00E81BD7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</w:t>
      </w:r>
      <w:r w:rsidR="00766C40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mational</w:t>
      </w:r>
    </w:p>
    <w:p w14:paraId="09A76F1D" w14:textId="5FCCCEB8" w:rsidR="00E81BD7" w:rsidRPr="00E81BD7" w:rsidRDefault="00E81BD7" w:rsidP="00E81BD7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 w:rsidRPr="00E81BD7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E81BD7">
        <w:rPr>
          <w:rFonts w:asciiTheme="minorHAnsi" w:hAnsiTheme="minorHAnsi" w:cstheme="minorHAnsi"/>
          <w:sz w:val="20"/>
          <w:szCs w:val="20"/>
        </w:rPr>
        <w:t>ccNSO</w:t>
      </w:r>
      <w:proofErr w:type="spellEnd"/>
      <w:r w:rsidRPr="00E81BD7">
        <w:rPr>
          <w:rFonts w:asciiTheme="minorHAnsi" w:hAnsiTheme="minorHAnsi" w:cstheme="minorHAnsi"/>
          <w:sz w:val="20"/>
          <w:szCs w:val="20"/>
        </w:rPr>
        <w:t xml:space="preserve"> and GNSO are expected to launch the 2</w:t>
      </w:r>
      <w:r w:rsidRPr="00E81BD7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E81BD7">
        <w:rPr>
          <w:rFonts w:asciiTheme="minorHAnsi" w:hAnsiTheme="minorHAnsi" w:cstheme="minorHAnsi"/>
          <w:sz w:val="20"/>
          <w:szCs w:val="20"/>
        </w:rPr>
        <w:t xml:space="preserve"> CSC effectiveness review by 1 October 2021. </w:t>
      </w:r>
    </w:p>
    <w:p w14:paraId="71C7AF66" w14:textId="5BEA1A3A" w:rsidR="00B62A3C" w:rsidRPr="00B750B7" w:rsidRDefault="008B68C4" w:rsidP="00B750B7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What to expect</w:t>
      </w:r>
      <w:r w:rsidR="00B750B7">
        <w:rPr>
          <w:rFonts w:asciiTheme="minorHAnsi" w:hAnsiTheme="minorHAnsi" w:cstheme="minorHAnsi"/>
          <w:sz w:val="20"/>
          <w:szCs w:val="20"/>
        </w:rPr>
        <w:t xml:space="preserve"> from a CSC </w:t>
      </w:r>
      <w:proofErr w:type="gramStart"/>
      <w:r w:rsidR="00B750B7">
        <w:rPr>
          <w:rFonts w:asciiTheme="minorHAnsi" w:hAnsiTheme="minorHAnsi" w:cstheme="minorHAnsi"/>
          <w:sz w:val="20"/>
          <w:szCs w:val="20"/>
        </w:rPr>
        <w:t>perspective</w:t>
      </w:r>
      <w:proofErr w:type="gramEnd"/>
    </w:p>
    <w:p w14:paraId="65DD89E4" w14:textId="399832D3" w:rsidR="00757BFA" w:rsidRPr="00C270C1" w:rsidRDefault="00757BFA" w:rsidP="00384BE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47A552" w14:textId="5AA6CDE7" w:rsidR="00F31D88" w:rsidRDefault="008D29FF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154D1">
        <w:rPr>
          <w:rFonts w:asciiTheme="minorHAnsi" w:hAnsiTheme="minorHAnsi" w:cstheme="minorHAnsi"/>
          <w:b/>
          <w:bCs/>
          <w:sz w:val="20"/>
          <w:szCs w:val="20"/>
        </w:rPr>
        <w:t xml:space="preserve"> AOB</w:t>
      </w:r>
    </w:p>
    <w:p w14:paraId="4DB2EF49" w14:textId="77777777" w:rsidR="00757BFA" w:rsidRDefault="00757BFA" w:rsidP="00F31D8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5248786" w14:textId="25819DA0" w:rsidR="00F2733C" w:rsidRPr="00DF24A9" w:rsidRDefault="00F2733C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Next Meetings</w:t>
      </w:r>
    </w:p>
    <w:p w14:paraId="0D786EB7" w14:textId="664DFF0B" w:rsidR="00DF24A9" w:rsidRDefault="00DF24A9" w:rsidP="00F1138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52, Wednesday 21 July 2021, 18.00 UTC</w:t>
      </w:r>
    </w:p>
    <w:p w14:paraId="09D2D014" w14:textId="77777777" w:rsidR="00B750B7" w:rsidRDefault="00DF24A9" w:rsidP="00DF24A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August meeting,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will be limited to on-line discussion of the PTI Performance report over July 2021 and related approval of CSC Findings.</w:t>
      </w:r>
    </w:p>
    <w:p w14:paraId="1CFCCF2A" w14:textId="540FA4A2" w:rsidR="00757BFA" w:rsidRDefault="00B750B7" w:rsidP="00DF24A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53, Wednesday 22</w:t>
      </w:r>
      <w:r w:rsidR="00125485">
        <w:rPr>
          <w:rFonts w:asciiTheme="minorHAnsi" w:hAnsiTheme="minorHAnsi" w:cstheme="minorHAnsi"/>
          <w:sz w:val="20"/>
          <w:szCs w:val="20"/>
        </w:rPr>
        <w:t xml:space="preserve"> September 2021</w:t>
      </w:r>
      <w:r>
        <w:rPr>
          <w:rFonts w:asciiTheme="minorHAnsi" w:hAnsiTheme="minorHAnsi" w:cstheme="minorHAnsi"/>
          <w:sz w:val="20"/>
          <w:szCs w:val="20"/>
        </w:rPr>
        <w:t>, 02.00 UTC</w:t>
      </w:r>
      <w:r w:rsidR="00DF24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A6933D" w14:textId="23A5450E" w:rsidR="00766C40" w:rsidRDefault="00B750B7" w:rsidP="00DF24A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Meeting 54, </w:t>
      </w:r>
      <w:proofErr w:type="spellStart"/>
      <w:r>
        <w:rPr>
          <w:rFonts w:asciiTheme="minorHAnsi" w:hAnsiTheme="minorHAnsi" w:cstheme="minorHAnsi"/>
          <w:sz w:val="20"/>
          <w:szCs w:val="20"/>
        </w:rPr>
        <w:t>Ocotber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2021, </w:t>
      </w:r>
      <w:r w:rsidR="00125485">
        <w:rPr>
          <w:rFonts w:asciiTheme="minorHAnsi" w:hAnsiTheme="minorHAnsi" w:cstheme="minorHAnsi"/>
          <w:sz w:val="20"/>
          <w:szCs w:val="20"/>
        </w:rPr>
        <w:t xml:space="preserve">date and time </w:t>
      </w:r>
      <w:proofErr w:type="spellStart"/>
      <w:r>
        <w:rPr>
          <w:rFonts w:asciiTheme="minorHAnsi" w:hAnsiTheme="minorHAnsi" w:cstheme="minorHAnsi"/>
          <w:sz w:val="20"/>
          <w:szCs w:val="20"/>
        </w:rPr>
        <w:t>TBD’ed</w:t>
      </w:r>
      <w:proofErr w:type="spellEnd"/>
    </w:p>
    <w:p w14:paraId="5B78A58A" w14:textId="0494D0E9" w:rsidR="00B750B7" w:rsidRPr="00766C40" w:rsidRDefault="00B750B7" w:rsidP="00766C40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CF24B9" w14:textId="02D4982D" w:rsidR="00757BFA" w:rsidRDefault="00A54B94" w:rsidP="00DF24A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During </w:t>
      </w:r>
      <w:r w:rsidR="00B750B7">
        <w:rPr>
          <w:rFonts w:asciiTheme="minorHAnsi" w:hAnsiTheme="minorHAnsi" w:cstheme="minorHAnsi"/>
          <w:color w:val="000000"/>
          <w:sz w:val="20"/>
          <w:szCs w:val="20"/>
        </w:rPr>
        <w:t xml:space="preserve">or around </w:t>
      </w:r>
      <w:r w:rsidR="00757BFA" w:rsidRPr="00267C9F">
        <w:rPr>
          <w:rFonts w:asciiTheme="minorHAnsi" w:hAnsiTheme="minorHAnsi" w:cstheme="minorHAnsi"/>
          <w:color w:val="000000"/>
          <w:sz w:val="20"/>
          <w:szCs w:val="20"/>
        </w:rPr>
        <w:t>ICANN72 joint meeting</w:t>
      </w:r>
      <w:r w:rsidR="00267C9F" w:rsidRPr="00267C9F">
        <w:rPr>
          <w:rFonts w:asciiTheme="minorHAnsi" w:hAnsiTheme="minorHAnsi" w:cstheme="minorHAnsi"/>
          <w:color w:val="000000"/>
          <w:sz w:val="20"/>
          <w:szCs w:val="20"/>
        </w:rPr>
        <w:t xml:space="preserve"> with PTI Board.</w:t>
      </w:r>
      <w:r w:rsidR="00267C9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25485">
        <w:rPr>
          <w:rFonts w:asciiTheme="minorHAnsi" w:hAnsiTheme="minorHAnsi" w:cstheme="minorHAnsi"/>
          <w:color w:val="000000"/>
          <w:sz w:val="20"/>
          <w:szCs w:val="20"/>
        </w:rPr>
        <w:t>Also i</w:t>
      </w:r>
      <w:r w:rsidR="00757BFA" w:rsidRPr="00267C9F">
        <w:rPr>
          <w:rFonts w:asciiTheme="minorHAnsi" w:hAnsiTheme="minorHAnsi" w:cstheme="minorHAnsi"/>
          <w:color w:val="000000"/>
          <w:sz w:val="20"/>
          <w:szCs w:val="20"/>
        </w:rPr>
        <w:t>nvite outgoing members</w:t>
      </w:r>
      <w:r w:rsidR="00125485">
        <w:rPr>
          <w:rFonts w:asciiTheme="minorHAnsi" w:hAnsiTheme="minorHAnsi" w:cstheme="minorHAnsi"/>
          <w:color w:val="000000"/>
          <w:sz w:val="20"/>
          <w:szCs w:val="20"/>
        </w:rPr>
        <w:t>, if any</w:t>
      </w:r>
      <w:r w:rsidR="00267C9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F34BF37" w14:textId="77777777" w:rsidR="00267C9F" w:rsidRPr="00DF24A9" w:rsidRDefault="00267C9F" w:rsidP="00DF24A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2F793F4" w14:textId="46CFA29D" w:rsidR="00400F71" w:rsidRPr="00F2733C" w:rsidRDefault="0016648D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F2733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Adjourn</w:t>
      </w:r>
    </w:p>
    <w:sectPr w:rsidR="00400F71" w:rsidRPr="00F2733C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AF41" w14:textId="77777777" w:rsidR="00DC21EC" w:rsidRDefault="00DC21EC">
      <w:r>
        <w:separator/>
      </w:r>
    </w:p>
  </w:endnote>
  <w:endnote w:type="continuationSeparator" w:id="0">
    <w:p w14:paraId="59F8EAD6" w14:textId="77777777" w:rsidR="00DC21EC" w:rsidRDefault="00DC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65914" w14:textId="77777777" w:rsidR="00DC21EC" w:rsidRDefault="00DC21EC">
      <w:r>
        <w:separator/>
      </w:r>
    </w:p>
  </w:footnote>
  <w:footnote w:type="continuationSeparator" w:id="0">
    <w:p w14:paraId="4637C313" w14:textId="77777777" w:rsidR="00DC21EC" w:rsidRDefault="00DC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DC2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CC6"/>
    <w:multiLevelType w:val="hybridMultilevel"/>
    <w:tmpl w:val="0616E4F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B758B3"/>
    <w:multiLevelType w:val="hybridMultilevel"/>
    <w:tmpl w:val="41DC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5A6C"/>
    <w:multiLevelType w:val="hybridMultilevel"/>
    <w:tmpl w:val="72B629C8"/>
    <w:lvl w:ilvl="0" w:tplc="210E824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1038"/>
    <w:multiLevelType w:val="hybridMultilevel"/>
    <w:tmpl w:val="EF762444"/>
    <w:lvl w:ilvl="0" w:tplc="7416DFFE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4077"/>
    <w:rsid w:val="00005357"/>
    <w:rsid w:val="0001200E"/>
    <w:rsid w:val="00053B7C"/>
    <w:rsid w:val="0005642F"/>
    <w:rsid w:val="000579AD"/>
    <w:rsid w:val="0006045F"/>
    <w:rsid w:val="00062505"/>
    <w:rsid w:val="0006376C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E156D"/>
    <w:rsid w:val="000E34C7"/>
    <w:rsid w:val="000E4CB6"/>
    <w:rsid w:val="000E5EF3"/>
    <w:rsid w:val="000F6FE4"/>
    <w:rsid w:val="000F75E7"/>
    <w:rsid w:val="000F7E87"/>
    <w:rsid w:val="00106CBA"/>
    <w:rsid w:val="001106F2"/>
    <w:rsid w:val="00122027"/>
    <w:rsid w:val="00125485"/>
    <w:rsid w:val="00131FCC"/>
    <w:rsid w:val="00132D7A"/>
    <w:rsid w:val="00136504"/>
    <w:rsid w:val="00141E38"/>
    <w:rsid w:val="00147AD6"/>
    <w:rsid w:val="00156BDB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3B61"/>
    <w:rsid w:val="001B5218"/>
    <w:rsid w:val="001D0948"/>
    <w:rsid w:val="001D6DEA"/>
    <w:rsid w:val="001E6EFB"/>
    <w:rsid w:val="00212071"/>
    <w:rsid w:val="00214F1F"/>
    <w:rsid w:val="0023503C"/>
    <w:rsid w:val="00253B91"/>
    <w:rsid w:val="002658C0"/>
    <w:rsid w:val="00265C5B"/>
    <w:rsid w:val="00267C9F"/>
    <w:rsid w:val="00270BAE"/>
    <w:rsid w:val="00275A7B"/>
    <w:rsid w:val="002777B7"/>
    <w:rsid w:val="002840F1"/>
    <w:rsid w:val="00290964"/>
    <w:rsid w:val="00293B5C"/>
    <w:rsid w:val="00296366"/>
    <w:rsid w:val="00296E61"/>
    <w:rsid w:val="002A43B8"/>
    <w:rsid w:val="002B16B5"/>
    <w:rsid w:val="002B25BF"/>
    <w:rsid w:val="002B5570"/>
    <w:rsid w:val="002C154E"/>
    <w:rsid w:val="002C38FA"/>
    <w:rsid w:val="002C6EB7"/>
    <w:rsid w:val="002D08CB"/>
    <w:rsid w:val="002D16D8"/>
    <w:rsid w:val="002E218B"/>
    <w:rsid w:val="002E57E8"/>
    <w:rsid w:val="002F2108"/>
    <w:rsid w:val="003006AF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757CB"/>
    <w:rsid w:val="00376917"/>
    <w:rsid w:val="00376E45"/>
    <w:rsid w:val="00380106"/>
    <w:rsid w:val="00384BEA"/>
    <w:rsid w:val="0038761A"/>
    <w:rsid w:val="00391D04"/>
    <w:rsid w:val="00392525"/>
    <w:rsid w:val="00393544"/>
    <w:rsid w:val="00396E47"/>
    <w:rsid w:val="003A6375"/>
    <w:rsid w:val="003B1987"/>
    <w:rsid w:val="003B450F"/>
    <w:rsid w:val="003D2211"/>
    <w:rsid w:val="003D22D7"/>
    <w:rsid w:val="003E0D06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6022C"/>
    <w:rsid w:val="00466137"/>
    <w:rsid w:val="00473864"/>
    <w:rsid w:val="0048142A"/>
    <w:rsid w:val="00485751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A649C"/>
    <w:rsid w:val="005A65BE"/>
    <w:rsid w:val="005A75A8"/>
    <w:rsid w:val="005B05AE"/>
    <w:rsid w:val="005C09B2"/>
    <w:rsid w:val="005C136B"/>
    <w:rsid w:val="005C31BC"/>
    <w:rsid w:val="005C48DC"/>
    <w:rsid w:val="005C4C68"/>
    <w:rsid w:val="005C5954"/>
    <w:rsid w:val="005C71CD"/>
    <w:rsid w:val="005E2FDF"/>
    <w:rsid w:val="005F6987"/>
    <w:rsid w:val="006154D1"/>
    <w:rsid w:val="00632093"/>
    <w:rsid w:val="00651162"/>
    <w:rsid w:val="00651342"/>
    <w:rsid w:val="00655489"/>
    <w:rsid w:val="00661776"/>
    <w:rsid w:val="00662ED7"/>
    <w:rsid w:val="0067439C"/>
    <w:rsid w:val="006A7552"/>
    <w:rsid w:val="006B47BA"/>
    <w:rsid w:val="006C0167"/>
    <w:rsid w:val="006C1DCF"/>
    <w:rsid w:val="006C3B47"/>
    <w:rsid w:val="006D225F"/>
    <w:rsid w:val="006D3CBA"/>
    <w:rsid w:val="006E4636"/>
    <w:rsid w:val="006E7AF8"/>
    <w:rsid w:val="006E7DC7"/>
    <w:rsid w:val="006F7C0E"/>
    <w:rsid w:val="0070557C"/>
    <w:rsid w:val="00714525"/>
    <w:rsid w:val="00721CF1"/>
    <w:rsid w:val="007225B9"/>
    <w:rsid w:val="007274CD"/>
    <w:rsid w:val="007321EE"/>
    <w:rsid w:val="007407A4"/>
    <w:rsid w:val="00752C3F"/>
    <w:rsid w:val="00757BFA"/>
    <w:rsid w:val="007637E2"/>
    <w:rsid w:val="0076654D"/>
    <w:rsid w:val="00766C40"/>
    <w:rsid w:val="00772DB6"/>
    <w:rsid w:val="00773E10"/>
    <w:rsid w:val="0077434D"/>
    <w:rsid w:val="00774930"/>
    <w:rsid w:val="007822F8"/>
    <w:rsid w:val="00797730"/>
    <w:rsid w:val="007A2CB7"/>
    <w:rsid w:val="007A5C5F"/>
    <w:rsid w:val="007A7154"/>
    <w:rsid w:val="007A785E"/>
    <w:rsid w:val="007A7B4D"/>
    <w:rsid w:val="007B57A4"/>
    <w:rsid w:val="007B69CE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145F"/>
    <w:rsid w:val="008446FA"/>
    <w:rsid w:val="00845A10"/>
    <w:rsid w:val="0085015A"/>
    <w:rsid w:val="0086066F"/>
    <w:rsid w:val="0088328B"/>
    <w:rsid w:val="00885A53"/>
    <w:rsid w:val="0088750C"/>
    <w:rsid w:val="008949B8"/>
    <w:rsid w:val="00894CBB"/>
    <w:rsid w:val="00896700"/>
    <w:rsid w:val="008969DE"/>
    <w:rsid w:val="008A066C"/>
    <w:rsid w:val="008B20DC"/>
    <w:rsid w:val="008B3D76"/>
    <w:rsid w:val="008B68C4"/>
    <w:rsid w:val="008C3DDC"/>
    <w:rsid w:val="008D29FF"/>
    <w:rsid w:val="008E16F6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76061"/>
    <w:rsid w:val="009816CB"/>
    <w:rsid w:val="0099225F"/>
    <w:rsid w:val="00992C31"/>
    <w:rsid w:val="00993E35"/>
    <w:rsid w:val="00994579"/>
    <w:rsid w:val="009A41AE"/>
    <w:rsid w:val="009A553A"/>
    <w:rsid w:val="009A7C19"/>
    <w:rsid w:val="009B23E5"/>
    <w:rsid w:val="009C3484"/>
    <w:rsid w:val="009D33CF"/>
    <w:rsid w:val="009D3FD7"/>
    <w:rsid w:val="009D6DD4"/>
    <w:rsid w:val="009E10A5"/>
    <w:rsid w:val="009F2C91"/>
    <w:rsid w:val="00A0478A"/>
    <w:rsid w:val="00A058F4"/>
    <w:rsid w:val="00A06D44"/>
    <w:rsid w:val="00A12C9D"/>
    <w:rsid w:val="00A14B7D"/>
    <w:rsid w:val="00A15AB1"/>
    <w:rsid w:val="00A27220"/>
    <w:rsid w:val="00A3011B"/>
    <w:rsid w:val="00A30450"/>
    <w:rsid w:val="00A33BE8"/>
    <w:rsid w:val="00A421A1"/>
    <w:rsid w:val="00A44891"/>
    <w:rsid w:val="00A54B94"/>
    <w:rsid w:val="00A55605"/>
    <w:rsid w:val="00A579E2"/>
    <w:rsid w:val="00A81FD3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5601"/>
    <w:rsid w:val="00B307A8"/>
    <w:rsid w:val="00B321C5"/>
    <w:rsid w:val="00B36F81"/>
    <w:rsid w:val="00B45F76"/>
    <w:rsid w:val="00B46048"/>
    <w:rsid w:val="00B467B7"/>
    <w:rsid w:val="00B57CF4"/>
    <w:rsid w:val="00B61030"/>
    <w:rsid w:val="00B627FA"/>
    <w:rsid w:val="00B62A3C"/>
    <w:rsid w:val="00B750B7"/>
    <w:rsid w:val="00BA2221"/>
    <w:rsid w:val="00BA6B4B"/>
    <w:rsid w:val="00BB285F"/>
    <w:rsid w:val="00BB2A47"/>
    <w:rsid w:val="00BB69AC"/>
    <w:rsid w:val="00BD4691"/>
    <w:rsid w:val="00BD5037"/>
    <w:rsid w:val="00BE70B4"/>
    <w:rsid w:val="00BF3401"/>
    <w:rsid w:val="00BF3E67"/>
    <w:rsid w:val="00C010B3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1DF2"/>
    <w:rsid w:val="00C65CDA"/>
    <w:rsid w:val="00CA0367"/>
    <w:rsid w:val="00CA12F7"/>
    <w:rsid w:val="00CB243F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15CFB"/>
    <w:rsid w:val="00D32D59"/>
    <w:rsid w:val="00D37B2A"/>
    <w:rsid w:val="00D41497"/>
    <w:rsid w:val="00D4293C"/>
    <w:rsid w:val="00D43B3A"/>
    <w:rsid w:val="00D44F1E"/>
    <w:rsid w:val="00D551EF"/>
    <w:rsid w:val="00D57CC2"/>
    <w:rsid w:val="00D64BF0"/>
    <w:rsid w:val="00D655A1"/>
    <w:rsid w:val="00D7026D"/>
    <w:rsid w:val="00D71C52"/>
    <w:rsid w:val="00D953BB"/>
    <w:rsid w:val="00DA6527"/>
    <w:rsid w:val="00DC21EC"/>
    <w:rsid w:val="00DC3471"/>
    <w:rsid w:val="00DD40FE"/>
    <w:rsid w:val="00DD5B71"/>
    <w:rsid w:val="00DD797E"/>
    <w:rsid w:val="00DE0265"/>
    <w:rsid w:val="00DE233E"/>
    <w:rsid w:val="00DE285E"/>
    <w:rsid w:val="00DE3382"/>
    <w:rsid w:val="00DE5489"/>
    <w:rsid w:val="00DE6236"/>
    <w:rsid w:val="00DF24A9"/>
    <w:rsid w:val="00E11FFA"/>
    <w:rsid w:val="00E12E86"/>
    <w:rsid w:val="00E12FD5"/>
    <w:rsid w:val="00E16722"/>
    <w:rsid w:val="00E17500"/>
    <w:rsid w:val="00E375D7"/>
    <w:rsid w:val="00E46B55"/>
    <w:rsid w:val="00E51020"/>
    <w:rsid w:val="00E57F8C"/>
    <w:rsid w:val="00E6560A"/>
    <w:rsid w:val="00E74D38"/>
    <w:rsid w:val="00E8056E"/>
    <w:rsid w:val="00E81BD7"/>
    <w:rsid w:val="00E87261"/>
    <w:rsid w:val="00E94F92"/>
    <w:rsid w:val="00EA081D"/>
    <w:rsid w:val="00EA4D28"/>
    <w:rsid w:val="00EA5943"/>
    <w:rsid w:val="00EA66DC"/>
    <w:rsid w:val="00EB58F5"/>
    <w:rsid w:val="00EB60C6"/>
    <w:rsid w:val="00EC460A"/>
    <w:rsid w:val="00EE27D9"/>
    <w:rsid w:val="00EF24F9"/>
    <w:rsid w:val="00F0121E"/>
    <w:rsid w:val="00F11385"/>
    <w:rsid w:val="00F122EC"/>
    <w:rsid w:val="00F145C9"/>
    <w:rsid w:val="00F1545D"/>
    <w:rsid w:val="00F16F03"/>
    <w:rsid w:val="00F17A1C"/>
    <w:rsid w:val="00F2733C"/>
    <w:rsid w:val="00F3174C"/>
    <w:rsid w:val="00F31D88"/>
    <w:rsid w:val="00F31E21"/>
    <w:rsid w:val="00F41918"/>
    <w:rsid w:val="00F44CC4"/>
    <w:rsid w:val="00F45884"/>
    <w:rsid w:val="00F4788D"/>
    <w:rsid w:val="00F47905"/>
    <w:rsid w:val="00F67F57"/>
    <w:rsid w:val="00F9750B"/>
    <w:rsid w:val="00FA6F57"/>
    <w:rsid w:val="00FA796F"/>
    <w:rsid w:val="00FB353E"/>
    <w:rsid w:val="00FB3810"/>
    <w:rsid w:val="00FC0B0C"/>
    <w:rsid w:val="00FE2E0C"/>
    <w:rsid w:val="00FE6FA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2</cp:revision>
  <dcterms:created xsi:type="dcterms:W3CDTF">2021-07-15T16:54:00Z</dcterms:created>
  <dcterms:modified xsi:type="dcterms:W3CDTF">2021-07-15T16:54:00Z</dcterms:modified>
</cp:coreProperties>
</file>