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081A330C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E214D"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  <w:r w:rsidR="00126E4D">
        <w:rPr>
          <w:rFonts w:asciiTheme="minorHAnsi" w:hAnsiTheme="minorHAnsi" w:cstheme="minorHAnsi"/>
          <w:b/>
          <w:bCs/>
          <w:sz w:val="22"/>
          <w:szCs w:val="22"/>
          <w:lang w:val="en-US"/>
        </w:rPr>
        <w:t>1</w:t>
      </w:r>
    </w:p>
    <w:p w14:paraId="7640D1D0" w14:textId="776F12A4" w:rsidR="00D20A0A" w:rsidRPr="00444A38" w:rsidRDefault="00444A38" w:rsidP="007F1CB6">
      <w:pPr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A3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7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May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67AA7" w:rsidRPr="00444A3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202</w:t>
      </w:r>
      <w:r w:rsidRPr="00444A3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| </w:t>
      </w:r>
      <w:r w:rsidR="00A83BCD">
        <w:rPr>
          <w:rFonts w:asciiTheme="minorHAnsi" w:hAnsiTheme="minorHAnsi" w:cstheme="minorHAnsi"/>
          <w:sz w:val="22"/>
          <w:szCs w:val="22"/>
        </w:rPr>
        <w:t>02.00 UTC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– 03.00 UTC</w:t>
      </w:r>
    </w:p>
    <w:p w14:paraId="27AA74E4" w14:textId="5D342E8E" w:rsidR="007F1CB6" w:rsidRDefault="00643DAC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3E79240D" w14:textId="77777777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</w:p>
    <w:p w14:paraId="1F82CCAB" w14:textId="33E91FDB" w:rsidR="004A14DC" w:rsidRPr="009A3320" w:rsidRDefault="004A14DC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A3320">
        <w:rPr>
          <w:rFonts w:asciiTheme="minorHAnsi" w:hAnsiTheme="minorHAnsi" w:cstheme="minorHAnsi"/>
          <w:b/>
          <w:sz w:val="22"/>
          <w:szCs w:val="22"/>
        </w:rPr>
        <w:t>Welcome &amp; Roll Call</w:t>
      </w:r>
    </w:p>
    <w:p w14:paraId="638657F4" w14:textId="77777777" w:rsidR="009A3320" w:rsidRPr="009A3320" w:rsidRDefault="009A3320" w:rsidP="009A3320">
      <w:pPr>
        <w:rPr>
          <w:rFonts w:asciiTheme="minorHAnsi" w:hAnsiTheme="minorHAnsi" w:cstheme="minorHAnsi"/>
          <w:b/>
          <w:sz w:val="22"/>
          <w:szCs w:val="22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6B7D24" w:rsidRPr="002346C8" w14:paraId="27BBD4FC" w14:textId="77777777" w:rsidTr="006B7D24">
        <w:tc>
          <w:tcPr>
            <w:tcW w:w="2405" w:type="dxa"/>
            <w:shd w:val="clear" w:color="auto" w:fill="D0CECE" w:themeFill="background2" w:themeFillShade="E6"/>
          </w:tcPr>
          <w:p w14:paraId="6BD199D4" w14:textId="0AC7DC16" w:rsidR="006B7D24" w:rsidRPr="006B7D24" w:rsidRDefault="006B7D24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D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01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 w:rsidRPr="006B7D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D5C75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63073FFE" w14:textId="23D873C5" w:rsidR="006B7D24" w:rsidRPr="006B7D24" w:rsidRDefault="006B7D24" w:rsidP="00CD3D0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7F4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taff</w:t>
            </w:r>
            <w:r w:rsidRPr="006B7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circulate Findings</w:t>
            </w:r>
            <w:r w:rsidR="00A8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March </w:t>
            </w:r>
            <w:r w:rsidR="00643D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A6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approval c</w:t>
            </w:r>
            <w:r w:rsidR="00A8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82ED55B" w14:textId="78D9A8F5" w:rsidR="006B7D24" w:rsidRPr="006B7D24" w:rsidRDefault="007F4325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500498">
              <w:rPr>
                <w:rFonts w:asciiTheme="minorHAnsi" w:hAnsiTheme="minorHAnsi" w:cstheme="minorHAnsi"/>
                <w:b/>
                <w:sz w:val="22"/>
                <w:szCs w:val="22"/>
              </w:rPr>
              <w:t>ompleted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77777777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 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3E6AF6FB" w:rsidR="00467AA7" w:rsidRDefault="00A83BC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Pending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4DB3EC23" w:rsidR="007F4325" w:rsidRDefault="00A83BC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Pending</w:t>
            </w:r>
          </w:p>
        </w:tc>
      </w:tr>
      <w:tr w:rsidR="00A83BCD" w:rsidRPr="002346C8" w14:paraId="0DDE9A21" w14:textId="77777777" w:rsidTr="00A83BCD">
        <w:tc>
          <w:tcPr>
            <w:tcW w:w="2405" w:type="dxa"/>
            <w:shd w:val="clear" w:color="auto" w:fill="auto"/>
          </w:tcPr>
          <w:p w14:paraId="3CCDF3E6" w14:textId="272E3AA1" w:rsidR="00A83BCD" w:rsidRPr="00A83BCD" w:rsidRDefault="00A83BCD" w:rsidP="00875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BCD">
              <w:rPr>
                <w:rFonts w:asciiTheme="minorHAnsi" w:hAnsiTheme="minorHAnsi" w:cstheme="minorHAnsi"/>
                <w:sz w:val="22"/>
                <w:szCs w:val="22"/>
              </w:rPr>
              <w:t>Action item 04</w:t>
            </w:r>
            <w:r w:rsidR="007903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3BCD">
              <w:rPr>
                <w:rFonts w:asciiTheme="minorHAnsi" w:hAnsiTheme="minorHAnsi" w:cstheme="minorHAnsi"/>
                <w:sz w:val="22"/>
                <w:szCs w:val="22"/>
              </w:rPr>
              <w:t>70-2023</w:t>
            </w:r>
          </w:p>
        </w:tc>
        <w:tc>
          <w:tcPr>
            <w:tcW w:w="5245" w:type="dxa"/>
            <w:shd w:val="clear" w:color="auto" w:fill="auto"/>
          </w:tcPr>
          <w:p w14:paraId="4412965F" w14:textId="4AEB17FC" w:rsidR="00A83BCD" w:rsidRPr="005B32C6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Secretariat to create Google doc of RAP, to be circulated to the CSC before its next meeting (meeting 71</w:t>
            </w:r>
            <w:r w:rsidR="00C55E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181F8FDC" w14:textId="2D365F8F" w:rsidR="00A83BCD" w:rsidRDefault="00A83BC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A83BCD" w:rsidRPr="002346C8" w14:paraId="02972529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1ABEB5F1" w14:textId="197AC0F9" w:rsidR="00A83BCD" w:rsidRPr="00A83BCD" w:rsidRDefault="00A83BCD" w:rsidP="00875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BCD">
              <w:rPr>
                <w:rFonts w:asciiTheme="minorHAnsi" w:hAnsiTheme="minorHAnsi" w:cstheme="minorHAnsi"/>
                <w:sz w:val="22"/>
                <w:szCs w:val="22"/>
              </w:rPr>
              <w:t>Action item 05</w:t>
            </w:r>
            <w:r w:rsidR="007903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3BCD">
              <w:rPr>
                <w:rFonts w:asciiTheme="minorHAnsi" w:hAnsiTheme="minorHAnsi" w:cstheme="minorHAnsi"/>
                <w:sz w:val="22"/>
                <w:szCs w:val="22"/>
              </w:rPr>
              <w:t>70-2023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21569BC5" w14:textId="4BCEFF8E" w:rsidR="00A83BCD" w:rsidRPr="005B32C6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member or liaison to (self-)nominate as liaison to the second IANA naming Function Review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Appointment agenda item CSC meeting 71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12A29768" w14:textId="055E7ECE" w:rsidR="00A83BCD" w:rsidRDefault="00A83BC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See agenda item </w:t>
            </w:r>
            <w:r w:rsidR="0079038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2917CF44" w14:textId="77777777" w:rsidR="003442BE" w:rsidRPr="00DD2727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223FD1C0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79038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April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1B264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3</w:t>
      </w:r>
    </w:p>
    <w:p w14:paraId="015DC9BB" w14:textId="77777777" w:rsidR="00790387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8755E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April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3F2011E2" w14:textId="518F9D37" w:rsidR="009A3320" w:rsidRPr="00790387" w:rsidRDefault="00AD5C75" w:rsidP="00790387">
      <w:pPr>
        <w:pStyle w:val="ListParagrap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C</w:t>
      </w:r>
      <w:r w:rsidR="009A3320"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4 May</w:t>
      </w:r>
      <w:r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2023. </w:t>
      </w:r>
      <w:r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During the month of </w:t>
      </w:r>
      <w:r w:rsidR="00790387" w:rsidRPr="00790387">
        <w:rPr>
          <w:rFonts w:asciiTheme="minorHAnsi" w:hAnsiTheme="minorHAnsi" w:cstheme="minorHAnsi"/>
          <w:color w:val="000000"/>
          <w:sz w:val="22"/>
          <w:szCs w:val="22"/>
        </w:rPr>
        <w:t>April</w:t>
      </w:r>
      <w:r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90387">
        <w:rPr>
          <w:rFonts w:asciiTheme="minorHAnsi" w:hAnsiTheme="minorHAnsi" w:cstheme="minorHAnsi"/>
          <w:color w:val="000000"/>
          <w:sz w:val="22"/>
          <w:szCs w:val="22"/>
          <w:lang w:val="en-US"/>
        </w:rPr>
        <w:t>PTI</w:t>
      </w:r>
      <w:r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 met 100% of the SLA thresholds.</w:t>
      </w:r>
    </w:p>
    <w:p w14:paraId="10EB7795" w14:textId="77777777" w:rsidR="007E2571" w:rsidRPr="00790387" w:rsidRDefault="007E2571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0F1A94AC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April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7BD75D87" w14:textId="6E98BCDB" w:rsidR="001B2645" w:rsidRDefault="00F1359C" w:rsidP="00790387">
      <w:pPr>
        <w:ind w:firstLine="7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Jennifer c</w:t>
      </w:r>
      <w:r w:rsidR="007E2571" w:rsidRPr="007E257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draft Findings </w:t>
      </w:r>
      <w:r w:rsid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5 May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</w:t>
      </w:r>
    </w:p>
    <w:p w14:paraId="15DD8EBE" w14:textId="77777777" w:rsidR="00143718" w:rsidRDefault="00143718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FE7E7" w14:textId="6FE94E8C" w:rsidR="00E55A0F" w:rsidRPr="00790387" w:rsidRDefault="00AD5C75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790387">
        <w:rPr>
          <w:rFonts w:asciiTheme="minorHAnsi" w:hAnsiTheme="minorHAnsi" w:cstheme="minorHAnsi"/>
          <w:b/>
          <w:bCs/>
          <w:sz w:val="22"/>
          <w:szCs w:val="22"/>
        </w:rPr>
        <w:t xml:space="preserve">Appointment  liaison to </w:t>
      </w:r>
      <w:r w:rsidR="00444A38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444A38" w:rsidRPr="00444A3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="00444A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2C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4A38">
        <w:rPr>
          <w:rFonts w:asciiTheme="minorHAnsi" w:hAnsiTheme="minorHAnsi" w:cstheme="minorHAnsi"/>
          <w:b/>
          <w:bCs/>
          <w:sz w:val="22"/>
          <w:szCs w:val="22"/>
        </w:rPr>
        <w:t xml:space="preserve">IANA Function Review Process </w:t>
      </w:r>
    </w:p>
    <w:p w14:paraId="683FB6BB" w14:textId="5A8F3AFA" w:rsidR="002A6E8E" w:rsidRPr="00AD5C75" w:rsidRDefault="00AD5C75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D5C75">
        <w:rPr>
          <w:rFonts w:asciiTheme="minorHAnsi" w:hAnsiTheme="minorHAnsi" w:cstheme="minorHAnsi"/>
          <w:sz w:val="22"/>
          <w:szCs w:val="22"/>
        </w:rPr>
        <w:t>ICANN has recently called for expression of interest to serve on 2</w:t>
      </w:r>
      <w:r w:rsidRPr="00AD5C7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AD5C75">
        <w:rPr>
          <w:rFonts w:asciiTheme="minorHAnsi" w:hAnsiTheme="minorHAnsi" w:cstheme="minorHAnsi"/>
          <w:sz w:val="22"/>
          <w:szCs w:val="22"/>
        </w:rPr>
        <w:t xml:space="preserve"> IANA Naming Function Review Team. The CSC is expected to appoint a liaison to the </w:t>
      </w:r>
      <w:r>
        <w:rPr>
          <w:rFonts w:asciiTheme="minorHAnsi" w:hAnsiTheme="minorHAnsi" w:cstheme="minorHAnsi"/>
          <w:sz w:val="22"/>
          <w:szCs w:val="22"/>
        </w:rPr>
        <w:t>IFRT</w:t>
      </w:r>
      <w:r w:rsidRPr="00AD5C75">
        <w:rPr>
          <w:rFonts w:asciiTheme="minorHAnsi" w:hAnsiTheme="minorHAnsi" w:cstheme="minorHAnsi"/>
          <w:sz w:val="22"/>
          <w:szCs w:val="22"/>
        </w:rPr>
        <w:t>.</w:t>
      </w:r>
    </w:p>
    <w:p w14:paraId="7C097563" w14:textId="77777777" w:rsidR="00AD5C75" w:rsidRDefault="00AD5C75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EDC02" w14:textId="31F39540" w:rsidR="00444A38" w:rsidRDefault="00790387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44A38">
        <w:rPr>
          <w:rFonts w:asciiTheme="minorHAnsi" w:hAnsiTheme="minorHAnsi" w:cstheme="minorHAnsi"/>
          <w:b/>
          <w:bCs/>
          <w:sz w:val="22"/>
          <w:szCs w:val="22"/>
        </w:rPr>
        <w:t xml:space="preserve">.  CSC Effectiveness review </w:t>
      </w:r>
    </w:p>
    <w:p w14:paraId="7572F224" w14:textId="6D70B7F6" w:rsidR="002A6E8E" w:rsidRDefault="002A6E8E" w:rsidP="002A6E8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1B2645">
        <w:rPr>
          <w:rFonts w:asciiTheme="minorHAnsi" w:hAnsiTheme="minorHAnsi" w:cstheme="minorHAnsi"/>
          <w:sz w:val="22"/>
          <w:szCs w:val="22"/>
        </w:rPr>
        <w:t>2</w:t>
      </w:r>
      <w:r w:rsidRPr="001B264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1B2645">
        <w:rPr>
          <w:rFonts w:asciiTheme="minorHAnsi" w:hAnsiTheme="minorHAnsi" w:cstheme="minorHAnsi"/>
          <w:sz w:val="22"/>
          <w:szCs w:val="22"/>
        </w:rPr>
        <w:t xml:space="preserve"> CSC Effectiveness Review</w:t>
      </w:r>
      <w:r>
        <w:rPr>
          <w:rFonts w:asciiTheme="minorHAnsi" w:hAnsiTheme="minorHAnsi" w:cstheme="minorHAnsi"/>
          <w:sz w:val="22"/>
          <w:szCs w:val="22"/>
        </w:rPr>
        <w:t xml:space="preserve"> team </w:t>
      </w:r>
      <w:r w:rsidR="00790387">
        <w:rPr>
          <w:rFonts w:asciiTheme="minorHAnsi" w:hAnsiTheme="minorHAnsi" w:cstheme="minorHAnsi"/>
          <w:sz w:val="22"/>
          <w:szCs w:val="22"/>
        </w:rPr>
        <w:t>was adopted by</w:t>
      </w:r>
      <w:r w:rsidR="00AD5C75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AD5C75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="00AD5C75">
        <w:rPr>
          <w:rFonts w:asciiTheme="minorHAnsi" w:hAnsiTheme="minorHAnsi" w:cstheme="minorHAnsi"/>
          <w:sz w:val="22"/>
          <w:szCs w:val="22"/>
        </w:rPr>
        <w:t xml:space="preserve"> and GNSO Councils at their 20 April </w:t>
      </w:r>
      <w:r w:rsidR="00790387">
        <w:rPr>
          <w:rFonts w:asciiTheme="minorHAnsi" w:hAnsiTheme="minorHAnsi" w:cstheme="minorHAnsi"/>
          <w:sz w:val="22"/>
          <w:szCs w:val="22"/>
        </w:rPr>
        <w:t>2023, including the recommendations and suggestions for the CSC</w:t>
      </w:r>
      <w:r w:rsidR="00AD5C75">
        <w:rPr>
          <w:rFonts w:asciiTheme="minorHAnsi" w:hAnsiTheme="minorHAnsi" w:cstheme="minorHAnsi"/>
          <w:sz w:val="22"/>
          <w:szCs w:val="22"/>
        </w:rPr>
        <w:t xml:space="preserve">. </w:t>
      </w:r>
      <w:r w:rsidR="00790387">
        <w:rPr>
          <w:rFonts w:asciiTheme="minorHAnsi" w:hAnsiTheme="minorHAnsi" w:cstheme="minorHAnsi"/>
          <w:sz w:val="22"/>
          <w:szCs w:val="22"/>
        </w:rPr>
        <w:t>The Councils are working on letter to CSC to inform them accordingly, and requesting the CSC to consider the recommendations and suggestions.</w:t>
      </w:r>
    </w:p>
    <w:p w14:paraId="184E45C4" w14:textId="372B3EED" w:rsidR="00790387" w:rsidRDefault="00790387" w:rsidP="002A6E8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discussion: implementation of recommendations and suggestions.</w:t>
      </w:r>
    </w:p>
    <w:p w14:paraId="196BB2CD" w14:textId="77777777" w:rsidR="00444A38" w:rsidRDefault="00444A38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E0DE0" w14:textId="22BE20CC" w:rsidR="00430A57" w:rsidRDefault="00790387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E257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Introduction CSC membership election process</w:t>
      </w:r>
      <w:r w:rsidR="00F135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359C" w:rsidRPr="00F1359C">
        <w:rPr>
          <w:rFonts w:asciiTheme="minorHAnsi" w:hAnsiTheme="minorHAnsi" w:cstheme="minorHAnsi"/>
          <w:sz w:val="22"/>
          <w:szCs w:val="22"/>
        </w:rPr>
        <w:t>(Jennifer)</w:t>
      </w:r>
    </w:p>
    <w:p w14:paraId="7C85D774" w14:textId="77777777" w:rsidR="00AD5C75" w:rsidRPr="00AD5C75" w:rsidRDefault="00AD5C75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3767C" w14:textId="00C0EC04" w:rsidR="00643DAC" w:rsidRDefault="007E2571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55A0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 xml:space="preserve">Proposed 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Next Meetings </w:t>
      </w:r>
    </w:p>
    <w:p w14:paraId="6BD83F47" w14:textId="326CECB8" w:rsidR="00F1359C" w:rsidRDefault="00C67A99" w:rsidP="00643DA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72 | </w:t>
      </w:r>
      <w:r w:rsidR="00F1359C">
        <w:rPr>
          <w:rFonts w:asciiTheme="minorHAnsi" w:hAnsiTheme="minorHAnsi" w:cstheme="minorHAnsi"/>
          <w:sz w:val="22"/>
          <w:szCs w:val="22"/>
        </w:rPr>
        <w:t>21 June 10.00 -11.00 UTC (</w:t>
      </w:r>
      <w:proofErr w:type="spellStart"/>
      <w:r w:rsidR="00F1359C">
        <w:rPr>
          <w:rFonts w:asciiTheme="minorHAnsi" w:hAnsiTheme="minorHAnsi" w:cstheme="minorHAnsi"/>
          <w:sz w:val="22"/>
          <w:szCs w:val="22"/>
        </w:rPr>
        <w:t>TBC’ed</w:t>
      </w:r>
      <w:proofErr w:type="spellEnd"/>
      <w:r w:rsidR="00F1359C">
        <w:rPr>
          <w:rFonts w:asciiTheme="minorHAnsi" w:hAnsiTheme="minorHAnsi" w:cstheme="minorHAnsi"/>
          <w:sz w:val="22"/>
          <w:szCs w:val="22"/>
        </w:rPr>
        <w:t>)</w:t>
      </w:r>
    </w:p>
    <w:p w14:paraId="766E3D28" w14:textId="77777777" w:rsidR="00F1359C" w:rsidRDefault="00F1359C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73 | 19 July 18.00-19.00 UTC (</w:t>
      </w:r>
      <w:proofErr w:type="spellStart"/>
      <w:r>
        <w:rPr>
          <w:rFonts w:asciiTheme="minorHAnsi" w:hAnsiTheme="minorHAnsi" w:cstheme="minorHAnsi"/>
          <w:sz w:val="22"/>
          <w:szCs w:val="22"/>
        </w:rPr>
        <w:t>TBC’ed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7E102EB7" w14:textId="08D75A8E" w:rsidR="00F1359C" w:rsidRPr="00F1359C" w:rsidRDefault="00F1359C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1359C">
        <w:rPr>
          <w:rFonts w:asciiTheme="minorHAnsi" w:hAnsiTheme="minorHAnsi" w:cstheme="minorHAnsi"/>
          <w:sz w:val="22"/>
          <w:szCs w:val="22"/>
        </w:rPr>
        <w:t>Meeting 74| 23 August 02.00-03.00 UTC  (</w:t>
      </w:r>
      <w:proofErr w:type="spellStart"/>
      <w:r w:rsidRPr="00F1359C">
        <w:rPr>
          <w:rFonts w:asciiTheme="minorHAnsi" w:hAnsiTheme="minorHAnsi" w:cstheme="minorHAnsi"/>
          <w:sz w:val="22"/>
          <w:szCs w:val="22"/>
        </w:rPr>
        <w:t>TBC’ed</w:t>
      </w:r>
      <w:proofErr w:type="spellEnd"/>
      <w:r w:rsidRPr="00F1359C">
        <w:rPr>
          <w:rFonts w:asciiTheme="minorHAnsi" w:hAnsiTheme="minorHAnsi" w:cstheme="minorHAnsi"/>
          <w:sz w:val="22"/>
          <w:szCs w:val="22"/>
        </w:rPr>
        <w:t>)</w:t>
      </w:r>
    </w:p>
    <w:p w14:paraId="34EAA388" w14:textId="77777777" w:rsidR="00F1359C" w:rsidRDefault="00F1359C" w:rsidP="00F1359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42BB0E" w14:textId="4DDD1139" w:rsidR="00643DAC" w:rsidRDefault="007E2571" w:rsidP="00F1359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>. AOB</w:t>
      </w:r>
    </w:p>
    <w:p w14:paraId="37823FF9" w14:textId="77777777" w:rsidR="00542C9B" w:rsidRPr="00F54A4C" w:rsidRDefault="00542C9B" w:rsidP="002F65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4AB22F78" w:rsidR="00FA21E4" w:rsidRPr="00504F2F" w:rsidRDefault="007E2571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>. Adjourn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FA21E4" w:rsidRPr="00504F2F" w:rsidSect="00B8767F">
      <w:headerReference w:type="default" r:id="rId7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9603" w14:textId="77777777" w:rsidR="00791281" w:rsidRDefault="00791281">
      <w:r>
        <w:separator/>
      </w:r>
    </w:p>
  </w:endnote>
  <w:endnote w:type="continuationSeparator" w:id="0">
    <w:p w14:paraId="2A1081D4" w14:textId="77777777" w:rsidR="00791281" w:rsidRDefault="0079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DF62" w14:textId="77777777" w:rsidR="00791281" w:rsidRDefault="00791281">
      <w:r>
        <w:separator/>
      </w:r>
    </w:p>
  </w:footnote>
  <w:footnote w:type="continuationSeparator" w:id="0">
    <w:p w14:paraId="3715B8A8" w14:textId="77777777" w:rsidR="00791281" w:rsidRDefault="0079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DB23BD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DB23B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1"/>
  </w:num>
  <w:num w:numId="2" w16cid:durableId="1403214046">
    <w:abstractNumId w:val="12"/>
  </w:num>
  <w:num w:numId="3" w16cid:durableId="591209026">
    <w:abstractNumId w:val="2"/>
  </w:num>
  <w:num w:numId="4" w16cid:durableId="500050826">
    <w:abstractNumId w:val="15"/>
  </w:num>
  <w:num w:numId="5" w16cid:durableId="481047730">
    <w:abstractNumId w:val="6"/>
  </w:num>
  <w:num w:numId="6" w16cid:durableId="2017462277">
    <w:abstractNumId w:val="8"/>
  </w:num>
  <w:num w:numId="7" w16cid:durableId="67193773">
    <w:abstractNumId w:val="9"/>
  </w:num>
  <w:num w:numId="8" w16cid:durableId="650250363">
    <w:abstractNumId w:val="5"/>
  </w:num>
  <w:num w:numId="9" w16cid:durableId="904683073">
    <w:abstractNumId w:val="4"/>
  </w:num>
  <w:num w:numId="10" w16cid:durableId="533612403">
    <w:abstractNumId w:val="14"/>
  </w:num>
  <w:num w:numId="11" w16cid:durableId="654454075">
    <w:abstractNumId w:val="10"/>
  </w:num>
  <w:num w:numId="12" w16cid:durableId="1607342635">
    <w:abstractNumId w:val="3"/>
  </w:num>
  <w:num w:numId="13" w16cid:durableId="1700089083">
    <w:abstractNumId w:val="0"/>
  </w:num>
  <w:num w:numId="14" w16cid:durableId="915938904">
    <w:abstractNumId w:val="7"/>
  </w:num>
  <w:num w:numId="15" w16cid:durableId="415176259">
    <w:abstractNumId w:val="13"/>
  </w:num>
  <w:num w:numId="16" w16cid:durableId="1709716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5774A"/>
    <w:rsid w:val="000613FA"/>
    <w:rsid w:val="000A4C8E"/>
    <w:rsid w:val="000C016D"/>
    <w:rsid w:val="000E7B9F"/>
    <w:rsid w:val="00110E25"/>
    <w:rsid w:val="00126E4D"/>
    <w:rsid w:val="00131BC2"/>
    <w:rsid w:val="00143718"/>
    <w:rsid w:val="0015566B"/>
    <w:rsid w:val="00162394"/>
    <w:rsid w:val="00162C36"/>
    <w:rsid w:val="001B0455"/>
    <w:rsid w:val="001B2645"/>
    <w:rsid w:val="001E2871"/>
    <w:rsid w:val="001F4A96"/>
    <w:rsid w:val="001F643D"/>
    <w:rsid w:val="00231A8D"/>
    <w:rsid w:val="002A637C"/>
    <w:rsid w:val="002A6E8E"/>
    <w:rsid w:val="002A7766"/>
    <w:rsid w:val="002C0E5E"/>
    <w:rsid w:val="002C72C3"/>
    <w:rsid w:val="002D2CD3"/>
    <w:rsid w:val="002E214D"/>
    <w:rsid w:val="002E5CC9"/>
    <w:rsid w:val="002F65F0"/>
    <w:rsid w:val="00335B1C"/>
    <w:rsid w:val="003442BE"/>
    <w:rsid w:val="0039209B"/>
    <w:rsid w:val="003D1F52"/>
    <w:rsid w:val="003F094B"/>
    <w:rsid w:val="00411FC0"/>
    <w:rsid w:val="00430A57"/>
    <w:rsid w:val="00431617"/>
    <w:rsid w:val="00444A38"/>
    <w:rsid w:val="00467AA7"/>
    <w:rsid w:val="00467C5A"/>
    <w:rsid w:val="00473AC2"/>
    <w:rsid w:val="004932B8"/>
    <w:rsid w:val="004A0BF6"/>
    <w:rsid w:val="004A14DC"/>
    <w:rsid w:val="004D579A"/>
    <w:rsid w:val="004E2D7F"/>
    <w:rsid w:val="00500498"/>
    <w:rsid w:val="00504F2F"/>
    <w:rsid w:val="00542C67"/>
    <w:rsid w:val="00542C9B"/>
    <w:rsid w:val="005576FD"/>
    <w:rsid w:val="00593056"/>
    <w:rsid w:val="005A6748"/>
    <w:rsid w:val="005E28D3"/>
    <w:rsid w:val="006169A0"/>
    <w:rsid w:val="00643DAC"/>
    <w:rsid w:val="006866D1"/>
    <w:rsid w:val="006B52F4"/>
    <w:rsid w:val="006B7D24"/>
    <w:rsid w:val="006E0B84"/>
    <w:rsid w:val="0077518D"/>
    <w:rsid w:val="00790387"/>
    <w:rsid w:val="00791281"/>
    <w:rsid w:val="00796D9C"/>
    <w:rsid w:val="007A32DA"/>
    <w:rsid w:val="007D2E97"/>
    <w:rsid w:val="007E1E9F"/>
    <w:rsid w:val="007E2571"/>
    <w:rsid w:val="007F1CB6"/>
    <w:rsid w:val="007F4325"/>
    <w:rsid w:val="00811023"/>
    <w:rsid w:val="00863DBE"/>
    <w:rsid w:val="0087501E"/>
    <w:rsid w:val="008755E8"/>
    <w:rsid w:val="00890CE6"/>
    <w:rsid w:val="00894CBA"/>
    <w:rsid w:val="008E690A"/>
    <w:rsid w:val="00907DEF"/>
    <w:rsid w:val="00917366"/>
    <w:rsid w:val="00934ADB"/>
    <w:rsid w:val="00961DC4"/>
    <w:rsid w:val="009732FA"/>
    <w:rsid w:val="00973985"/>
    <w:rsid w:val="009A3320"/>
    <w:rsid w:val="00A83BCD"/>
    <w:rsid w:val="00AA1C77"/>
    <w:rsid w:val="00AC17C4"/>
    <w:rsid w:val="00AD5C75"/>
    <w:rsid w:val="00B02E93"/>
    <w:rsid w:val="00B034BF"/>
    <w:rsid w:val="00B34A8A"/>
    <w:rsid w:val="00B510F5"/>
    <w:rsid w:val="00B52FE8"/>
    <w:rsid w:val="00B53D72"/>
    <w:rsid w:val="00B56663"/>
    <w:rsid w:val="00B62C06"/>
    <w:rsid w:val="00B82EE9"/>
    <w:rsid w:val="00B9437D"/>
    <w:rsid w:val="00BB27AB"/>
    <w:rsid w:val="00C050E2"/>
    <w:rsid w:val="00C0709A"/>
    <w:rsid w:val="00C20E84"/>
    <w:rsid w:val="00C55E8F"/>
    <w:rsid w:val="00C67A99"/>
    <w:rsid w:val="00C72BC3"/>
    <w:rsid w:val="00C74958"/>
    <w:rsid w:val="00C862E0"/>
    <w:rsid w:val="00CB4589"/>
    <w:rsid w:val="00CC14C9"/>
    <w:rsid w:val="00CE0429"/>
    <w:rsid w:val="00D035D1"/>
    <w:rsid w:val="00D07765"/>
    <w:rsid w:val="00D20A0A"/>
    <w:rsid w:val="00D7611E"/>
    <w:rsid w:val="00D9208E"/>
    <w:rsid w:val="00D92F48"/>
    <w:rsid w:val="00DA0EC8"/>
    <w:rsid w:val="00DD2727"/>
    <w:rsid w:val="00DD63FF"/>
    <w:rsid w:val="00DF5C8E"/>
    <w:rsid w:val="00E54AD1"/>
    <w:rsid w:val="00E55A0F"/>
    <w:rsid w:val="00E7191E"/>
    <w:rsid w:val="00EA4659"/>
    <w:rsid w:val="00F1359C"/>
    <w:rsid w:val="00F25589"/>
    <w:rsid w:val="00F26FEC"/>
    <w:rsid w:val="00F54A4C"/>
    <w:rsid w:val="00F5519B"/>
    <w:rsid w:val="00F652EB"/>
    <w:rsid w:val="00F7204B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2023-05-12T07:57:00Z</dcterms:created>
  <dcterms:modified xsi:type="dcterms:W3CDTF">2023-05-12T07:58:00Z</dcterms:modified>
</cp:coreProperties>
</file>