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85C7" w14:textId="7D68F720" w:rsidR="00A65CF9" w:rsidRPr="00844F03" w:rsidRDefault="00A10043" w:rsidP="00A65CF9">
      <w:pPr>
        <w:pStyle w:val="NoSpacing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Discussion note </w:t>
      </w:r>
      <w:r w:rsidR="00A65CF9" w:rsidRPr="00844F03">
        <w:rPr>
          <w:rFonts w:ascii="Calibri" w:hAnsi="Calibri" w:cs="Calibri"/>
          <w:b/>
          <w:bCs/>
          <w:color w:val="000000"/>
          <w:sz w:val="28"/>
          <w:szCs w:val="28"/>
        </w:rPr>
        <w:t>Framework for general review of SLAs</w:t>
      </w:r>
    </w:p>
    <w:p w14:paraId="76B6CBC7" w14:textId="4D274B16" w:rsidR="00A65CF9" w:rsidRDefault="00A10043" w:rsidP="00A65CF9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Version1 </w:t>
      </w:r>
      <w:r w:rsidR="0048148B">
        <w:rPr>
          <w:rFonts w:ascii="Calibri" w:hAnsi="Calibri" w:cs="Calibri"/>
          <w:color w:val="000000"/>
          <w:sz w:val="22"/>
          <w:szCs w:val="22"/>
        </w:rPr>
        <w:t>– October 2023</w:t>
      </w:r>
    </w:p>
    <w:p w14:paraId="74E52C4E" w14:textId="3FF9F1E1" w:rsidR="00A65CF9" w:rsidRDefault="00A65CF9" w:rsidP="00A65CF9">
      <w:pPr>
        <w:pStyle w:val="NoSpacing"/>
        <w:rPr>
          <w:rFonts w:ascii="Calibri" w:eastAsia="Times New Roman" w:hAnsi="Calibri" w:cs="Calibri"/>
          <w:sz w:val="22"/>
          <w:szCs w:val="22"/>
          <w:lang w:eastAsia="en-GB"/>
        </w:rPr>
      </w:pPr>
      <w:r w:rsidRPr="00844F03">
        <w:rPr>
          <w:rFonts w:ascii="Calibri" w:hAnsi="Calibri" w:cs="Calibri"/>
          <w:b/>
          <w:bCs/>
          <w:color w:val="000000"/>
        </w:rPr>
        <w:t>Introduction</w:t>
      </w:r>
      <w:r w:rsidRPr="00A65CF9">
        <w:rPr>
          <w:rFonts w:eastAsia="Times New Roman" w:cs="Arial"/>
          <w:sz w:val="30"/>
          <w:szCs w:val="30"/>
          <w:lang w:eastAsia="en-GB"/>
        </w:rPr>
        <w:br/>
      </w:r>
      <w:r w:rsidRPr="00A65CF9">
        <w:rPr>
          <w:rFonts w:ascii="Calibri" w:eastAsia="Times New Roman" w:hAnsi="Calibri" w:cs="Calibri"/>
          <w:sz w:val="22"/>
          <w:szCs w:val="22"/>
          <w:lang w:eastAsia="en-GB"/>
        </w:rPr>
        <w:t xml:space="preserve">In its conversations with </w:t>
      </w:r>
      <w:r w:rsidRPr="00A65CF9">
        <w:rPr>
          <w:rFonts w:ascii="Calibri" w:eastAsia="Times New Roman" w:hAnsi="Calibri" w:cs="Calibri"/>
          <w:sz w:val="22"/>
          <w:szCs w:val="22"/>
          <w:lang w:eastAsia="en-GB"/>
        </w:rPr>
        <w:t>the CSC, PTI and PTI Board</w:t>
      </w:r>
      <w:r w:rsidRPr="00A65CF9">
        <w:rPr>
          <w:rFonts w:ascii="Calibri" w:eastAsia="Times New Roman" w:hAnsi="Calibri" w:cs="Calibri"/>
          <w:sz w:val="22"/>
          <w:szCs w:val="22"/>
          <w:lang w:eastAsia="en-GB"/>
        </w:rPr>
        <w:t>, the second CSC Effectiveness Review Team</w:t>
      </w:r>
      <w:r w:rsidRPr="00A65CF9">
        <w:rPr>
          <w:rFonts w:ascii="Calibri" w:eastAsia="Times New Roman" w:hAnsi="Calibri" w:cs="Calibri"/>
          <w:sz w:val="22"/>
          <w:szCs w:val="22"/>
          <w:lang w:eastAsia="en-GB"/>
        </w:rPr>
        <w:t xml:space="preserve">, the question whether the IANA Naming Function SLAs should be reviewed periodically was a recurring theme. </w:t>
      </w:r>
    </w:p>
    <w:p w14:paraId="14A647DD" w14:textId="77777777" w:rsidR="00A65CF9" w:rsidRDefault="00A65CF9" w:rsidP="00A65CF9">
      <w:pPr>
        <w:pStyle w:val="NoSpacing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9F5A8F4" w14:textId="3ABE0DD3" w:rsidR="00A65CF9" w:rsidRPr="00A65CF9" w:rsidRDefault="00A65CF9" w:rsidP="00A65CF9">
      <w:pPr>
        <w:shd w:val="clear" w:color="auto" w:fill="FFFFFF"/>
        <w:rPr>
          <w:rFonts w:eastAsia="Times New Roman" w:cstheme="minorHAnsi"/>
          <w:sz w:val="22"/>
          <w:szCs w:val="22"/>
          <w:lang w:eastAsia="en-GB"/>
        </w:rPr>
      </w:pPr>
      <w:r w:rsidRPr="00A65CF9">
        <w:rPr>
          <w:rFonts w:eastAsia="Times New Roman" w:cstheme="minorHAnsi"/>
          <w:sz w:val="22"/>
          <w:szCs w:val="22"/>
          <w:lang w:eastAsia="en-GB"/>
        </w:rPr>
        <w:t xml:space="preserve">The current SLAs were developed as part of the IANA Stewardship Transition Process and are reflected in the 2016 IANA Naming Function Contract. Given the passage of time, the </w:t>
      </w:r>
      <w:r>
        <w:rPr>
          <w:rFonts w:eastAsia="Times New Roman" w:cstheme="minorHAnsi"/>
          <w:sz w:val="22"/>
          <w:szCs w:val="22"/>
          <w:lang w:val="en-US" w:eastAsia="en-GB"/>
        </w:rPr>
        <w:t xml:space="preserve">Review </w:t>
      </w:r>
      <w:r w:rsidRPr="00A65CF9">
        <w:rPr>
          <w:rFonts w:eastAsia="Times New Roman" w:cstheme="minorHAnsi"/>
          <w:sz w:val="22"/>
          <w:szCs w:val="22"/>
          <w:lang w:eastAsia="en-GB"/>
        </w:rPr>
        <w:t>Team was advised by both PTI and the PTI Board that it would be timely to assess the adequacy of the current SLAs by way of a review and that the CSC is considered well placed to conduct such a review, in consultation with the broader ICANN community</w:t>
      </w:r>
    </w:p>
    <w:p w14:paraId="3C405A52" w14:textId="77777777" w:rsidR="00A65CF9" w:rsidRDefault="00A65CF9" w:rsidP="00A65CF9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14:paraId="3F130E64" w14:textId="25D31DF9" w:rsidR="004C1130" w:rsidRPr="00A65CF9" w:rsidRDefault="00A65CF9" w:rsidP="004C1130">
      <w:pPr>
        <w:shd w:val="clear" w:color="auto" w:fill="FFFFFF"/>
        <w:rPr>
          <w:rFonts w:eastAsia="Times New Roman" w:cstheme="minorHAnsi"/>
          <w:sz w:val="22"/>
          <w:szCs w:val="22"/>
          <w:lang w:val="en-US" w:eastAsia="en-GB"/>
        </w:rPr>
      </w:pPr>
      <w:r w:rsidRPr="004C1130">
        <w:rPr>
          <w:rFonts w:eastAsia="Times New Roman" w:cstheme="minorHAnsi"/>
          <w:sz w:val="22"/>
          <w:szCs w:val="22"/>
          <w:lang w:val="en-US" w:eastAsia="en-GB"/>
        </w:rPr>
        <w:t>T</w:t>
      </w:r>
      <w:r w:rsidRPr="00A65CF9">
        <w:rPr>
          <w:rFonts w:eastAsia="Times New Roman" w:cstheme="minorHAnsi"/>
          <w:sz w:val="22"/>
          <w:szCs w:val="22"/>
          <w:lang w:eastAsia="en-GB"/>
        </w:rPr>
        <w:t xml:space="preserve">he </w:t>
      </w:r>
      <w:r w:rsidRPr="004C1130">
        <w:rPr>
          <w:rFonts w:eastAsia="Times New Roman" w:cstheme="minorHAnsi"/>
          <w:sz w:val="22"/>
          <w:szCs w:val="22"/>
          <w:lang w:val="en-US" w:eastAsia="en-GB"/>
        </w:rPr>
        <w:t xml:space="preserve">Review Team recommended that the </w:t>
      </w:r>
      <w:r w:rsidRPr="00A65CF9">
        <w:rPr>
          <w:rFonts w:eastAsia="Times New Roman" w:cstheme="minorHAnsi"/>
          <w:sz w:val="22"/>
          <w:szCs w:val="22"/>
          <w:lang w:eastAsia="en-GB"/>
        </w:rPr>
        <w:t xml:space="preserve">CSC in close cooperation with PTI </w:t>
      </w:r>
      <w:r w:rsidRPr="004C1130">
        <w:rPr>
          <w:rFonts w:eastAsia="Times New Roman" w:cstheme="minorHAnsi"/>
          <w:sz w:val="22"/>
          <w:szCs w:val="22"/>
          <w:lang w:val="en-US" w:eastAsia="en-GB"/>
        </w:rPr>
        <w:t xml:space="preserve">would </w:t>
      </w:r>
      <w:r w:rsidRPr="00A65CF9">
        <w:rPr>
          <w:rFonts w:eastAsia="Times New Roman" w:cstheme="minorHAnsi"/>
          <w:sz w:val="22"/>
          <w:szCs w:val="22"/>
          <w:lang w:eastAsia="en-GB"/>
        </w:rPr>
        <w:t xml:space="preserve">develop a framework that could be used to conduct regular reviews of the SLAs. The </w:t>
      </w:r>
      <w:r w:rsidRPr="004C1130">
        <w:rPr>
          <w:rFonts w:eastAsia="Times New Roman" w:cstheme="minorHAnsi"/>
          <w:sz w:val="22"/>
          <w:szCs w:val="22"/>
          <w:lang w:val="en-US" w:eastAsia="en-GB"/>
        </w:rPr>
        <w:t xml:space="preserve">Review Team suggested that the process for Amending IANA Service Level Agreements </w:t>
      </w:r>
      <w:r w:rsidR="004C1130" w:rsidRPr="004C1130">
        <w:rPr>
          <w:rFonts w:eastAsia="Times New Roman" w:cstheme="minorHAnsi"/>
          <w:sz w:val="22"/>
          <w:szCs w:val="22"/>
          <w:lang w:val="en-US" w:eastAsia="en-GB"/>
        </w:rPr>
        <w:t xml:space="preserve">could be </w:t>
      </w:r>
      <w:r w:rsidRPr="00A65CF9">
        <w:rPr>
          <w:rFonts w:eastAsia="Times New Roman" w:cstheme="minorHAnsi"/>
          <w:sz w:val="22"/>
          <w:szCs w:val="22"/>
          <w:lang w:eastAsia="en-GB"/>
        </w:rPr>
        <w:t>starting point for such a framework</w:t>
      </w:r>
      <w:r w:rsidR="004C1130" w:rsidRPr="004C1130">
        <w:rPr>
          <w:rFonts w:eastAsia="Times New Roman" w:cstheme="minorHAnsi"/>
          <w:sz w:val="22"/>
          <w:szCs w:val="22"/>
          <w:lang w:val="en-US" w:eastAsia="en-GB"/>
        </w:rPr>
        <w:t xml:space="preserve">. </w:t>
      </w:r>
      <w:r w:rsidRPr="00A65CF9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4C1130" w:rsidRPr="004C1130">
        <w:rPr>
          <w:rFonts w:eastAsia="Times New Roman" w:cstheme="minorHAnsi"/>
          <w:sz w:val="22"/>
          <w:szCs w:val="22"/>
          <w:lang w:eastAsia="en-GB"/>
        </w:rPr>
        <w:t>The framework will require the support of the direct customers of</w:t>
      </w:r>
      <w:r w:rsidR="004C1130" w:rsidRPr="004C1130">
        <w:rPr>
          <w:rFonts w:eastAsia="Times New Roman" w:cstheme="minorHAnsi"/>
          <w:sz w:val="22"/>
          <w:szCs w:val="22"/>
          <w:lang w:val="en-US" w:eastAsia="en-GB"/>
        </w:rPr>
        <w:t xml:space="preserve"> PTI</w:t>
      </w:r>
      <w:r w:rsidR="004C1130">
        <w:rPr>
          <w:rFonts w:eastAsia="Times New Roman" w:cstheme="minorHAnsi"/>
          <w:sz w:val="22"/>
          <w:szCs w:val="22"/>
          <w:lang w:val="en-US" w:eastAsia="en-GB"/>
        </w:rPr>
        <w:t>.</w:t>
      </w:r>
    </w:p>
    <w:p w14:paraId="4C534C58" w14:textId="77777777" w:rsidR="00A65CF9" w:rsidRDefault="00A65CF9" w:rsidP="00A65CF9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14:paraId="1ED55203" w14:textId="57E0935A" w:rsidR="004C1130" w:rsidRPr="00844F03" w:rsidRDefault="004C1130" w:rsidP="00A65CF9">
      <w:pPr>
        <w:pStyle w:val="NoSpacing"/>
        <w:rPr>
          <w:rFonts w:ascii="Calibri" w:hAnsi="Calibri" w:cs="Calibri"/>
          <w:b/>
          <w:bCs/>
          <w:color w:val="000000"/>
        </w:rPr>
      </w:pPr>
      <w:r w:rsidRPr="00844F03">
        <w:rPr>
          <w:rFonts w:ascii="Calibri" w:hAnsi="Calibri" w:cs="Calibri"/>
          <w:b/>
          <w:bCs/>
          <w:color w:val="000000"/>
        </w:rPr>
        <w:t>Current proce</w:t>
      </w:r>
      <w:r w:rsidR="00A03DF4" w:rsidRPr="00844F03">
        <w:rPr>
          <w:rFonts w:ascii="Calibri" w:hAnsi="Calibri" w:cs="Calibri"/>
          <w:b/>
          <w:bCs/>
          <w:color w:val="000000"/>
        </w:rPr>
        <w:t>dure to determine if SLAs needs changing</w:t>
      </w:r>
      <w:r w:rsidRPr="00844F03">
        <w:rPr>
          <w:rFonts w:ascii="Calibri" w:hAnsi="Calibri" w:cs="Calibri"/>
          <w:b/>
          <w:bCs/>
          <w:color w:val="000000"/>
        </w:rPr>
        <w:t xml:space="preserve"> and its limitations</w:t>
      </w:r>
    </w:p>
    <w:p w14:paraId="5861471D" w14:textId="2420C2BE" w:rsidR="004C1130" w:rsidRDefault="004C1130" w:rsidP="00A65CF9">
      <w:pPr>
        <w:pStyle w:val="NoSpacing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4C1130">
        <w:rPr>
          <w:rFonts w:asciiTheme="minorHAnsi" w:eastAsia="Times New Roman" w:hAnsiTheme="minorHAnsi" w:cstheme="minorHAnsi"/>
          <w:sz w:val="22"/>
          <w:szCs w:val="22"/>
          <w:lang w:eastAsia="en-GB"/>
        </w:rPr>
        <w:t>process for Amending IANA Service Level Agreements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was developed to specify the procedures and roles and responsibilities of the CSC, PTI and ICANN to make timely amendments to SLAs that fall into a number of defined categories: </w:t>
      </w:r>
    </w:p>
    <w:p w14:paraId="79F6F1AA" w14:textId="11A209BC" w:rsidR="004C1130" w:rsidRPr="004C1130" w:rsidRDefault="004C1130" w:rsidP="004C113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1130">
        <w:rPr>
          <w:rFonts w:asciiTheme="minorHAnsi" w:hAnsiTheme="minorHAnsi" w:cstheme="minorHAnsi"/>
          <w:sz w:val="22"/>
          <w:szCs w:val="22"/>
        </w:rPr>
        <w:t xml:space="preserve">New SLA Item </w:t>
      </w:r>
    </w:p>
    <w:p w14:paraId="2DDA2DE8" w14:textId="77777777" w:rsidR="004C1130" w:rsidRPr="004C1130" w:rsidRDefault="004C1130" w:rsidP="004C113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1130">
        <w:rPr>
          <w:rFonts w:asciiTheme="minorHAnsi" w:hAnsiTheme="minorHAnsi" w:cstheme="minorHAnsi"/>
          <w:sz w:val="22"/>
          <w:szCs w:val="22"/>
        </w:rPr>
        <w:t xml:space="preserve">Remove SLA Item </w:t>
      </w:r>
    </w:p>
    <w:p w14:paraId="39B3EF1D" w14:textId="77777777" w:rsidR="004C1130" w:rsidRPr="004C1130" w:rsidRDefault="004C1130" w:rsidP="004C113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1130">
        <w:rPr>
          <w:rFonts w:asciiTheme="minorHAnsi" w:hAnsiTheme="minorHAnsi" w:cstheme="minorHAnsi"/>
          <w:sz w:val="22"/>
          <w:szCs w:val="22"/>
        </w:rPr>
        <w:t xml:space="preserve">Change SLA Item definition and target/threshold </w:t>
      </w:r>
    </w:p>
    <w:p w14:paraId="607B2F13" w14:textId="473E7855" w:rsidR="004C1130" w:rsidRPr="004C1130" w:rsidRDefault="004C1130" w:rsidP="004C113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1130">
        <w:rPr>
          <w:rFonts w:asciiTheme="minorHAnsi" w:hAnsiTheme="minorHAnsi" w:cstheme="minorHAnsi"/>
          <w:sz w:val="22"/>
          <w:szCs w:val="22"/>
        </w:rPr>
        <w:t>Change SLA Item target/threshold only</w:t>
      </w:r>
    </w:p>
    <w:p w14:paraId="43C87A05" w14:textId="6421C6B5" w:rsidR="004C1130" w:rsidRDefault="004C1130" w:rsidP="00A65CF9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Note that a</w:t>
      </w:r>
      <w:r w:rsidR="00F13D3F">
        <w:rPr>
          <w:rFonts w:ascii="Calibri" w:hAnsi="Calibri" w:cs="Calibri"/>
          <w:color w:val="000000"/>
          <w:sz w:val="22"/>
          <w:szCs w:val="22"/>
        </w:rPr>
        <w:t>lthough a general review may not result in a change, the SLA change process was designed to deal with a change of individual SLAs.</w:t>
      </w:r>
    </w:p>
    <w:p w14:paraId="307C7671" w14:textId="77777777" w:rsidR="00F13D3F" w:rsidRDefault="00F13D3F" w:rsidP="00A65CF9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14:paraId="5E7ED665" w14:textId="2E8AF785" w:rsidR="00F13D3F" w:rsidRPr="00F13D3F" w:rsidRDefault="00F13D3F" w:rsidP="00A65CF9">
      <w:pPr>
        <w:pStyle w:val="NoSpacing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13D3F">
        <w:rPr>
          <w:rFonts w:ascii="Calibri" w:hAnsi="Calibri" w:cs="Calibri"/>
          <w:b/>
          <w:bCs/>
          <w:color w:val="000000"/>
          <w:sz w:val="22"/>
          <w:szCs w:val="22"/>
        </w:rPr>
        <w:t xml:space="preserve">Question: should the categories be expanded and include a new category?  (change of multiple related SLAs) </w:t>
      </w:r>
    </w:p>
    <w:p w14:paraId="7D346CB2" w14:textId="77777777" w:rsidR="004C1130" w:rsidRDefault="004C1130" w:rsidP="00A65CF9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14:paraId="3472B290" w14:textId="064D1017" w:rsidR="00F13D3F" w:rsidRPr="0006015D" w:rsidRDefault="00F13D3F" w:rsidP="00A65CF9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6015D">
        <w:rPr>
          <w:rFonts w:asciiTheme="minorHAnsi" w:hAnsiTheme="minorHAnsi" w:cstheme="minorHAnsi"/>
          <w:color w:val="000000"/>
          <w:sz w:val="22"/>
          <w:szCs w:val="22"/>
        </w:rPr>
        <w:t xml:space="preserve">Secondly, </w:t>
      </w:r>
      <w:r w:rsidR="0006015D" w:rsidRPr="0006015D">
        <w:rPr>
          <w:rFonts w:asciiTheme="minorHAnsi" w:hAnsiTheme="minorHAnsi" w:cstheme="minorHAnsi"/>
        </w:rPr>
        <w:t>t</w:t>
      </w:r>
      <w:r w:rsidR="0006015D" w:rsidRPr="0006015D">
        <w:rPr>
          <w:rFonts w:asciiTheme="minorHAnsi" w:hAnsiTheme="minorHAnsi" w:cstheme="minorHAnsi"/>
        </w:rPr>
        <w:t xml:space="preserve">o determine the merit of </w:t>
      </w:r>
      <w:r w:rsidR="0006015D" w:rsidRPr="0006015D">
        <w:rPr>
          <w:rFonts w:asciiTheme="minorHAnsi" w:hAnsiTheme="minorHAnsi" w:cstheme="minorHAnsi"/>
        </w:rPr>
        <w:t>a</w:t>
      </w:r>
      <w:r w:rsidR="0006015D" w:rsidRPr="0006015D">
        <w:rPr>
          <w:rFonts w:asciiTheme="minorHAnsi" w:hAnsiTheme="minorHAnsi" w:cstheme="minorHAnsi"/>
        </w:rPr>
        <w:t xml:space="preserve"> change request, the CSC and PTI should conside</w:t>
      </w:r>
      <w:r w:rsidR="0006015D" w:rsidRPr="0006015D">
        <w:rPr>
          <w:rFonts w:asciiTheme="minorHAnsi" w:hAnsiTheme="minorHAnsi" w:cstheme="minorHAnsi"/>
        </w:rPr>
        <w:t>r the following:</w:t>
      </w:r>
    </w:p>
    <w:p w14:paraId="151F99D9" w14:textId="7F324CDB" w:rsidR="0006015D" w:rsidRPr="0006015D" w:rsidRDefault="0006015D" w:rsidP="00A65CF9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015D">
        <w:rPr>
          <w:rFonts w:asciiTheme="minorHAnsi" w:hAnsiTheme="minorHAnsi" w:cstheme="minorHAnsi"/>
          <w:sz w:val="22"/>
          <w:szCs w:val="22"/>
        </w:rPr>
        <w:t>The benefit</w:t>
      </w:r>
      <w:r w:rsidRPr="0006015D">
        <w:rPr>
          <w:rFonts w:asciiTheme="minorHAnsi" w:hAnsiTheme="minorHAnsi" w:cstheme="minorHAnsi"/>
          <w:sz w:val="22"/>
          <w:szCs w:val="22"/>
        </w:rPr>
        <w:t xml:space="preserve"> the changes</w:t>
      </w:r>
      <w:r w:rsidRPr="0006015D">
        <w:rPr>
          <w:rFonts w:asciiTheme="minorHAnsi" w:hAnsiTheme="minorHAnsi" w:cstheme="minorHAnsi"/>
          <w:sz w:val="22"/>
          <w:szCs w:val="22"/>
        </w:rPr>
        <w:t xml:space="preserve"> would provide the community</w:t>
      </w:r>
    </w:p>
    <w:p w14:paraId="12591975" w14:textId="77777777" w:rsidR="0006015D" w:rsidRPr="0006015D" w:rsidRDefault="0006015D" w:rsidP="00A65CF9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015D">
        <w:rPr>
          <w:rFonts w:asciiTheme="minorHAnsi" w:hAnsiTheme="minorHAnsi" w:cstheme="minorHAnsi"/>
          <w:sz w:val="22"/>
          <w:szCs w:val="22"/>
        </w:rPr>
        <w:t>Determine the change’s feasibility such as: can it be achieved? What changes will be required to achieve it including but not limited to system changes, operational changes and an estimated implementation plan?</w:t>
      </w:r>
    </w:p>
    <w:p w14:paraId="0D310A5D" w14:textId="39B93CAA" w:rsidR="0006015D" w:rsidRPr="0006015D" w:rsidRDefault="0006015D" w:rsidP="00A65CF9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015D">
        <w:rPr>
          <w:rFonts w:asciiTheme="minorHAnsi" w:hAnsiTheme="minorHAnsi" w:cstheme="minorHAnsi"/>
          <w:sz w:val="22"/>
          <w:szCs w:val="22"/>
        </w:rPr>
        <w:t>Estimate the cost of the change, based on the implementation requirements mentioned above.</w:t>
      </w:r>
    </w:p>
    <w:p w14:paraId="3CC7DD2F" w14:textId="78B31930" w:rsidR="00F13D3F" w:rsidRDefault="0006015D" w:rsidP="00A65CF9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601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Question: Are these requirements valid for a general review?  Do additional requirement need to be added?</w:t>
      </w:r>
    </w:p>
    <w:p w14:paraId="52B759C5" w14:textId="77777777" w:rsidR="0006015D" w:rsidRDefault="0006015D" w:rsidP="00A65CF9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BD2F00" w14:textId="6FE14B44" w:rsidR="0006015D" w:rsidRDefault="0006015D" w:rsidP="00A65CF9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A03DF4">
        <w:rPr>
          <w:rFonts w:asciiTheme="minorHAnsi" w:hAnsiTheme="minorHAnsi" w:cstheme="minorHAnsi"/>
          <w:color w:val="000000"/>
          <w:sz w:val="22"/>
          <w:szCs w:val="22"/>
        </w:rPr>
        <w:t>Note that only if CSC and PTI both agree to change the SLAs</w:t>
      </w:r>
      <w:r w:rsidR="00844F0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03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3DF4" w:rsidRPr="00A03DF4">
        <w:rPr>
          <w:rFonts w:asciiTheme="minorHAnsi" w:hAnsiTheme="minorHAnsi" w:cstheme="minorHAnsi"/>
          <w:color w:val="000000"/>
          <w:sz w:val="22"/>
          <w:szCs w:val="22"/>
        </w:rPr>
        <w:t>the process will proceed.</w:t>
      </w:r>
      <w:r w:rsidRPr="00A03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55AE4E5" w14:textId="77777777" w:rsidR="00844F03" w:rsidRDefault="00844F03" w:rsidP="00A65CF9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5EFA1B82" w14:textId="6758D37E" w:rsidR="00844F03" w:rsidRPr="00844F03" w:rsidRDefault="00844F03" w:rsidP="00A65CF9">
      <w:pPr>
        <w:pStyle w:val="NoSpacing"/>
        <w:rPr>
          <w:rFonts w:asciiTheme="minorHAnsi" w:hAnsiTheme="minorHAnsi" w:cstheme="minorHAnsi"/>
          <w:color w:val="000000"/>
        </w:rPr>
      </w:pPr>
      <w:r w:rsidRPr="00844F03">
        <w:rPr>
          <w:rFonts w:ascii="Calibri" w:hAnsi="Calibri" w:cs="Calibri"/>
          <w:b/>
          <w:bCs/>
          <w:color w:val="000000"/>
        </w:rPr>
        <w:t>Current procedure</w:t>
      </w:r>
      <w:r w:rsidRPr="00844F03">
        <w:rPr>
          <w:rFonts w:ascii="Calibri" w:hAnsi="Calibri" w:cs="Calibri"/>
          <w:b/>
          <w:bCs/>
          <w:color w:val="000000"/>
        </w:rPr>
        <w:t xml:space="preserve"> to change the SLAs and its limitations</w:t>
      </w:r>
    </w:p>
    <w:p w14:paraId="1425A6BA" w14:textId="1DFF711C" w:rsidR="0006015D" w:rsidRPr="007702F9" w:rsidRDefault="00B00BCC" w:rsidP="00A65CF9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7702F9">
        <w:rPr>
          <w:rFonts w:asciiTheme="minorHAnsi" w:hAnsiTheme="minorHAnsi" w:cstheme="minorHAnsi"/>
          <w:color w:val="000000"/>
          <w:sz w:val="22"/>
          <w:szCs w:val="22"/>
        </w:rPr>
        <w:t>According to the current procedure and after the CSC and PTI agreed on the need to change the following steps are required:</w:t>
      </w:r>
    </w:p>
    <w:p w14:paraId="4C6E095D" w14:textId="77777777" w:rsidR="00B00BCC" w:rsidRPr="007702F9" w:rsidRDefault="00B00BCC" w:rsidP="00B00BCC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702F9">
        <w:rPr>
          <w:rFonts w:asciiTheme="minorHAnsi" w:hAnsiTheme="minorHAnsi" w:cstheme="minorHAnsi"/>
          <w:sz w:val="22"/>
          <w:szCs w:val="22"/>
        </w:rPr>
        <w:t>PTI should draft a change recommendation, which includes an impact analysis with further detail based on their earlier discussions</w:t>
      </w:r>
      <w:r w:rsidRPr="007702F9">
        <w:rPr>
          <w:rFonts w:asciiTheme="minorHAnsi" w:hAnsiTheme="minorHAnsi" w:cstheme="minorHAnsi"/>
          <w:sz w:val="22"/>
          <w:szCs w:val="22"/>
        </w:rPr>
        <w:t xml:space="preserve">. </w:t>
      </w:r>
      <w:r w:rsidRPr="007702F9">
        <w:rPr>
          <w:rFonts w:asciiTheme="minorHAnsi" w:hAnsiTheme="minorHAnsi" w:cstheme="minorHAnsi"/>
          <w:sz w:val="22"/>
          <w:szCs w:val="22"/>
        </w:rPr>
        <w:t xml:space="preserve">The analysis should review such items as the impact on potential resources, budget requirements following the PTI and ICANN </w:t>
      </w:r>
      <w:r w:rsidRPr="007702F9">
        <w:rPr>
          <w:rFonts w:asciiTheme="minorHAnsi" w:hAnsiTheme="minorHAnsi" w:cstheme="minorHAnsi"/>
          <w:sz w:val="22"/>
          <w:szCs w:val="22"/>
        </w:rPr>
        <w:lastRenderedPageBreak/>
        <w:t>budgetary processes, and an implementation plan per the PTI and/or ICANN implementation process, should the SLA changes be approved.</w:t>
      </w:r>
    </w:p>
    <w:p w14:paraId="2BDA564B" w14:textId="2E60FD18" w:rsidR="00B00BCC" w:rsidRPr="007702F9" w:rsidRDefault="00B00BCC" w:rsidP="00B00BCC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702F9">
        <w:rPr>
          <w:rFonts w:asciiTheme="minorHAnsi" w:hAnsiTheme="minorHAnsi" w:cstheme="minorHAnsi"/>
          <w:sz w:val="22"/>
          <w:szCs w:val="22"/>
        </w:rPr>
        <w:t>Naming Customer Consultation</w:t>
      </w:r>
      <w:r w:rsidRPr="007702F9">
        <w:rPr>
          <w:rFonts w:asciiTheme="minorHAnsi" w:hAnsiTheme="minorHAnsi" w:cstheme="minorHAnsi"/>
          <w:sz w:val="22"/>
          <w:szCs w:val="22"/>
        </w:rPr>
        <w:t>: T</w:t>
      </w:r>
      <w:r w:rsidRPr="007702F9">
        <w:rPr>
          <w:rFonts w:asciiTheme="minorHAnsi" w:hAnsiTheme="minorHAnsi" w:cstheme="minorHAnsi"/>
          <w:sz w:val="22"/>
          <w:szCs w:val="22"/>
        </w:rPr>
        <w:t xml:space="preserve">he CSC </w:t>
      </w:r>
      <w:r w:rsidRPr="007702F9">
        <w:rPr>
          <w:rFonts w:asciiTheme="minorHAnsi" w:hAnsiTheme="minorHAnsi" w:cstheme="minorHAnsi"/>
          <w:sz w:val="22"/>
          <w:szCs w:val="22"/>
        </w:rPr>
        <w:t xml:space="preserve">is </w:t>
      </w:r>
      <w:r w:rsidRPr="007702F9">
        <w:rPr>
          <w:rFonts w:asciiTheme="minorHAnsi" w:hAnsiTheme="minorHAnsi" w:cstheme="minorHAnsi"/>
          <w:sz w:val="22"/>
          <w:szCs w:val="22"/>
        </w:rPr>
        <w:t>to present the change request to inform their stakeholders</w:t>
      </w:r>
    </w:p>
    <w:p w14:paraId="279DDDD9" w14:textId="77777777" w:rsidR="00B00BCC" w:rsidRPr="007702F9" w:rsidRDefault="00B00BCC" w:rsidP="00B00BCC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702F9">
        <w:rPr>
          <w:rFonts w:asciiTheme="minorHAnsi" w:hAnsiTheme="minorHAnsi" w:cstheme="minorHAnsi"/>
          <w:sz w:val="22"/>
          <w:szCs w:val="22"/>
        </w:rPr>
        <w:t>Community Consultation</w:t>
      </w:r>
      <w:r w:rsidRPr="007702F9">
        <w:rPr>
          <w:rFonts w:asciiTheme="minorHAnsi" w:hAnsiTheme="minorHAnsi" w:cstheme="minorHAnsi"/>
          <w:sz w:val="22"/>
          <w:szCs w:val="22"/>
        </w:rPr>
        <w:t xml:space="preserve">, which includes: </w:t>
      </w:r>
    </w:p>
    <w:p w14:paraId="27B27D3D" w14:textId="107E608E" w:rsidR="00B00BCC" w:rsidRPr="007702F9" w:rsidRDefault="00B00BCC" w:rsidP="00B00BCC">
      <w:pPr>
        <w:pStyle w:val="NoSpacing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702F9">
        <w:rPr>
          <w:rFonts w:asciiTheme="minorHAnsi" w:hAnsiTheme="minorHAnsi" w:cstheme="minorHAnsi"/>
          <w:sz w:val="22"/>
          <w:szCs w:val="22"/>
        </w:rPr>
        <w:t>Public Comment Period</w:t>
      </w:r>
    </w:p>
    <w:p w14:paraId="623B810D" w14:textId="68C27DF6" w:rsidR="00B00BCC" w:rsidRPr="007702F9" w:rsidRDefault="00B00BCC" w:rsidP="00B00BCC">
      <w:pPr>
        <w:pStyle w:val="NoSpacing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702F9">
        <w:rPr>
          <w:rFonts w:asciiTheme="minorHAnsi" w:hAnsiTheme="minorHAnsi" w:cstheme="minorHAnsi"/>
          <w:sz w:val="22"/>
          <w:szCs w:val="22"/>
        </w:rPr>
        <w:t>Based on the potential degree of impact</w:t>
      </w:r>
      <w:r w:rsidRPr="007702F9">
        <w:rPr>
          <w:rFonts w:asciiTheme="minorHAnsi" w:hAnsiTheme="minorHAnsi" w:cstheme="minorHAnsi"/>
          <w:sz w:val="22"/>
          <w:szCs w:val="22"/>
        </w:rPr>
        <w:t xml:space="preserve"> of the proposed change </w:t>
      </w:r>
      <w:r w:rsidRPr="007702F9">
        <w:rPr>
          <w:rFonts w:asciiTheme="minorHAnsi" w:hAnsiTheme="minorHAnsi" w:cstheme="minorHAnsi"/>
          <w:sz w:val="22"/>
          <w:szCs w:val="22"/>
        </w:rPr>
        <w:t>the CSC may decide to perform community consultations</w:t>
      </w:r>
    </w:p>
    <w:p w14:paraId="136C9DB7" w14:textId="6632CF20" w:rsidR="00B00BCC" w:rsidRPr="007702F9" w:rsidRDefault="00B00BCC" w:rsidP="00B00BCC">
      <w:pPr>
        <w:pStyle w:val="NoSpacing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702F9">
        <w:rPr>
          <w:rFonts w:asciiTheme="minorHAnsi" w:hAnsiTheme="minorHAnsi" w:cstheme="minorHAnsi"/>
          <w:sz w:val="22"/>
          <w:szCs w:val="22"/>
        </w:rPr>
        <w:t>If community feedback results in significant changes to the SLA change recommendation, then the CSC and PTI should mutually agree to the revisions.</w:t>
      </w:r>
    </w:p>
    <w:p w14:paraId="52C70299" w14:textId="234A012A" w:rsidR="00B00BCC" w:rsidRPr="007702F9" w:rsidRDefault="00B00BCC" w:rsidP="00B00BCC">
      <w:pPr>
        <w:pStyle w:val="NoSpacing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702F9">
        <w:rPr>
          <w:rFonts w:asciiTheme="minorHAnsi" w:hAnsiTheme="minorHAnsi" w:cstheme="minorHAnsi"/>
          <w:sz w:val="22"/>
          <w:szCs w:val="22"/>
        </w:rPr>
        <w:t xml:space="preserve">When a final draft SLA change recommendation is agreed upon between the CSC and PTI, the CSC should seek approval from the GNSO and </w:t>
      </w:r>
      <w:proofErr w:type="spellStart"/>
      <w:r w:rsidRPr="007702F9">
        <w:rPr>
          <w:rFonts w:asciiTheme="minorHAnsi" w:hAnsiTheme="minorHAnsi" w:cstheme="minorHAnsi"/>
          <w:sz w:val="22"/>
          <w:szCs w:val="22"/>
        </w:rPr>
        <w:t>ccNSO</w:t>
      </w:r>
      <w:proofErr w:type="spellEnd"/>
      <w:r w:rsidRPr="007702F9">
        <w:rPr>
          <w:rFonts w:asciiTheme="minorHAnsi" w:hAnsiTheme="minorHAnsi" w:cstheme="minorHAnsi"/>
          <w:sz w:val="22"/>
          <w:szCs w:val="22"/>
        </w:rPr>
        <w:t xml:space="preserve"> Councils</w:t>
      </w:r>
      <w:r w:rsidRPr="007702F9">
        <w:rPr>
          <w:rFonts w:asciiTheme="minorHAnsi" w:hAnsiTheme="minorHAnsi" w:cstheme="minorHAnsi"/>
          <w:sz w:val="22"/>
          <w:szCs w:val="22"/>
        </w:rPr>
        <w:t>. Only if both Council approve, the change will proceed</w:t>
      </w:r>
    </w:p>
    <w:p w14:paraId="5C3E8E93" w14:textId="63775402" w:rsidR="00B00BCC" w:rsidRPr="007702F9" w:rsidRDefault="00B00BCC" w:rsidP="00B00BCC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702F9">
        <w:rPr>
          <w:rFonts w:asciiTheme="minorHAnsi" w:hAnsiTheme="minorHAnsi" w:cstheme="minorHAnsi"/>
          <w:sz w:val="22"/>
          <w:szCs w:val="22"/>
        </w:rPr>
        <w:t>After approval by the Councils, the change process is initiated</w:t>
      </w:r>
      <w:r w:rsidR="007702F9" w:rsidRPr="007702F9">
        <w:rPr>
          <w:rFonts w:asciiTheme="minorHAnsi" w:hAnsiTheme="minorHAnsi" w:cstheme="minorHAnsi"/>
          <w:sz w:val="22"/>
          <w:szCs w:val="22"/>
        </w:rPr>
        <w:t>*</w:t>
      </w:r>
      <w:r w:rsidRPr="007702F9">
        <w:rPr>
          <w:rFonts w:asciiTheme="minorHAnsi" w:hAnsiTheme="minorHAnsi" w:cstheme="minorHAnsi"/>
          <w:sz w:val="22"/>
          <w:szCs w:val="22"/>
        </w:rPr>
        <w:t xml:space="preserve"> and implementation begins </w:t>
      </w:r>
    </w:p>
    <w:p w14:paraId="606E5C87" w14:textId="77777777" w:rsidR="00B00BCC" w:rsidRPr="007702F9" w:rsidRDefault="00B00BCC" w:rsidP="00B00BC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577DBDC" w14:textId="73DEBBDF" w:rsidR="00B00BCC" w:rsidRPr="007702F9" w:rsidRDefault="00B00BCC" w:rsidP="00B00BC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702F9">
        <w:rPr>
          <w:rFonts w:asciiTheme="minorHAnsi" w:hAnsiTheme="minorHAnsi" w:cstheme="minorHAnsi"/>
          <w:sz w:val="22"/>
          <w:szCs w:val="22"/>
        </w:rPr>
        <w:t xml:space="preserve">Note </w:t>
      </w:r>
      <w:r w:rsidR="007702F9" w:rsidRPr="007702F9">
        <w:rPr>
          <w:rFonts w:asciiTheme="minorHAnsi" w:hAnsiTheme="minorHAnsi" w:cstheme="minorHAnsi"/>
          <w:sz w:val="22"/>
          <w:szCs w:val="22"/>
        </w:rPr>
        <w:t>*If the implementation requires ICANN or PTI Board approval, this must take place before implementation begins</w:t>
      </w:r>
      <w:r w:rsidR="007702F9" w:rsidRPr="007702F9">
        <w:rPr>
          <w:rFonts w:asciiTheme="minorHAnsi" w:hAnsiTheme="minorHAnsi" w:cstheme="minorHAnsi"/>
          <w:sz w:val="22"/>
          <w:szCs w:val="22"/>
        </w:rPr>
        <w:t>.</w:t>
      </w:r>
    </w:p>
    <w:p w14:paraId="170EE038" w14:textId="77777777" w:rsidR="00B00BCC" w:rsidRDefault="00B00BCC" w:rsidP="00A65CF9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0C24C94E" w14:textId="3FEAE65A" w:rsidR="007702F9" w:rsidRDefault="007702F9" w:rsidP="007702F9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601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Question: Are these requirements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under the change procedure </w:t>
      </w:r>
      <w:r w:rsidRPr="000601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valid for 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change following a </w:t>
      </w:r>
      <w:r w:rsidRPr="000601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general review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of the SLA as well?</w:t>
      </w:r>
      <w:r w:rsidRPr="000601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Do additional requirement need to be added?</w:t>
      </w:r>
    </w:p>
    <w:p w14:paraId="3A2DDA84" w14:textId="77777777" w:rsidR="007702F9" w:rsidRPr="007702F9" w:rsidRDefault="007702F9" w:rsidP="00A65CF9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41C86C42" w14:textId="77777777" w:rsidR="00844F03" w:rsidRPr="00A03DF4" w:rsidRDefault="00844F03" w:rsidP="00A65CF9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14:paraId="775C2847" w14:textId="77777777" w:rsidR="0006015D" w:rsidRDefault="0006015D" w:rsidP="00A65CF9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14:paraId="0BABF7A0" w14:textId="642118CB" w:rsidR="00A65CF9" w:rsidRPr="00844F03" w:rsidRDefault="00A65CF9" w:rsidP="00A65CF9">
      <w:pPr>
        <w:pStyle w:val="NoSpacing"/>
        <w:rPr>
          <w:rFonts w:ascii="Calibri" w:hAnsi="Calibri" w:cs="Calibri"/>
          <w:b/>
          <w:bCs/>
          <w:color w:val="000000"/>
        </w:rPr>
      </w:pPr>
      <w:r w:rsidRPr="00844F03">
        <w:rPr>
          <w:rFonts w:ascii="Calibri" w:hAnsi="Calibri" w:cs="Calibri"/>
          <w:b/>
          <w:bCs/>
          <w:color w:val="000000"/>
        </w:rPr>
        <w:t xml:space="preserve">Background material </w:t>
      </w:r>
    </w:p>
    <w:p w14:paraId="5F47793C" w14:textId="77777777" w:rsidR="00A65CF9" w:rsidRDefault="00A65CF9" w:rsidP="00A65CF9">
      <w:pPr>
        <w:pStyle w:val="NoSpacing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hyperlink r:id="rId5" w:history="1">
        <w:r w:rsidRPr="00A732A3">
          <w:rPr>
            <w:rStyle w:val="Hyperlink"/>
            <w:rFonts w:ascii="Calibri" w:hAnsi="Calibri" w:cs="Calibri"/>
            <w:sz w:val="22"/>
            <w:szCs w:val="22"/>
          </w:rPr>
          <w:t>CSC Effectiven</w:t>
        </w:r>
        <w:r w:rsidRPr="00A732A3">
          <w:rPr>
            <w:rStyle w:val="Hyperlink"/>
            <w:rFonts w:ascii="Calibri" w:hAnsi="Calibri" w:cs="Calibri"/>
            <w:sz w:val="22"/>
            <w:szCs w:val="22"/>
          </w:rPr>
          <w:t>e</w:t>
        </w:r>
        <w:r w:rsidRPr="00A732A3">
          <w:rPr>
            <w:rStyle w:val="Hyperlink"/>
            <w:rFonts w:ascii="Calibri" w:hAnsi="Calibri" w:cs="Calibri"/>
            <w:sz w:val="22"/>
            <w:szCs w:val="22"/>
          </w:rPr>
          <w:t>ss Revie</w:t>
        </w:r>
        <w:r w:rsidRPr="00A732A3">
          <w:rPr>
            <w:rStyle w:val="Hyperlink"/>
            <w:rFonts w:ascii="Calibri" w:hAnsi="Calibri" w:cs="Calibri"/>
            <w:sz w:val="22"/>
            <w:szCs w:val="22"/>
          </w:rPr>
          <w:t>w</w:t>
        </w:r>
        <w:r w:rsidRPr="00A732A3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Pr="00A732A3">
          <w:rPr>
            <w:rStyle w:val="Hyperlink"/>
            <w:rFonts w:ascii="Calibri" w:hAnsi="Calibri" w:cs="Calibri"/>
            <w:sz w:val="22"/>
            <w:szCs w:val="22"/>
          </w:rPr>
          <w:t>F</w:t>
        </w:r>
        <w:r w:rsidRPr="00A732A3">
          <w:rPr>
            <w:rStyle w:val="Hyperlink"/>
            <w:rFonts w:ascii="Calibri" w:hAnsi="Calibri" w:cs="Calibri"/>
            <w:sz w:val="22"/>
            <w:szCs w:val="22"/>
          </w:rPr>
          <w:t>inal Report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A155E">
        <w:rPr>
          <w:rFonts w:ascii="Calibri" w:hAnsi="Calibri" w:cs="Calibri"/>
          <w:color w:val="000000"/>
          <w:sz w:val="22"/>
          <w:szCs w:val="22"/>
        </w:rPr>
        <w:t xml:space="preserve">, section 5 Additional Topics </w:t>
      </w:r>
    </w:p>
    <w:p w14:paraId="5402D0E8" w14:textId="77777777" w:rsidR="00A65CF9" w:rsidRDefault="00A65CF9" w:rsidP="00A65CF9">
      <w:pPr>
        <w:pStyle w:val="NoSpacing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hyperlink r:id="rId6" w:history="1">
        <w:r w:rsidRPr="00A732A3">
          <w:rPr>
            <w:rStyle w:val="Hyperlink"/>
            <w:rFonts w:ascii="Calibri" w:hAnsi="Calibri" w:cs="Calibri"/>
            <w:sz w:val="22"/>
            <w:szCs w:val="22"/>
          </w:rPr>
          <w:t>Process for Ame</w:t>
        </w:r>
        <w:r w:rsidRPr="00A732A3">
          <w:rPr>
            <w:rStyle w:val="Hyperlink"/>
            <w:rFonts w:ascii="Calibri" w:hAnsi="Calibri" w:cs="Calibri"/>
            <w:sz w:val="22"/>
            <w:szCs w:val="22"/>
          </w:rPr>
          <w:t>n</w:t>
        </w:r>
        <w:r w:rsidRPr="00A732A3">
          <w:rPr>
            <w:rStyle w:val="Hyperlink"/>
            <w:rFonts w:ascii="Calibri" w:hAnsi="Calibri" w:cs="Calibri"/>
            <w:sz w:val="22"/>
            <w:szCs w:val="22"/>
          </w:rPr>
          <w:t>ding IANA Service Level Agreements</w:t>
        </w:r>
      </w:hyperlink>
    </w:p>
    <w:p w14:paraId="0B153385" w14:textId="77777777" w:rsidR="00A65CF9" w:rsidRDefault="00A65CF9" w:rsidP="00A65CF9">
      <w:pPr>
        <w:pStyle w:val="NoSpacing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Procedure to change Process (same document)</w:t>
      </w:r>
    </w:p>
    <w:p w14:paraId="4766239F" w14:textId="77777777" w:rsidR="00A65CF9" w:rsidRDefault="00A65CF9" w:rsidP="00A65CF9">
      <w:pPr>
        <w:pStyle w:val="NoSpacing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hyperlink r:id="rId7" w:history="1">
        <w:r w:rsidRPr="003302D8">
          <w:rPr>
            <w:rStyle w:val="Hyperlink"/>
            <w:rFonts w:ascii="Calibri" w:hAnsi="Calibri" w:cs="Calibri"/>
            <w:sz w:val="22"/>
            <w:szCs w:val="22"/>
          </w:rPr>
          <w:t>IANA Naming Function Contract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716E58" w14:textId="77777777" w:rsidR="00A65CF9" w:rsidRPr="005A155E" w:rsidRDefault="00A65CF9" w:rsidP="00A65CF9">
      <w:pPr>
        <w:pStyle w:val="NoSpacing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IANA Naming Function Service Levels| </w:t>
      </w:r>
      <w:hyperlink r:id="rId8" w:history="1">
        <w:r w:rsidRPr="003302D8">
          <w:rPr>
            <w:rStyle w:val="Hyperlink"/>
            <w:rFonts w:ascii="Calibri" w:hAnsi="Calibri" w:cs="Calibri"/>
            <w:sz w:val="22"/>
            <w:szCs w:val="22"/>
          </w:rPr>
          <w:t>IANA Naming Function Contract Annex A section 2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D3DCBC0" w14:textId="77777777" w:rsidR="00000000" w:rsidRDefault="00000000"/>
    <w:sectPr w:rsidR="00FA2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567"/>
    <w:multiLevelType w:val="hybridMultilevel"/>
    <w:tmpl w:val="175CA3A4"/>
    <w:lvl w:ilvl="0" w:tplc="D96EFC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B2E06"/>
    <w:multiLevelType w:val="hybridMultilevel"/>
    <w:tmpl w:val="D620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93020"/>
    <w:multiLevelType w:val="hybridMultilevel"/>
    <w:tmpl w:val="F84E576E"/>
    <w:lvl w:ilvl="0" w:tplc="C73CDA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F7921"/>
    <w:multiLevelType w:val="hybridMultilevel"/>
    <w:tmpl w:val="25DCC07C"/>
    <w:lvl w:ilvl="0" w:tplc="C73CDA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33199">
    <w:abstractNumId w:val="1"/>
  </w:num>
  <w:num w:numId="2" w16cid:durableId="169292852">
    <w:abstractNumId w:val="0"/>
  </w:num>
  <w:num w:numId="3" w16cid:durableId="622003068">
    <w:abstractNumId w:val="3"/>
  </w:num>
  <w:num w:numId="4" w16cid:durableId="607080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9"/>
    <w:rsid w:val="0006015D"/>
    <w:rsid w:val="002E5CC9"/>
    <w:rsid w:val="0048148B"/>
    <w:rsid w:val="004C1130"/>
    <w:rsid w:val="007702F9"/>
    <w:rsid w:val="00844F03"/>
    <w:rsid w:val="00A03DF4"/>
    <w:rsid w:val="00A10043"/>
    <w:rsid w:val="00A65CF9"/>
    <w:rsid w:val="00B00BCC"/>
    <w:rsid w:val="00E7191E"/>
    <w:rsid w:val="00F1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AAF8CE"/>
  <w15:chartTrackingRefBased/>
  <w15:docId w15:val="{CFDCDB4D-90F2-5E43-96B4-B028943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CF9"/>
    <w:rPr>
      <w:rFonts w:ascii="Arial" w:hAnsi="Arial"/>
      <w:lang w:val="en-US"/>
    </w:rPr>
  </w:style>
  <w:style w:type="character" w:styleId="Hyperlink">
    <w:name w:val="Hyperlink"/>
    <w:basedOn w:val="DefaultParagraphFont"/>
    <w:uiPriority w:val="99"/>
    <w:unhideWhenUsed/>
    <w:rsid w:val="00A65C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iana_pti_docs/151-iana-naming-function-contract-v-30sep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ann.org/iana_pti_docs/151-iana-naming-function-contract-v-30sep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nn.org/en/system/files/files/iana-naming-function-sla-amendment-process-28mar19-en.pdf" TargetMode="External"/><Relationship Id="rId5" Type="http://schemas.openxmlformats.org/officeDocument/2006/relationships/hyperlink" Target="https://community.icann.org/display/ER/Final+Report+of+the+CSC+Second+Effectiveness+Review+Team?preview=/244940999/244941003/Final%20Report%20CSC%20Second%20Effectiveness%20Review%20March%20202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2023-10-10T14:56:00Z</dcterms:created>
  <dcterms:modified xsi:type="dcterms:W3CDTF">2023-10-10T16:48:00Z</dcterms:modified>
</cp:coreProperties>
</file>