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459CA3C5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ED26FD">
        <w:rPr>
          <w:rFonts w:asciiTheme="minorHAnsi" w:hAnsiTheme="minorHAnsi" w:cstheme="minorHAnsi"/>
          <w:b/>
          <w:bCs/>
          <w:sz w:val="22"/>
          <w:szCs w:val="22"/>
          <w:lang w:val="en-US"/>
        </w:rPr>
        <w:t>6</w:t>
      </w:r>
    </w:p>
    <w:p w14:paraId="7640D1D0" w14:textId="50779559" w:rsidR="00D20A0A" w:rsidRPr="00444A38" w:rsidRDefault="003302D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 w:rsidR="00C0475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FF400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Novem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ber2023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 w:rsidR="008566E6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F4001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A83BCD">
        <w:rPr>
          <w:rFonts w:asciiTheme="minorHAnsi" w:hAnsiTheme="minorHAnsi" w:cstheme="minorHAnsi"/>
          <w:sz w:val="22"/>
          <w:szCs w:val="22"/>
        </w:rPr>
        <w:t>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0E6C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9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.00 UTC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318EC0E5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226A5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3AF24DE7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01- 7</w:t>
            </w:r>
            <w:r w:rsid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5245" w:type="dxa"/>
            <w:shd w:val="clear" w:color="auto" w:fill="auto"/>
          </w:tcPr>
          <w:p w14:paraId="3626221A" w14:textId="60D18350" w:rsidR="00B97876" w:rsidRPr="005B32C6" w:rsidRDefault="008566E6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to circulate CSC Findings report </w:t>
            </w:r>
            <w:r w:rsidR="00EC1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700" w:type="dxa"/>
            <w:shd w:val="clear" w:color="auto" w:fill="auto"/>
          </w:tcPr>
          <w:p w14:paraId="6FF71815" w14:textId="51FB8EB2" w:rsidR="00B97876" w:rsidRDefault="008566E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248E5B22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02-7</w:t>
            </w:r>
            <w:r w:rsidR="00FF4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6251EB42" w:rsidR="00B97876" w:rsidRPr="0010411C" w:rsidRDefault="008B77B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Schedule meeting CSC and PTI Board in next 6 weeks 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64A41F2E" w:rsidR="00B97876" w:rsidRDefault="008B77BF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Proposal is to invite PTI Board December meeting</w:t>
            </w:r>
            <w:r w:rsidR="00226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(meeting 77)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6B7E7D51" w:rsidR="008B77BF" w:rsidRDefault="008B77BF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03</w:t>
            </w:r>
            <w:r w:rsidR="000E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5 2023</w:t>
            </w:r>
          </w:p>
        </w:tc>
        <w:tc>
          <w:tcPr>
            <w:tcW w:w="5245" w:type="dxa"/>
            <w:shd w:val="clear" w:color="auto" w:fill="auto"/>
          </w:tcPr>
          <w:p w14:paraId="43A058CE" w14:textId="476ABFE8" w:rsidR="008B77BF" w:rsidRDefault="008B77B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Staff to prepare strawman amend</w:t>
            </w:r>
            <w:r w:rsidR="00226A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SLA process </w:t>
            </w:r>
          </w:p>
        </w:tc>
        <w:tc>
          <w:tcPr>
            <w:tcW w:w="1700" w:type="dxa"/>
            <w:shd w:val="clear" w:color="auto" w:fill="auto"/>
          </w:tcPr>
          <w:p w14:paraId="797BB2FF" w14:textId="7DA40A2B" w:rsidR="008B77BF" w:rsidRDefault="008B77BF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Completed, see item 5</w:t>
            </w: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4CBFCC4B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FF400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October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3CC8D570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October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62C01981" w14:textId="1F6FC8B2" w:rsidR="00341BCE" w:rsidRPr="001F14C3" w:rsidRDefault="00341BCE" w:rsidP="00FF4001">
      <w:pPr>
        <w:ind w:left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Amy c</w:t>
      </w:r>
      <w:r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PTI</w:t>
      </w:r>
      <w:r w:rsidR="00226A5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’s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performance report 8 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Novem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ber 2023 by email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. </w:t>
      </w:r>
      <w:r w:rsidR="00226A5F">
        <w:rPr>
          <w:color w:val="000000"/>
          <w:sz w:val="22"/>
          <w:szCs w:val="22"/>
          <w:lang w:val="en-US"/>
        </w:rPr>
        <w:t>Over</w:t>
      </w:r>
      <w:r w:rsidR="00FF4001">
        <w:rPr>
          <w:color w:val="000000"/>
          <w:sz w:val="22"/>
          <w:szCs w:val="22"/>
        </w:rPr>
        <w:t xml:space="preserve"> the month of October, </w:t>
      </w:r>
      <w:r w:rsidR="00FF4001">
        <w:rPr>
          <w:color w:val="000000"/>
          <w:sz w:val="22"/>
          <w:szCs w:val="22"/>
          <w:lang w:val="en-US"/>
        </w:rPr>
        <w:t>PTI</w:t>
      </w:r>
      <w:r w:rsidR="00FF4001">
        <w:rPr>
          <w:color w:val="000000"/>
          <w:sz w:val="22"/>
          <w:szCs w:val="22"/>
        </w:rPr>
        <w:t xml:space="preserve"> met 100% of the SLA thresholds.</w:t>
      </w:r>
    </w:p>
    <w:p w14:paraId="10EB7795" w14:textId="7E9F52C2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027D516D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October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BD75D87" w14:textId="46132CDB" w:rsidR="001B2645" w:rsidRDefault="00F1359C" w:rsidP="00790387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Jennifer c</w:t>
      </w:r>
      <w:r w:rsidR="007E2571"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draft </w:t>
      </w:r>
      <w:r w:rsidR="00226A5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CSC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Findings 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October 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2023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by email on 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8 November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14:paraId="41FFC943" w14:textId="77777777" w:rsidR="005C2CCF" w:rsidRDefault="005C2CCF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CE6621F" w14:textId="38512656" w:rsidR="001F14C3" w:rsidRDefault="008566E6" w:rsidP="00E83768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4001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E83768" w:rsidRPr="003302D8">
        <w:rPr>
          <w:rFonts w:ascii="Calibri" w:hAnsi="Calibri" w:cs="Calibri"/>
          <w:b/>
          <w:bCs/>
          <w:color w:val="000000"/>
          <w:sz w:val="22"/>
          <w:szCs w:val="22"/>
        </w:rPr>
        <w:t>iscussion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 SLA </w:t>
      </w:r>
      <w:r w:rsidR="008C2908">
        <w:rPr>
          <w:rFonts w:ascii="Calibri" w:hAnsi="Calibri" w:cs="Calibri"/>
          <w:b/>
          <w:bCs/>
          <w:color w:val="000000"/>
          <w:sz w:val="22"/>
          <w:szCs w:val="22"/>
        </w:rPr>
        <w:t>Amendment</w:t>
      </w:r>
      <w:r w:rsidR="00FF400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C2908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="00FF4001">
        <w:rPr>
          <w:rFonts w:ascii="Calibri" w:hAnsi="Calibri" w:cs="Calibri"/>
          <w:b/>
          <w:bCs/>
          <w:color w:val="000000"/>
          <w:sz w:val="22"/>
          <w:szCs w:val="22"/>
        </w:rPr>
        <w:t>roce</w:t>
      </w:r>
      <w:r w:rsidR="008C2908">
        <w:rPr>
          <w:rFonts w:ascii="Calibri" w:hAnsi="Calibri" w:cs="Calibri"/>
          <w:b/>
          <w:bCs/>
          <w:color w:val="000000"/>
          <w:sz w:val="22"/>
          <w:szCs w:val="22"/>
        </w:rPr>
        <w:t>ss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8A73D51" w14:textId="42B0CDC2" w:rsidR="008C2908" w:rsidRDefault="00226A5F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D25397">
        <w:rPr>
          <w:rFonts w:ascii="Calibri" w:hAnsi="Calibri" w:cs="Calibri"/>
          <w:color w:val="000000"/>
          <w:sz w:val="22"/>
          <w:szCs w:val="22"/>
        </w:rPr>
        <w:t>trawman to focus discussion</w:t>
      </w:r>
      <w:r>
        <w:rPr>
          <w:rFonts w:ascii="Calibri" w:hAnsi="Calibri" w:cs="Calibri"/>
          <w:color w:val="000000"/>
          <w:sz w:val="22"/>
          <w:szCs w:val="22"/>
        </w:rPr>
        <w:t xml:space="preserve"> to change process to amend IANA Naming Function SLA’s</w:t>
      </w:r>
      <w:r w:rsidR="008C2908">
        <w:rPr>
          <w:rFonts w:ascii="Calibri" w:hAnsi="Calibri" w:cs="Calibri"/>
          <w:color w:val="000000"/>
          <w:sz w:val="22"/>
          <w:szCs w:val="22"/>
        </w:rPr>
        <w:t>:</w:t>
      </w:r>
      <w:r w:rsidR="004D6ED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B37B293" w14:textId="1B433E9B" w:rsidR="004D6EDA" w:rsidRDefault="004D6EDA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EC4448">
          <w:rPr>
            <w:rStyle w:val="Hyperlink"/>
            <w:rFonts w:ascii="Calibri" w:hAnsi="Calibri" w:cs="Calibri"/>
            <w:sz w:val="22"/>
            <w:szCs w:val="22"/>
          </w:rPr>
          <w:t>https://docs.google.com/document/d/1BanPdnsC-cygTCzkZnAiBDUmGyRg2mEQ/edit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C9626F" w14:textId="25781597" w:rsidR="004D6EDA" w:rsidRDefault="004D6EDA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and included in the pack as word/pdf doc.</w:t>
      </w:r>
    </w:p>
    <w:p w14:paraId="10448637" w14:textId="77777777" w:rsidR="00D25397" w:rsidRDefault="00D25397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32BE80A2" w14:textId="77777777" w:rsidR="00D25397" w:rsidRDefault="00D25397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Note that according to </w:t>
      </w:r>
      <w:hyperlink r:id="rId8" w:history="1">
        <w:r w:rsidRPr="00D25397">
          <w:rPr>
            <w:rStyle w:val="Hyperlink"/>
            <w:rFonts w:ascii="Calibri" w:hAnsi="Calibri" w:cs="Calibri"/>
            <w:sz w:val="22"/>
            <w:szCs w:val="22"/>
          </w:rPr>
          <w:t>procedure to change amendment process</w:t>
        </w:r>
      </w:hyperlink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7BABB032" w14:textId="3DD1BFF9" w:rsidR="00D25397" w:rsidRPr="00D25397" w:rsidRDefault="00D25397" w:rsidP="00EC1DE9">
      <w:pPr>
        <w:pStyle w:val="NoSpacing"/>
        <w:ind w:left="720"/>
        <w:rPr>
          <w:rFonts w:ascii="Calibri" w:hAnsi="Calibri" w:cs="Calibri"/>
          <w:color w:val="000000"/>
          <w:sz w:val="22"/>
          <w:szCs w:val="22"/>
        </w:rPr>
      </w:pPr>
      <w:r w:rsidRPr="00934C2F">
        <w:rPr>
          <w:rFonts w:asciiTheme="minorHAnsi" w:hAnsiTheme="minorHAnsi" w:cstheme="minorHAnsi"/>
          <w:b/>
          <w:bCs/>
        </w:rPr>
        <w:t xml:space="preserve">Section 2. </w:t>
      </w:r>
      <w:r w:rsidRPr="00934C2F">
        <w:rPr>
          <w:rFonts w:asciiTheme="minorHAnsi" w:hAnsiTheme="minorHAnsi" w:cstheme="minorHAnsi"/>
        </w:rPr>
        <w:t>The CSC, PTI, and ICANN</w:t>
      </w:r>
      <w:r w:rsidRPr="00934C2F">
        <w:rPr>
          <w:rFonts w:asciiTheme="minorHAnsi" w:hAnsiTheme="minorHAnsi" w:cstheme="minorHAnsi"/>
          <w:position w:val="8"/>
        </w:rPr>
        <w:t xml:space="preserve">* </w:t>
      </w:r>
      <w:r w:rsidRPr="00934C2F">
        <w:rPr>
          <w:rFonts w:asciiTheme="minorHAnsi" w:hAnsiTheme="minorHAnsi" w:cstheme="minorHAnsi"/>
        </w:rPr>
        <w:t xml:space="preserve">should meet to discuss the proposed need to modify the Process and mutually consider if it is advisable to continue to explore a potential modification, as well as identify the portions of the Process requiring modification. </w:t>
      </w:r>
    </w:p>
    <w:p w14:paraId="049358CA" w14:textId="77777777" w:rsidR="00D25397" w:rsidRPr="00934C2F" w:rsidRDefault="00D25397" w:rsidP="00EC1DE9">
      <w:pPr>
        <w:pStyle w:val="NormalWeb"/>
        <w:ind w:left="720"/>
        <w:rPr>
          <w:rFonts w:asciiTheme="minorHAnsi" w:hAnsiTheme="minorHAnsi" w:cstheme="minorHAnsi"/>
        </w:rPr>
      </w:pPr>
      <w:r w:rsidRPr="00934C2F">
        <w:rPr>
          <w:rFonts w:asciiTheme="minorHAnsi" w:hAnsiTheme="minorHAnsi" w:cstheme="minorHAnsi"/>
          <w:b/>
          <w:bCs/>
          <w:lang w:val="en-US"/>
        </w:rPr>
        <w:t xml:space="preserve">Section </w:t>
      </w:r>
      <w:r w:rsidRPr="00934C2F">
        <w:rPr>
          <w:rFonts w:asciiTheme="minorHAnsi" w:hAnsiTheme="minorHAnsi" w:cstheme="minorHAnsi"/>
          <w:b/>
          <w:bCs/>
        </w:rPr>
        <w:t>3.</w:t>
      </w:r>
      <w:r w:rsidRPr="00934C2F">
        <w:rPr>
          <w:rFonts w:asciiTheme="minorHAnsi" w:hAnsiTheme="minorHAnsi" w:cstheme="minorHAnsi"/>
        </w:rPr>
        <w:t xml:space="preserve"> Unless otherwise appropriate, PTI or ICANN* shall draft the proposed modification for consideration by CSC, PTI and ICANN* to determine if the modification achieves the desired impact. Once there is agreement on proposed text, PTI and/or ICANN* will publicly post the draft change recommendation for public comment through ICANN’s Public Comment process. </w:t>
      </w:r>
    </w:p>
    <w:p w14:paraId="7762ED91" w14:textId="1523096B" w:rsidR="00A417CD" w:rsidRDefault="00D25397" w:rsidP="00D25397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Further, 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The CSC effectiveness RT already identified that the direct customers </w:t>
      </w:r>
      <w:r w:rsidR="00226A5F">
        <w:rPr>
          <w:rFonts w:ascii="Calibri" w:hAnsi="Calibri" w:cs="Calibri"/>
          <w:color w:val="000000"/>
          <w:sz w:val="22"/>
          <w:szCs w:val="22"/>
        </w:rPr>
        <w:t>will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 need to be informed</w:t>
      </w:r>
      <w:r w:rsidR="00226A5F">
        <w:rPr>
          <w:rFonts w:ascii="Calibri" w:hAnsi="Calibri" w:cs="Calibri"/>
          <w:color w:val="000000"/>
          <w:sz w:val="22"/>
          <w:szCs w:val="22"/>
        </w:rPr>
        <w:t xml:space="preserve"> of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 the CSC and PTI inten</w:t>
      </w:r>
      <w:r w:rsidR="00226A5F">
        <w:rPr>
          <w:rFonts w:ascii="Calibri" w:hAnsi="Calibri" w:cs="Calibri"/>
          <w:color w:val="000000"/>
          <w:sz w:val="22"/>
          <w:szCs w:val="22"/>
        </w:rPr>
        <w:t>t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 to review the SLA</w:t>
      </w:r>
      <w:r w:rsidR="00226A5F">
        <w:rPr>
          <w:rFonts w:ascii="Calibri" w:hAnsi="Calibri" w:cs="Calibri"/>
          <w:color w:val="000000"/>
          <w:sz w:val="22"/>
          <w:szCs w:val="22"/>
        </w:rPr>
        <w:t>s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, be consulted and the </w:t>
      </w:r>
      <w:proofErr w:type="spellStart"/>
      <w:r w:rsidR="00892D39">
        <w:rPr>
          <w:rFonts w:ascii="Calibri" w:hAnsi="Calibri" w:cs="Calibri"/>
          <w:color w:val="000000"/>
          <w:sz w:val="22"/>
          <w:szCs w:val="22"/>
        </w:rPr>
        <w:t>ccNSO</w:t>
      </w:r>
      <w:proofErr w:type="spellEnd"/>
      <w:r w:rsidR="00892D39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="00892D39">
        <w:rPr>
          <w:rFonts w:ascii="Calibri" w:hAnsi="Calibri" w:cs="Calibri"/>
          <w:color w:val="000000"/>
          <w:sz w:val="22"/>
          <w:szCs w:val="22"/>
        </w:rPr>
        <w:t>RySG</w:t>
      </w:r>
      <w:proofErr w:type="spellEnd"/>
      <w:r w:rsidR="005F3742">
        <w:rPr>
          <w:rFonts w:ascii="Calibri" w:hAnsi="Calibri" w:cs="Calibri"/>
          <w:color w:val="000000"/>
          <w:sz w:val="22"/>
          <w:szCs w:val="22"/>
        </w:rPr>
        <w:t>/GNSO Council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 need to sign off on proposed changes,</w:t>
      </w:r>
      <w:r w:rsidR="005F3742">
        <w:rPr>
          <w:rFonts w:ascii="Calibri" w:hAnsi="Calibri" w:cs="Calibri"/>
          <w:color w:val="000000"/>
          <w:sz w:val="22"/>
          <w:szCs w:val="22"/>
        </w:rPr>
        <w:t xml:space="preserve"> before formal adoption</w:t>
      </w:r>
      <w:r w:rsidR="00226A5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F37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A695C03" w14:textId="2D185CDB" w:rsidR="0099426C" w:rsidRPr="0047706E" w:rsidRDefault="0099426C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74459FE9" w14:textId="77777777" w:rsidR="005A155E" w:rsidRDefault="005A155E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Background material: </w:t>
      </w:r>
    </w:p>
    <w:p w14:paraId="3FF8EE20" w14:textId="7C0128F3" w:rsidR="005A155E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5A155E" w:rsidRPr="00A732A3">
          <w:rPr>
            <w:rStyle w:val="Hyperlink"/>
            <w:rFonts w:ascii="Calibri" w:hAnsi="Calibri" w:cs="Calibri"/>
            <w:sz w:val="22"/>
            <w:szCs w:val="22"/>
          </w:rPr>
          <w:t>CSC Effectiveness Review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 xml:space="preserve"> Final Report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155E" w:rsidRPr="005A155E">
        <w:rPr>
          <w:rFonts w:ascii="Calibri" w:hAnsi="Calibri" w:cs="Calibri"/>
          <w:color w:val="000000"/>
          <w:sz w:val="22"/>
          <w:szCs w:val="22"/>
        </w:rPr>
        <w:t xml:space="preserve">, section 5 Additional Topics </w:t>
      </w:r>
    </w:p>
    <w:p w14:paraId="3F0902A7" w14:textId="066D0135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>Process for Amending IANA Service Level Agreements</w:t>
        </w:r>
      </w:hyperlink>
    </w:p>
    <w:p w14:paraId="62B1F9AC" w14:textId="4004457E" w:rsidR="00A732A3" w:rsidRDefault="00A732A3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Procedure to change Process (same document)</w:t>
      </w:r>
    </w:p>
    <w:p w14:paraId="45E5F985" w14:textId="2F4322A4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A732A3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7C2A77" w14:textId="55A82D54" w:rsidR="00FE0B49" w:rsidRPr="008566E6" w:rsidRDefault="00A732A3" w:rsidP="00643DAC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IANA Naming Function Service Levels</w:t>
      </w:r>
      <w:r w:rsidR="003302D8">
        <w:rPr>
          <w:rFonts w:ascii="Calibri" w:hAnsi="Calibri" w:cs="Calibri"/>
          <w:color w:val="000000"/>
          <w:sz w:val="22"/>
          <w:szCs w:val="22"/>
        </w:rPr>
        <w:t xml:space="preserve">| </w:t>
      </w:r>
      <w:hyperlink r:id="rId12" w:history="1">
        <w:r w:rsidR="003302D8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 Annex A section 2</w:t>
        </w:r>
      </w:hyperlink>
      <w:r w:rsidR="003302D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242BEE" w14:textId="77777777" w:rsidR="00531CE2" w:rsidRDefault="00531CE2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471398E7" w14:textId="2172A059" w:rsidR="00D25397" w:rsidRPr="00D25397" w:rsidRDefault="00D25397" w:rsidP="008566E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25397">
        <w:rPr>
          <w:rFonts w:asciiTheme="minorHAnsi" w:hAnsiTheme="minorHAnsi" w:cstheme="minorHAnsi"/>
          <w:b/>
          <w:bCs/>
          <w:sz w:val="22"/>
          <w:szCs w:val="22"/>
        </w:rPr>
        <w:t>Continu</w:t>
      </w:r>
      <w:r w:rsidR="00226A5F">
        <w:rPr>
          <w:rFonts w:asciiTheme="minorHAnsi" w:hAnsiTheme="minorHAnsi" w:cstheme="minorHAnsi"/>
          <w:b/>
          <w:bCs/>
          <w:sz w:val="22"/>
          <w:szCs w:val="22"/>
        </w:rPr>
        <w:t xml:space="preserve">e conversation review of </w:t>
      </w:r>
      <w:r w:rsidRPr="00D25397">
        <w:rPr>
          <w:rFonts w:asciiTheme="minorHAnsi" w:hAnsiTheme="minorHAnsi" w:cstheme="minorHAnsi"/>
          <w:b/>
          <w:bCs/>
          <w:sz w:val="22"/>
          <w:szCs w:val="22"/>
        </w:rPr>
        <w:t xml:space="preserve"> SLA</w:t>
      </w:r>
      <w:r w:rsidR="00226A5F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91F075D" w14:textId="77777777" w:rsidR="00D25397" w:rsidRDefault="00D25397" w:rsidP="00226A5F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Review and recap discussion in person meeting Hamburg </w:t>
      </w:r>
    </w:p>
    <w:p w14:paraId="445970EC" w14:textId="27B497AE" w:rsidR="00D25397" w:rsidRDefault="00D25397" w:rsidP="00226A5F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What are next steps to get to full discussion at two sessions during ICANN79 ( March 2024) as discussed. </w:t>
      </w:r>
    </w:p>
    <w:p w14:paraId="656267D1" w14:textId="77777777" w:rsidR="00D25397" w:rsidRPr="00D25397" w:rsidRDefault="00D25397" w:rsidP="00D25397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323767C" w14:textId="1AAF0305" w:rsidR="00643DAC" w:rsidRDefault="00F54A4C" w:rsidP="008566E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5D8A8B48" w14:textId="5EAB07AA" w:rsidR="00EC1DE9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7</w:t>
      </w:r>
      <w:r w:rsidR="00D2539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0894">
        <w:rPr>
          <w:rFonts w:asciiTheme="minorHAnsi" w:hAnsiTheme="minorHAnsi" w:cstheme="minorHAnsi"/>
          <w:sz w:val="22"/>
          <w:szCs w:val="22"/>
        </w:rPr>
        <w:t xml:space="preserve">| </w:t>
      </w:r>
      <w:r w:rsidR="00E83768">
        <w:rPr>
          <w:rFonts w:asciiTheme="minorHAnsi" w:hAnsiTheme="minorHAnsi" w:cstheme="minorHAnsi"/>
          <w:sz w:val="22"/>
          <w:szCs w:val="22"/>
        </w:rPr>
        <w:t>2</w:t>
      </w:r>
      <w:r w:rsidR="00D25397">
        <w:rPr>
          <w:rFonts w:asciiTheme="minorHAnsi" w:hAnsiTheme="minorHAnsi" w:cstheme="minorHAnsi"/>
          <w:sz w:val="22"/>
          <w:szCs w:val="22"/>
        </w:rPr>
        <w:t>0 December 2023| 02.</w:t>
      </w:r>
      <w:r w:rsidR="00EC1DE9">
        <w:rPr>
          <w:rFonts w:asciiTheme="minorHAnsi" w:hAnsiTheme="minorHAnsi" w:cstheme="minorHAnsi"/>
          <w:sz w:val="22"/>
          <w:szCs w:val="22"/>
        </w:rPr>
        <w:t>00 – 03.00 UTC</w:t>
      </w:r>
      <w:r w:rsidR="00E83768">
        <w:rPr>
          <w:rFonts w:asciiTheme="minorHAnsi" w:hAnsiTheme="minorHAnsi" w:cstheme="minorHAnsi"/>
          <w:sz w:val="22"/>
          <w:szCs w:val="22"/>
        </w:rPr>
        <w:t xml:space="preserve"> </w:t>
      </w:r>
      <w:r w:rsidR="00226A5F">
        <w:rPr>
          <w:rFonts w:asciiTheme="minorHAnsi" w:hAnsiTheme="minorHAnsi" w:cstheme="minorHAnsi"/>
          <w:sz w:val="22"/>
          <w:szCs w:val="22"/>
        </w:rPr>
        <w:t>Proposed: formal meeting with PTI Board to discuss matters of mutual interest</w:t>
      </w:r>
    </w:p>
    <w:p w14:paraId="77AD882A" w14:textId="77777777" w:rsidR="00EC1DE9" w:rsidRDefault="00EC1DE9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78  | 24 January 2023 | 10.00-11.00 UTC </w:t>
      </w:r>
    </w:p>
    <w:p w14:paraId="44D3DFA9" w14:textId="07FF4F16" w:rsidR="00EC1DE9" w:rsidRDefault="00EC1DE9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Meeting (email) in February to discuss PTI Performance and approve CSC Findings PTI Performance January 2024</w:t>
      </w:r>
    </w:p>
    <w:p w14:paraId="34EAA388" w14:textId="7813E01B" w:rsidR="00F1359C" w:rsidRDefault="00EC1DE9" w:rsidP="00113D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1DE9">
        <w:rPr>
          <w:rFonts w:asciiTheme="minorHAnsi" w:hAnsiTheme="minorHAnsi" w:cstheme="minorHAnsi"/>
          <w:sz w:val="22"/>
          <w:szCs w:val="22"/>
        </w:rPr>
        <w:t xml:space="preserve">Meeting 79 | Sunday 03 March </w:t>
      </w:r>
      <w:r w:rsidR="00226A5F">
        <w:rPr>
          <w:rFonts w:asciiTheme="minorHAnsi" w:hAnsiTheme="minorHAnsi" w:cstheme="minorHAnsi"/>
          <w:sz w:val="22"/>
          <w:szCs w:val="22"/>
        </w:rPr>
        <w:t xml:space="preserve">2024 </w:t>
      </w:r>
      <w:r>
        <w:rPr>
          <w:rFonts w:asciiTheme="minorHAnsi" w:hAnsiTheme="minorHAnsi" w:cstheme="minorHAnsi"/>
          <w:sz w:val="22"/>
          <w:szCs w:val="22"/>
        </w:rPr>
        <w:t xml:space="preserve">90 minutes meeting </w:t>
      </w:r>
      <w:r w:rsidRPr="00EC1DE9">
        <w:rPr>
          <w:rFonts w:asciiTheme="minorHAnsi" w:hAnsiTheme="minorHAnsi" w:cstheme="minorHAnsi"/>
          <w:sz w:val="22"/>
          <w:szCs w:val="22"/>
        </w:rPr>
        <w:t>&amp; Wednesday 7 March</w:t>
      </w:r>
      <w:r w:rsidR="003302D8" w:rsidRPr="00EC1D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Chair &amp; </w:t>
      </w:r>
      <w:r w:rsidR="00226A5F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ice-chair selection</w:t>
      </w:r>
      <w:r w:rsidR="00226A5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continue discussion SLA review</w:t>
      </w:r>
      <w:r w:rsidR="00226A5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74CC1C" w14:textId="0B8CA43B" w:rsidR="00EC1DE9" w:rsidRPr="00EC1DE9" w:rsidRDefault="00EC1DE9" w:rsidP="00113D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Meeting (email) mid</w:t>
      </w:r>
      <w:r w:rsidR="00226A5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March to decide on Findings PTI performance February 202</w:t>
      </w:r>
      <w:r w:rsidR="00226A5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226A5F"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rFonts w:asciiTheme="minorHAnsi" w:hAnsiTheme="minorHAnsi" w:cstheme="minorHAnsi"/>
          <w:sz w:val="22"/>
          <w:szCs w:val="22"/>
        </w:rPr>
        <w:t xml:space="preserve">assumption in person meeting too early </w:t>
      </w:r>
      <w:r w:rsidR="00226A5F">
        <w:rPr>
          <w:rFonts w:asciiTheme="minorHAnsi" w:hAnsiTheme="minorHAnsi" w:cstheme="minorHAnsi"/>
          <w:sz w:val="22"/>
          <w:szCs w:val="22"/>
        </w:rPr>
        <w:t>to discuss PTI performance over February 2024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2672FF" w14:textId="77777777" w:rsidR="00D25397" w:rsidRPr="0047706E" w:rsidRDefault="00D25397" w:rsidP="00EC1DE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4BBE1FDC" w14:textId="46EE7E55" w:rsidR="0047706E" w:rsidRDefault="00F54A4C" w:rsidP="0047706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72B87E2F" w14:textId="77777777" w:rsidR="005F3742" w:rsidRPr="0047706E" w:rsidRDefault="005F3742" w:rsidP="005F3742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467150BB" w:rsidR="00383ECE" w:rsidRPr="00504F2F" w:rsidRDefault="0047706E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383ECE" w:rsidRPr="00504F2F" w:rsidSect="00B8767F">
      <w:headerReference w:type="default" r:id="rId13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C8D" w14:textId="77777777" w:rsidR="00162CDA" w:rsidRDefault="00162CDA">
      <w:r>
        <w:separator/>
      </w:r>
    </w:p>
  </w:endnote>
  <w:endnote w:type="continuationSeparator" w:id="0">
    <w:p w14:paraId="593073A6" w14:textId="77777777" w:rsidR="00162CDA" w:rsidRDefault="001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D3C0" w14:textId="77777777" w:rsidR="00162CDA" w:rsidRDefault="00162CDA">
      <w:r>
        <w:separator/>
      </w:r>
    </w:p>
  </w:footnote>
  <w:footnote w:type="continuationSeparator" w:id="0">
    <w:p w14:paraId="71D51144" w14:textId="77777777" w:rsidR="00162CDA" w:rsidRDefault="0016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9654D"/>
    <w:multiLevelType w:val="hybridMultilevel"/>
    <w:tmpl w:val="D1589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2"/>
  </w:num>
  <w:num w:numId="2" w16cid:durableId="1403214046">
    <w:abstractNumId w:val="24"/>
  </w:num>
  <w:num w:numId="3" w16cid:durableId="591209026">
    <w:abstractNumId w:val="3"/>
  </w:num>
  <w:num w:numId="4" w16cid:durableId="500050826">
    <w:abstractNumId w:val="27"/>
  </w:num>
  <w:num w:numId="5" w16cid:durableId="481047730">
    <w:abstractNumId w:val="11"/>
  </w:num>
  <w:num w:numId="6" w16cid:durableId="2017462277">
    <w:abstractNumId w:val="16"/>
  </w:num>
  <w:num w:numId="7" w16cid:durableId="67193773">
    <w:abstractNumId w:val="20"/>
  </w:num>
  <w:num w:numId="8" w16cid:durableId="650250363">
    <w:abstractNumId w:val="8"/>
  </w:num>
  <w:num w:numId="9" w16cid:durableId="904683073">
    <w:abstractNumId w:val="7"/>
  </w:num>
  <w:num w:numId="10" w16cid:durableId="533612403">
    <w:abstractNumId w:val="26"/>
  </w:num>
  <w:num w:numId="11" w16cid:durableId="654454075">
    <w:abstractNumId w:val="22"/>
  </w:num>
  <w:num w:numId="12" w16cid:durableId="1607342635">
    <w:abstractNumId w:val="4"/>
  </w:num>
  <w:num w:numId="13" w16cid:durableId="1700089083">
    <w:abstractNumId w:val="0"/>
  </w:num>
  <w:num w:numId="14" w16cid:durableId="915938904">
    <w:abstractNumId w:val="14"/>
  </w:num>
  <w:num w:numId="15" w16cid:durableId="415176259">
    <w:abstractNumId w:val="25"/>
  </w:num>
  <w:num w:numId="16" w16cid:durableId="1709716898">
    <w:abstractNumId w:val="23"/>
  </w:num>
  <w:num w:numId="17" w16cid:durableId="630592680">
    <w:abstractNumId w:val="6"/>
  </w:num>
  <w:num w:numId="18" w16cid:durableId="1786803250">
    <w:abstractNumId w:val="6"/>
  </w:num>
  <w:num w:numId="19" w16cid:durableId="1094790898">
    <w:abstractNumId w:val="18"/>
  </w:num>
  <w:num w:numId="20" w16cid:durableId="113910160">
    <w:abstractNumId w:val="9"/>
  </w:num>
  <w:num w:numId="21" w16cid:durableId="542449417">
    <w:abstractNumId w:val="17"/>
  </w:num>
  <w:num w:numId="22" w16cid:durableId="1457140835">
    <w:abstractNumId w:val="13"/>
  </w:num>
  <w:num w:numId="23" w16cid:durableId="1965386407">
    <w:abstractNumId w:val="10"/>
  </w:num>
  <w:num w:numId="24" w16cid:durableId="1664119369">
    <w:abstractNumId w:val="1"/>
  </w:num>
  <w:num w:numId="25" w16cid:durableId="612133199">
    <w:abstractNumId w:val="12"/>
  </w:num>
  <w:num w:numId="26" w16cid:durableId="1212955969">
    <w:abstractNumId w:val="5"/>
  </w:num>
  <w:num w:numId="27" w16cid:durableId="1208907647">
    <w:abstractNumId w:val="21"/>
  </w:num>
  <w:num w:numId="28" w16cid:durableId="1823041421">
    <w:abstractNumId w:val="19"/>
  </w:num>
  <w:num w:numId="29" w16cid:durableId="889266844">
    <w:abstractNumId w:val="28"/>
  </w:num>
  <w:num w:numId="30" w16cid:durableId="12174247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811EA"/>
    <w:rsid w:val="00082BBF"/>
    <w:rsid w:val="0008311F"/>
    <w:rsid w:val="000A4C8E"/>
    <w:rsid w:val="000C016D"/>
    <w:rsid w:val="000E6CDD"/>
    <w:rsid w:val="000E7B9F"/>
    <w:rsid w:val="00110E25"/>
    <w:rsid w:val="00126E4D"/>
    <w:rsid w:val="00131BC2"/>
    <w:rsid w:val="00143718"/>
    <w:rsid w:val="0015566B"/>
    <w:rsid w:val="00162394"/>
    <w:rsid w:val="00162C36"/>
    <w:rsid w:val="00162CDA"/>
    <w:rsid w:val="001B0455"/>
    <w:rsid w:val="001B2645"/>
    <w:rsid w:val="001E2871"/>
    <w:rsid w:val="001F14C3"/>
    <w:rsid w:val="001F4A96"/>
    <w:rsid w:val="001F643D"/>
    <w:rsid w:val="00224EC2"/>
    <w:rsid w:val="00226A5F"/>
    <w:rsid w:val="00231A8D"/>
    <w:rsid w:val="002A637C"/>
    <w:rsid w:val="002A6E8E"/>
    <w:rsid w:val="002A7766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3ECE"/>
    <w:rsid w:val="0039209B"/>
    <w:rsid w:val="003D1F52"/>
    <w:rsid w:val="003F094B"/>
    <w:rsid w:val="00411FC0"/>
    <w:rsid w:val="00430A57"/>
    <w:rsid w:val="00431617"/>
    <w:rsid w:val="00444A38"/>
    <w:rsid w:val="00467AA7"/>
    <w:rsid w:val="00467C5A"/>
    <w:rsid w:val="00473AC2"/>
    <w:rsid w:val="0047706E"/>
    <w:rsid w:val="004932B8"/>
    <w:rsid w:val="004A0BF6"/>
    <w:rsid w:val="004A14DC"/>
    <w:rsid w:val="004D579A"/>
    <w:rsid w:val="004D6ED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6748"/>
    <w:rsid w:val="005C2CCF"/>
    <w:rsid w:val="005E28D3"/>
    <w:rsid w:val="005F3742"/>
    <w:rsid w:val="006169A0"/>
    <w:rsid w:val="00643DAC"/>
    <w:rsid w:val="006544BC"/>
    <w:rsid w:val="006866D1"/>
    <w:rsid w:val="006B52F4"/>
    <w:rsid w:val="006B74E0"/>
    <w:rsid w:val="006B7D24"/>
    <w:rsid w:val="006E0B84"/>
    <w:rsid w:val="006F15C3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2C11"/>
    <w:rsid w:val="007F4325"/>
    <w:rsid w:val="00811023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C2908"/>
    <w:rsid w:val="008E690A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417CD"/>
    <w:rsid w:val="00A517CC"/>
    <w:rsid w:val="00A732A3"/>
    <w:rsid w:val="00A83BCD"/>
    <w:rsid w:val="00AA1C77"/>
    <w:rsid w:val="00AB2118"/>
    <w:rsid w:val="00AC17C4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753D6"/>
    <w:rsid w:val="00B82EE9"/>
    <w:rsid w:val="00B9437D"/>
    <w:rsid w:val="00B97876"/>
    <w:rsid w:val="00BB27AB"/>
    <w:rsid w:val="00BB6030"/>
    <w:rsid w:val="00BE0BDA"/>
    <w:rsid w:val="00C0475C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B4589"/>
    <w:rsid w:val="00CC14C9"/>
    <w:rsid w:val="00CC3AAD"/>
    <w:rsid w:val="00CE0429"/>
    <w:rsid w:val="00D035D1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54AD1"/>
    <w:rsid w:val="00E55A0F"/>
    <w:rsid w:val="00E7191E"/>
    <w:rsid w:val="00E83768"/>
    <w:rsid w:val="00EA4659"/>
    <w:rsid w:val="00EC1DE9"/>
    <w:rsid w:val="00ED26FD"/>
    <w:rsid w:val="00F1359C"/>
    <w:rsid w:val="00F25589"/>
    <w:rsid w:val="00F26FEC"/>
    <w:rsid w:val="00F54A4C"/>
    <w:rsid w:val="00F5519B"/>
    <w:rsid w:val="00F652EB"/>
    <w:rsid w:val="00F7204B"/>
    <w:rsid w:val="00F76C6F"/>
    <w:rsid w:val="00F81586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iana-naming-function-sla-amendment-process-28mar19-e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anPdnsC-cygTCzkZnAiBDUmGyRg2mEQ/edit" TargetMode="External"/><Relationship Id="rId12" Type="http://schemas.openxmlformats.org/officeDocument/2006/relationships/hyperlink" Target="https://www.icann.org/iana_pti_docs/151-iana-naming-function-contract-v-30sep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ann.org/iana_pti_docs/151-iana-naming-function-contract-v-30sep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cann.org/en/system/files/files/iana-naming-function-sla-amendment-process-28mar19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icann.org/display/ER/Final+Report+of+the+CSC+Second+Effectiveness+Review+Team?preview=/244940999/244941003/Final%20Report%20CSC%20Second%20Effectiveness%20Review%20March%20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2023-11-16T13:49:00Z</dcterms:created>
  <dcterms:modified xsi:type="dcterms:W3CDTF">2023-11-16T13:49:00Z</dcterms:modified>
</cp:coreProperties>
</file>