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3916" w14:textId="660F029F" w:rsidR="007C38DA" w:rsidRDefault="009E2060">
      <w:pPr>
        <w:rPr>
          <w:b/>
          <w:bCs/>
          <w:sz w:val="20"/>
          <w:szCs w:val="20"/>
          <w:lang w:val="en-US"/>
        </w:rPr>
      </w:pPr>
      <w:r w:rsidRPr="009E2060">
        <w:rPr>
          <w:b/>
          <w:bCs/>
          <w:sz w:val="20"/>
          <w:szCs w:val="20"/>
          <w:lang w:val="en-US"/>
        </w:rPr>
        <w:t>IRP-IOT Matters Outstanding and Next Steps on IRP Rules</w:t>
      </w:r>
      <w:r w:rsidR="00D95848">
        <w:rPr>
          <w:b/>
          <w:bCs/>
          <w:sz w:val="20"/>
          <w:szCs w:val="20"/>
          <w:lang w:val="en-US"/>
        </w:rPr>
        <w:t xml:space="preserve"> – 31 August 2021</w:t>
      </w:r>
    </w:p>
    <w:p w14:paraId="2F951641" w14:textId="3FA9C8DC" w:rsidR="009E2060" w:rsidRPr="00B75CF6" w:rsidRDefault="00B75CF6">
      <w:pPr>
        <w:rPr>
          <w:b/>
          <w:bCs/>
          <w:sz w:val="20"/>
          <w:szCs w:val="20"/>
          <w:lang w:val="en-US"/>
        </w:rPr>
      </w:pPr>
      <w:r w:rsidRPr="00B75CF6">
        <w:rPr>
          <w:b/>
          <w:bCs/>
          <w:sz w:val="20"/>
          <w:szCs w:val="20"/>
          <w:lang w:val="en-US"/>
        </w:rPr>
        <w:t>IRP Rules</w:t>
      </w:r>
    </w:p>
    <w:p w14:paraId="6F8B679B" w14:textId="546186BB" w:rsidR="00B75CF6" w:rsidRDefault="00AA0FC0">
      <w:pPr>
        <w:rPr>
          <w:b/>
          <w:bCs/>
          <w:lang w:val="en-US"/>
        </w:rPr>
      </w:pPr>
      <w:r>
        <w:rPr>
          <w:b/>
          <w:bCs/>
          <w:lang w:val="en-US"/>
        </w:rPr>
        <w:t>Issues still requiring consideration</w:t>
      </w:r>
    </w:p>
    <w:p w14:paraId="6D5FCD83" w14:textId="63C1CC55" w:rsidR="00954517" w:rsidRPr="008F150E" w:rsidRDefault="00954517" w:rsidP="00954517">
      <w:pPr>
        <w:pStyle w:val="ListParagraph"/>
        <w:numPr>
          <w:ilvl w:val="0"/>
          <w:numId w:val="3"/>
        </w:numPr>
        <w:spacing w:after="0" w:line="240" w:lineRule="auto"/>
        <w:rPr>
          <w:bCs/>
        </w:rPr>
      </w:pPr>
      <w:r w:rsidRPr="008F150E">
        <w:rPr>
          <w:bCs/>
        </w:rPr>
        <w:t xml:space="preserve">Updates to the Selection of Arbitrators (Art 3): </w:t>
      </w:r>
    </w:p>
    <w:p w14:paraId="0F5C13E7" w14:textId="77777777" w:rsidR="00954517" w:rsidRDefault="00954517" w:rsidP="00954517">
      <w:pPr>
        <w:pStyle w:val="ListParagraph"/>
        <w:numPr>
          <w:ilvl w:val="1"/>
          <w:numId w:val="3"/>
        </w:numPr>
        <w:spacing w:after="0" w:line="240" w:lineRule="auto"/>
      </w:pPr>
      <w:r>
        <w:rPr>
          <w:bCs/>
        </w:rPr>
        <w:t xml:space="preserve">Consider better aligning Article 3 language with the ICDR Rules, which set out a specific procedure for selection of a third panelist where there is disagreement amongst the party-appointed arbitrators.  </w:t>
      </w:r>
    </w:p>
    <w:p w14:paraId="5A743B64" w14:textId="77777777" w:rsidR="00954517" w:rsidRDefault="00954517" w:rsidP="00954517">
      <w:pPr>
        <w:pStyle w:val="ListParagraph"/>
        <w:numPr>
          <w:ilvl w:val="1"/>
          <w:numId w:val="3"/>
        </w:numPr>
        <w:spacing w:after="0" w:line="240" w:lineRule="auto"/>
      </w:pPr>
      <w:r>
        <w:rPr>
          <w:bCs/>
        </w:rPr>
        <w:t>Consider adding a specification on the nationality of arbitrators and whether one or more arbitrators may be of the same nationality or of the same nationality as  ICANN or the claimant.</w:t>
      </w:r>
    </w:p>
    <w:p w14:paraId="38174731" w14:textId="77777777" w:rsidR="00954517" w:rsidRDefault="00954517" w:rsidP="00954517">
      <w:pPr>
        <w:pStyle w:val="ListParagraph"/>
        <w:numPr>
          <w:ilvl w:val="1"/>
          <w:numId w:val="3"/>
        </w:numPr>
        <w:spacing w:after="0" w:line="240" w:lineRule="auto"/>
      </w:pPr>
      <w:r>
        <w:rPr>
          <w:bCs/>
        </w:rPr>
        <w:t>Consider specifying the date of when an IRP Panel is in “in place”, to give clarity to when an Emergency Arbitrator might need to be empowered.</w:t>
      </w:r>
    </w:p>
    <w:p w14:paraId="24D7964E" w14:textId="77777777" w:rsidR="00EA4619" w:rsidRPr="00EA4619" w:rsidRDefault="00FF29EA" w:rsidP="00EA4619">
      <w:pPr>
        <w:pStyle w:val="ListParagraph"/>
        <w:numPr>
          <w:ilvl w:val="0"/>
          <w:numId w:val="3"/>
        </w:numPr>
        <w:rPr>
          <w:lang w:val="en-US"/>
        </w:rPr>
      </w:pPr>
      <w:r w:rsidRPr="00AF1EE8">
        <w:t>Interim Measures</w:t>
      </w:r>
      <w:r w:rsidR="00D36CF5">
        <w:t xml:space="preserve"> (Art 10)</w:t>
      </w:r>
      <w:r w:rsidRPr="00AF1EE8">
        <w:t>:</w:t>
      </w:r>
      <w:r>
        <w:rPr>
          <w:b/>
          <w:bCs/>
        </w:rPr>
        <w:t xml:space="preserve"> </w:t>
      </w:r>
      <w:r>
        <w:t>Consider codifying typical arbitral practice in clarifying that Emergency Panelist or the IRP Panel has authority to modify interim relief measures; for procedural equity consider defining a page limit and right of reply for requests for Interim Measures.</w:t>
      </w:r>
      <w:r w:rsidR="008C0E1E">
        <w:t xml:space="preserve"> (N</w:t>
      </w:r>
      <w:r w:rsidR="006F516C">
        <w:t>.</w:t>
      </w:r>
      <w:r w:rsidR="008C0E1E">
        <w:t>B</w:t>
      </w:r>
      <w:r w:rsidR="006F516C">
        <w:t>. may have</w:t>
      </w:r>
      <w:r w:rsidR="008C0E1E">
        <w:t xml:space="preserve"> some overlap with the work on </w:t>
      </w:r>
      <w:r w:rsidR="006F516C">
        <w:t>C</w:t>
      </w:r>
      <w:r w:rsidR="008C0E1E">
        <w:t>onsolidation</w:t>
      </w:r>
      <w:r w:rsidR="006F516C">
        <w:t>/Amicus</w:t>
      </w:r>
    </w:p>
    <w:p w14:paraId="076BFAF0" w14:textId="65E1C12C" w:rsidR="00B75CF6" w:rsidRDefault="00EC41A2" w:rsidP="00D87A84">
      <w:pPr>
        <w:pStyle w:val="ListParagraph"/>
        <w:numPr>
          <w:ilvl w:val="0"/>
          <w:numId w:val="3"/>
        </w:numPr>
        <w:rPr>
          <w:lang w:val="en-US"/>
        </w:rPr>
      </w:pPr>
      <w:r>
        <w:rPr>
          <w:lang w:val="en-US"/>
        </w:rPr>
        <w:t xml:space="preserve">Fee to initiate IRP: </w:t>
      </w:r>
      <w:r w:rsidR="0037331A">
        <w:rPr>
          <w:lang w:val="en-US"/>
        </w:rPr>
        <w:t xml:space="preserve">Review current procedure </w:t>
      </w:r>
      <w:r w:rsidR="00AB081A">
        <w:rPr>
          <w:lang w:val="en-US"/>
        </w:rPr>
        <w:t>against Bylaws to determine whether any change is appropriate.</w:t>
      </w:r>
    </w:p>
    <w:p w14:paraId="20BCAFCB" w14:textId="25117B97" w:rsidR="00C66CC7" w:rsidRDefault="0083280D" w:rsidP="00D87A84">
      <w:pPr>
        <w:pStyle w:val="ListParagraph"/>
        <w:numPr>
          <w:ilvl w:val="0"/>
          <w:numId w:val="3"/>
        </w:numPr>
        <w:rPr>
          <w:lang w:val="en-US"/>
        </w:rPr>
      </w:pPr>
      <w:r>
        <w:rPr>
          <w:lang w:val="en-US"/>
        </w:rPr>
        <w:t>Procedure where ICANN elects not to respond (Bylaws 4.3(n)(iv)(F</w:t>
      </w:r>
      <w:r w:rsidR="00F0372A">
        <w:rPr>
          <w:lang w:val="en-US"/>
        </w:rPr>
        <w:t>))</w:t>
      </w:r>
    </w:p>
    <w:p w14:paraId="7EBB6A9C" w14:textId="3ACCF6C2" w:rsidR="00231EEE" w:rsidRPr="003377E7" w:rsidRDefault="00231EEE" w:rsidP="00D87A84">
      <w:pPr>
        <w:pStyle w:val="ListParagraph"/>
        <w:numPr>
          <w:ilvl w:val="0"/>
          <w:numId w:val="3"/>
        </w:numPr>
        <w:rPr>
          <w:lang w:val="en-US"/>
        </w:rPr>
      </w:pPr>
      <w:r>
        <w:rPr>
          <w:rFonts w:eastAsia="Times New Roman"/>
          <w:lang w:val="en-US"/>
        </w:rPr>
        <w:t>Appeals</w:t>
      </w:r>
      <w:r w:rsidR="00341566">
        <w:rPr>
          <w:rFonts w:eastAsia="Times New Roman"/>
          <w:lang w:val="en-US"/>
        </w:rPr>
        <w:t xml:space="preserve"> (Art 14): </w:t>
      </w:r>
    </w:p>
    <w:p w14:paraId="642333D6" w14:textId="6793F2C0" w:rsidR="003377E7" w:rsidRPr="00DF4FE0" w:rsidRDefault="00D53FD2" w:rsidP="003377E7">
      <w:pPr>
        <w:pStyle w:val="ListParagraph"/>
        <w:numPr>
          <w:ilvl w:val="1"/>
          <w:numId w:val="3"/>
        </w:numPr>
        <w:rPr>
          <w:lang w:val="en-US"/>
        </w:rPr>
      </w:pPr>
      <w:r>
        <w:rPr>
          <w:rFonts w:eastAsia="Times New Roman"/>
          <w:lang w:val="en-US"/>
        </w:rPr>
        <w:t xml:space="preserve">Rules for Appeals - </w:t>
      </w:r>
      <w:r w:rsidR="00DF4FE0">
        <w:rPr>
          <w:rFonts w:eastAsia="Times New Roman"/>
          <w:lang w:val="en-US"/>
        </w:rPr>
        <w:t xml:space="preserve">Art 14 is extremely brief.  </w:t>
      </w:r>
      <w:r w:rsidR="00415A2D">
        <w:rPr>
          <w:rFonts w:eastAsia="Times New Roman"/>
          <w:lang w:val="en-US"/>
        </w:rPr>
        <w:t xml:space="preserve">Do we need to expand Art 14, or draft separate Rules to deal with </w:t>
      </w:r>
      <w:proofErr w:type="gramStart"/>
      <w:r w:rsidR="00415A2D">
        <w:rPr>
          <w:rFonts w:eastAsia="Times New Roman"/>
          <w:lang w:val="en-US"/>
        </w:rPr>
        <w:t>Appeals</w:t>
      </w:r>
      <w:proofErr w:type="gramEnd"/>
      <w:r w:rsidR="00DF4FE0">
        <w:rPr>
          <w:rFonts w:eastAsia="Times New Roman"/>
          <w:lang w:val="en-US"/>
        </w:rPr>
        <w:t>?</w:t>
      </w:r>
    </w:p>
    <w:p w14:paraId="1448BE0E" w14:textId="06083042" w:rsidR="00DF4FE0" w:rsidRPr="000B3D32" w:rsidRDefault="00DC469B" w:rsidP="003377E7">
      <w:pPr>
        <w:pStyle w:val="ListParagraph"/>
        <w:numPr>
          <w:ilvl w:val="1"/>
          <w:numId w:val="3"/>
        </w:numPr>
        <w:rPr>
          <w:lang w:val="en-US"/>
        </w:rPr>
      </w:pPr>
      <w:r>
        <w:rPr>
          <w:lang w:val="en-US"/>
        </w:rPr>
        <w:t>Limitations</w:t>
      </w:r>
      <w:r w:rsidR="00D53FD2">
        <w:rPr>
          <w:lang w:val="en-US"/>
        </w:rPr>
        <w:t xml:space="preserve"> on </w:t>
      </w:r>
      <w:r>
        <w:rPr>
          <w:lang w:val="en-US"/>
        </w:rPr>
        <w:t xml:space="preserve">Appeals – do we wish to establish any </w:t>
      </w:r>
      <w:r w:rsidR="000B3D32">
        <w:rPr>
          <w:lang w:val="en-US"/>
        </w:rPr>
        <w:t>(</w:t>
      </w:r>
      <w:r w:rsidR="000B3D32">
        <w:rPr>
          <w:rFonts w:eastAsia="Times New Roman"/>
          <w:lang w:val="en-US"/>
        </w:rPr>
        <w:t>Bylaws 4.3(w))</w:t>
      </w:r>
    </w:p>
    <w:p w14:paraId="033013F8" w14:textId="54AC7DCE" w:rsidR="000B3D32" w:rsidRDefault="000B3D32" w:rsidP="000B3D32">
      <w:pPr>
        <w:pStyle w:val="ListParagraph"/>
        <w:numPr>
          <w:ilvl w:val="2"/>
          <w:numId w:val="3"/>
        </w:numPr>
        <w:rPr>
          <w:lang w:val="en-US"/>
        </w:rPr>
      </w:pPr>
      <w:r>
        <w:rPr>
          <w:rFonts w:eastAsia="Times New Roman"/>
          <w:lang w:val="en-US"/>
        </w:rPr>
        <w:t xml:space="preserve">For example, </w:t>
      </w:r>
      <w:r w:rsidR="00F26DE1">
        <w:rPr>
          <w:lang w:val="en-US"/>
        </w:rPr>
        <w:t>whether non-binding IRPs (see Bylaw 4.3(x)(iv)) should be appealable</w:t>
      </w:r>
    </w:p>
    <w:p w14:paraId="64ECF8AE" w14:textId="77777777" w:rsidR="00E37ED8" w:rsidRDefault="007F75A8" w:rsidP="00E37ED8">
      <w:pPr>
        <w:pStyle w:val="ListParagraph"/>
        <w:numPr>
          <w:ilvl w:val="0"/>
          <w:numId w:val="3"/>
        </w:numPr>
        <w:rPr>
          <w:lang w:val="en-US"/>
        </w:rPr>
      </w:pPr>
      <w:r>
        <w:rPr>
          <w:lang w:val="en-US"/>
        </w:rPr>
        <w:t xml:space="preserve">Non-binding IRPs and Precedent - </w:t>
      </w:r>
      <w:r w:rsidR="007D06F3">
        <w:rPr>
          <w:lang w:val="en-US"/>
        </w:rPr>
        <w:t>is it within our remit to consider whether non-binding IRPs should constitute precedent</w:t>
      </w:r>
    </w:p>
    <w:p w14:paraId="7EB93F78" w14:textId="04C3C1C3" w:rsidR="00E37ED8" w:rsidRPr="00E37ED8" w:rsidRDefault="00E37ED8" w:rsidP="00E37ED8">
      <w:pPr>
        <w:pStyle w:val="ListParagraph"/>
        <w:numPr>
          <w:ilvl w:val="0"/>
          <w:numId w:val="3"/>
        </w:numPr>
        <w:rPr>
          <w:lang w:val="en-US"/>
        </w:rPr>
      </w:pPr>
      <w:r w:rsidRPr="00E37ED8">
        <w:rPr>
          <w:rFonts w:eastAsia="Times New Roman"/>
          <w:lang w:val="en-US"/>
        </w:rPr>
        <w:t xml:space="preserve">Is there ambiguity regarding a standing panel’s ability to ‘adjudicate’ a stay of ICANN action or just to ‘recommend’ a stay? See Bylaws 4.3(o) and 4.3(p). If there is ambiguity, is there anything within our remit to help clarify? </w:t>
      </w:r>
    </w:p>
    <w:p w14:paraId="6127FBC9" w14:textId="3F87A413" w:rsidR="00B75CF6" w:rsidRDefault="00AA0FC0">
      <w:pPr>
        <w:rPr>
          <w:b/>
          <w:bCs/>
          <w:lang w:val="en-US"/>
        </w:rPr>
      </w:pPr>
      <w:r>
        <w:rPr>
          <w:b/>
          <w:bCs/>
          <w:lang w:val="en-US"/>
        </w:rPr>
        <w:t xml:space="preserve">Issues </w:t>
      </w:r>
      <w:r w:rsidR="00190232">
        <w:rPr>
          <w:b/>
          <w:bCs/>
          <w:lang w:val="en-US"/>
        </w:rPr>
        <w:t>In Progress</w:t>
      </w:r>
      <w:r w:rsidR="00210AC8">
        <w:rPr>
          <w:b/>
          <w:bCs/>
          <w:lang w:val="en-US"/>
        </w:rPr>
        <w:t>, requir</w:t>
      </w:r>
      <w:r w:rsidR="00A02C1F">
        <w:rPr>
          <w:b/>
          <w:bCs/>
          <w:lang w:val="en-US"/>
        </w:rPr>
        <w:t>ing</w:t>
      </w:r>
      <w:r w:rsidR="00210AC8">
        <w:rPr>
          <w:b/>
          <w:bCs/>
          <w:lang w:val="en-US"/>
        </w:rPr>
        <w:t xml:space="preserve"> completion</w:t>
      </w:r>
    </w:p>
    <w:p w14:paraId="3A866558" w14:textId="589AB5F6" w:rsidR="007A62A2" w:rsidRPr="00613ECF" w:rsidRDefault="007A62A2" w:rsidP="00613ECF">
      <w:pPr>
        <w:pStyle w:val="ListParagraph"/>
        <w:numPr>
          <w:ilvl w:val="0"/>
          <w:numId w:val="3"/>
        </w:numPr>
        <w:rPr>
          <w:bCs/>
          <w:lang w:val="en-US"/>
        </w:rPr>
      </w:pPr>
      <w:r w:rsidRPr="00613ECF">
        <w:rPr>
          <w:bCs/>
          <w:lang w:val="en-US"/>
        </w:rPr>
        <w:t>Consolidation/Amicus</w:t>
      </w:r>
      <w:r w:rsidR="00701893" w:rsidRPr="00613ECF">
        <w:rPr>
          <w:bCs/>
          <w:lang w:val="en-US"/>
        </w:rPr>
        <w:t xml:space="preserve"> (Art 7): </w:t>
      </w:r>
      <w:r w:rsidR="00BB3373">
        <w:t>Consider updating the rules to clarify the ability of properly intervening parties to obtain documentation so that they can participate on equal footing with the original parties to the IRP. Consider the need to confirm that requests to intervene/amicus need to be made in writing and specify the interest of the intervening party. Consider amicus access to evidentiary record and whether that should be left to the discretion of the IRP Panel.</w:t>
      </w:r>
    </w:p>
    <w:p w14:paraId="66F8A496" w14:textId="4D9FDB2C" w:rsidR="00190232" w:rsidRPr="001E1EAF" w:rsidRDefault="009307D1" w:rsidP="00613ECF">
      <w:pPr>
        <w:pStyle w:val="ListParagraph"/>
        <w:numPr>
          <w:ilvl w:val="0"/>
          <w:numId w:val="3"/>
        </w:numPr>
        <w:rPr>
          <w:bCs/>
          <w:lang w:val="en-US"/>
        </w:rPr>
      </w:pPr>
      <w:r w:rsidRPr="00F247B6">
        <w:rPr>
          <w:bCs/>
        </w:rPr>
        <w:t xml:space="preserve">Elimination of the Procedures Officer </w:t>
      </w:r>
      <w:r w:rsidR="000D593A" w:rsidRPr="00F247B6">
        <w:rPr>
          <w:bCs/>
        </w:rPr>
        <w:t>(</w:t>
      </w:r>
      <w:r w:rsidR="00F247B6" w:rsidRPr="00F247B6">
        <w:rPr>
          <w:bCs/>
        </w:rPr>
        <w:t>Art 7 – part of the work on Consolidation)</w:t>
      </w:r>
      <w:r w:rsidRPr="00F247B6">
        <w:rPr>
          <w:bCs/>
        </w:rPr>
        <w:t xml:space="preserve">– </w:t>
      </w:r>
      <w:r w:rsidR="000D593A">
        <w:t xml:space="preserve">Experience has shown that the designation of an individual to handle consolidation, intervention and amicus requests is a cumbersome process, and those issues are better let to the discretion of the IRP panel handling the merits of the dispute.  </w:t>
      </w:r>
    </w:p>
    <w:p w14:paraId="70EE91D4" w14:textId="77777777" w:rsidR="00CA1280" w:rsidRDefault="001E1EAF" w:rsidP="00613ECF">
      <w:pPr>
        <w:pStyle w:val="ListParagraph"/>
        <w:numPr>
          <w:ilvl w:val="0"/>
          <w:numId w:val="3"/>
        </w:numPr>
        <w:rPr>
          <w:lang w:val="en-US"/>
        </w:rPr>
      </w:pPr>
      <w:r w:rsidRPr="00613ECF">
        <w:rPr>
          <w:lang w:val="en-US"/>
        </w:rPr>
        <w:t xml:space="preserve">Time for filing (Art 4): </w:t>
      </w:r>
    </w:p>
    <w:p w14:paraId="024EF965" w14:textId="1D7DE16D" w:rsidR="001E1EAF" w:rsidRPr="00CA1280" w:rsidRDefault="001E1EAF" w:rsidP="00542DFA">
      <w:pPr>
        <w:pStyle w:val="ListParagraph"/>
        <w:numPr>
          <w:ilvl w:val="1"/>
          <w:numId w:val="3"/>
        </w:numPr>
        <w:rPr>
          <w:lang w:val="en-US"/>
        </w:rPr>
      </w:pPr>
      <w:r w:rsidRPr="00613ECF">
        <w:rPr>
          <w:rFonts w:eastAsia="Times New Roman"/>
          <w:lang w:val="en-US"/>
        </w:rPr>
        <w:t>should we clarify that the rule we eventually develop is either an affirmative defense that ICANN can raise, or not, as it sees fit or, alternatively, a firm matter of standing that the panel should invoke on its own without exemption, subject only to the savings language that Sam and Liz are working on?</w:t>
      </w:r>
    </w:p>
    <w:p w14:paraId="74C0E5B9" w14:textId="406E2F35" w:rsidR="00CA1280" w:rsidRPr="00EC41A2" w:rsidRDefault="00CA1280" w:rsidP="00542DFA">
      <w:pPr>
        <w:pStyle w:val="ListParagraph"/>
        <w:numPr>
          <w:ilvl w:val="1"/>
          <w:numId w:val="3"/>
        </w:numPr>
        <w:rPr>
          <w:lang w:val="en-US"/>
        </w:rPr>
      </w:pPr>
      <w:r w:rsidRPr="00EC41A2">
        <w:rPr>
          <w:bCs/>
        </w:rPr>
        <w:lastRenderedPageBreak/>
        <w:t xml:space="preserve">Consider adding a clarification that the IRP is officially commenced when the ICDR Administrator </w:t>
      </w:r>
      <w:proofErr w:type="gramStart"/>
      <w:r w:rsidRPr="00EC41A2">
        <w:rPr>
          <w:bCs/>
        </w:rPr>
        <w:t>actually receives</w:t>
      </w:r>
      <w:proofErr w:type="gramEnd"/>
      <w:r w:rsidRPr="00EC41A2">
        <w:rPr>
          <w:bCs/>
        </w:rPr>
        <w:t xml:space="preserve"> a written statement dispute, as well as confirmation that ICDR Rule 36(3) governs a party’s failure to pay required fees.  Clarifying timing requirements is important, as that sets the cadence for the full briefing schedule.</w:t>
      </w:r>
    </w:p>
    <w:p w14:paraId="2BDA677D" w14:textId="77777777" w:rsidR="00CA1280" w:rsidRPr="00613ECF" w:rsidRDefault="00CA1280" w:rsidP="00CA1280">
      <w:pPr>
        <w:pStyle w:val="ListParagraph"/>
        <w:ind w:left="360"/>
        <w:rPr>
          <w:lang w:val="en-US"/>
        </w:rPr>
      </w:pPr>
    </w:p>
    <w:p w14:paraId="241A940A" w14:textId="1402030B" w:rsidR="009E2060" w:rsidRDefault="00FB7B37">
      <w:pPr>
        <w:rPr>
          <w:b/>
          <w:bCs/>
          <w:sz w:val="20"/>
          <w:szCs w:val="20"/>
          <w:lang w:val="en-US"/>
        </w:rPr>
      </w:pPr>
      <w:r>
        <w:rPr>
          <w:b/>
          <w:bCs/>
          <w:sz w:val="20"/>
          <w:szCs w:val="20"/>
          <w:lang w:val="en-US"/>
        </w:rPr>
        <w:t xml:space="preserve">Other Matters </w:t>
      </w:r>
      <w:r w:rsidR="00231EEE">
        <w:rPr>
          <w:b/>
          <w:bCs/>
          <w:sz w:val="20"/>
          <w:szCs w:val="20"/>
          <w:lang w:val="en-US"/>
        </w:rPr>
        <w:t xml:space="preserve">expressly or presumably </w:t>
      </w:r>
      <w:r>
        <w:rPr>
          <w:b/>
          <w:bCs/>
          <w:sz w:val="20"/>
          <w:szCs w:val="20"/>
          <w:lang w:val="en-US"/>
        </w:rPr>
        <w:t>assigned to the IOT under Bylaws</w:t>
      </w:r>
    </w:p>
    <w:p w14:paraId="552C12E8" w14:textId="4F2451CF" w:rsidR="009E2060" w:rsidRPr="00613ECF" w:rsidRDefault="002533B8" w:rsidP="00613ECF">
      <w:pPr>
        <w:pStyle w:val="ListParagraph"/>
        <w:numPr>
          <w:ilvl w:val="0"/>
          <w:numId w:val="3"/>
        </w:numPr>
        <w:rPr>
          <w:lang w:val="en-US"/>
        </w:rPr>
      </w:pPr>
      <w:r w:rsidRPr="00613ECF">
        <w:rPr>
          <w:lang w:val="en-US"/>
        </w:rPr>
        <w:t>Recall Process for Standing Panel</w:t>
      </w:r>
      <w:r w:rsidR="009552F9" w:rsidRPr="00613ECF">
        <w:rPr>
          <w:lang w:val="en-US"/>
        </w:rPr>
        <w:t xml:space="preserve"> to be developed (</w:t>
      </w:r>
      <w:r w:rsidR="009552F9" w:rsidRPr="00613ECF">
        <w:rPr>
          <w:rFonts w:eastAsia="Times New Roman"/>
          <w:lang w:val="en-US"/>
        </w:rPr>
        <w:t>Bylaws 4.3(j)(iii))</w:t>
      </w:r>
    </w:p>
    <w:p w14:paraId="61F46C1A" w14:textId="50AC7845" w:rsidR="009552F9" w:rsidRPr="005134AB" w:rsidRDefault="002323FA" w:rsidP="00613ECF">
      <w:pPr>
        <w:pStyle w:val="ListParagraph"/>
        <w:numPr>
          <w:ilvl w:val="0"/>
          <w:numId w:val="3"/>
        </w:numPr>
        <w:rPr>
          <w:lang w:val="en-US"/>
        </w:rPr>
      </w:pPr>
      <w:r>
        <w:rPr>
          <w:rFonts w:eastAsia="Times New Roman"/>
          <w:lang w:val="en-US"/>
        </w:rPr>
        <w:t xml:space="preserve">Standing Panel Conflicts of Interest </w:t>
      </w:r>
      <w:r w:rsidR="004F41C0">
        <w:rPr>
          <w:rFonts w:eastAsia="Times New Roman"/>
          <w:lang w:val="en-US"/>
        </w:rPr>
        <w:t xml:space="preserve">- consider the development of additional independence requirements for members of the standing panel, including </w:t>
      </w:r>
      <w:r w:rsidR="004F41C0">
        <w:rPr>
          <w:rFonts w:eastAsia="Times New Roman"/>
          <w:color w:val="000000"/>
          <w:shd w:val="clear" w:color="auto" w:fill="FFFFFF"/>
          <w:lang w:val="en-US"/>
        </w:rPr>
        <w:t>term limits and restrictions on post-term appointment to other </w:t>
      </w:r>
      <w:r w:rsidR="004F41C0">
        <w:rPr>
          <w:rFonts w:eastAsia="Times New Roman"/>
          <w:lang w:val="en-US"/>
        </w:rPr>
        <w:t>ICANN</w:t>
      </w:r>
      <w:r w:rsidR="004F41C0">
        <w:rPr>
          <w:rFonts w:eastAsia="Times New Roman"/>
          <w:color w:val="000000"/>
          <w:shd w:val="clear" w:color="auto" w:fill="FFFFFF"/>
          <w:lang w:val="en-US"/>
        </w:rPr>
        <w:t> positions (Bylaws 4.3(q)(i)(B))</w:t>
      </w:r>
    </w:p>
    <w:p w14:paraId="038EBD4C" w14:textId="1A638203" w:rsidR="005134AB" w:rsidRPr="00E93485" w:rsidRDefault="005134AB" w:rsidP="00613ECF">
      <w:pPr>
        <w:pStyle w:val="ListParagraph"/>
        <w:numPr>
          <w:ilvl w:val="0"/>
          <w:numId w:val="3"/>
        </w:numPr>
        <w:rPr>
          <w:lang w:val="en-US"/>
        </w:rPr>
      </w:pPr>
      <w:r>
        <w:rPr>
          <w:rFonts w:eastAsia="Times New Roman"/>
          <w:color w:val="000000"/>
          <w:shd w:val="clear" w:color="auto" w:fill="FFFFFF"/>
          <w:lang w:val="en-US"/>
        </w:rPr>
        <w:t>Recommend training for Standing Panel</w:t>
      </w:r>
      <w:r w:rsidR="005B0A8C">
        <w:rPr>
          <w:rFonts w:eastAsia="Times New Roman"/>
          <w:color w:val="000000"/>
          <w:shd w:val="clear" w:color="auto" w:fill="FFFFFF"/>
          <w:lang w:val="en-US"/>
        </w:rPr>
        <w:t xml:space="preserve"> </w:t>
      </w:r>
      <w:r w:rsidR="005B0A8C" w:rsidRPr="00613ECF">
        <w:rPr>
          <w:lang w:val="en-US"/>
        </w:rPr>
        <w:t>(</w:t>
      </w:r>
      <w:r w:rsidR="005B0A8C" w:rsidRPr="00613ECF">
        <w:rPr>
          <w:rFonts w:eastAsia="Times New Roman"/>
          <w:lang w:val="en-US"/>
        </w:rPr>
        <w:t>Bylaws 4.3(j)(i))</w:t>
      </w:r>
    </w:p>
    <w:p w14:paraId="655A64DA" w14:textId="77777777" w:rsidR="008251E0" w:rsidRPr="008251E0" w:rsidRDefault="00E93485" w:rsidP="008251E0">
      <w:pPr>
        <w:pStyle w:val="ListParagraph"/>
        <w:numPr>
          <w:ilvl w:val="0"/>
          <w:numId w:val="3"/>
        </w:numPr>
        <w:rPr>
          <w:lang w:val="en-US"/>
        </w:rPr>
      </w:pPr>
      <w:r>
        <w:rPr>
          <w:rFonts w:eastAsia="Times New Roman"/>
          <w:color w:val="000000"/>
          <w:shd w:val="clear" w:color="auto" w:fill="FFFFFF"/>
          <w:lang w:val="en-US"/>
        </w:rPr>
        <w:t>Rules for the Cooperative Engagement Process</w:t>
      </w:r>
      <w:r w:rsidR="00430B1A">
        <w:rPr>
          <w:rFonts w:eastAsia="Times New Roman"/>
          <w:color w:val="000000"/>
          <w:shd w:val="clear" w:color="auto" w:fill="FFFFFF"/>
          <w:lang w:val="en-US"/>
        </w:rPr>
        <w:t xml:space="preserve"> (Bylaws 4.3(e)(i))</w:t>
      </w:r>
    </w:p>
    <w:p w14:paraId="52434C44" w14:textId="6B6C68ED" w:rsidR="008251E0" w:rsidRPr="008251E0" w:rsidRDefault="008251E0" w:rsidP="008251E0">
      <w:pPr>
        <w:pStyle w:val="ListParagraph"/>
        <w:numPr>
          <w:ilvl w:val="0"/>
          <w:numId w:val="3"/>
        </w:numPr>
        <w:rPr>
          <w:lang w:val="en-US"/>
        </w:rPr>
      </w:pPr>
      <w:r w:rsidRPr="008251E0">
        <w:rPr>
          <w:rFonts w:eastAsia="Times New Roman"/>
          <w:lang w:eastAsia="en-GB"/>
        </w:rPr>
        <w:t>Consider designing specialized rules for PTI service complaint</w:t>
      </w:r>
      <w:r w:rsidR="00D45D57">
        <w:rPr>
          <w:rFonts w:eastAsia="Times New Roman"/>
          <w:lang w:eastAsia="en-GB"/>
        </w:rPr>
        <w:t xml:space="preserve"> </w:t>
      </w:r>
      <w:r w:rsidR="00D45D57" w:rsidRPr="00613ECF">
        <w:rPr>
          <w:lang w:val="en-US"/>
        </w:rPr>
        <w:t>(</w:t>
      </w:r>
      <w:r w:rsidR="00D45D57" w:rsidRPr="00613ECF">
        <w:rPr>
          <w:rFonts w:eastAsia="Times New Roman"/>
          <w:lang w:val="en-US"/>
        </w:rPr>
        <w:t>Bylaws 4.3(</w:t>
      </w:r>
      <w:r w:rsidR="00D45D57">
        <w:rPr>
          <w:rFonts w:eastAsia="Times New Roman"/>
          <w:lang w:val="en-US"/>
        </w:rPr>
        <w:t>a</w:t>
      </w:r>
      <w:r w:rsidR="00D45D57" w:rsidRPr="00613ECF">
        <w:rPr>
          <w:rFonts w:eastAsia="Times New Roman"/>
          <w:lang w:val="en-US"/>
        </w:rPr>
        <w:t>)(</w:t>
      </w:r>
      <w:r w:rsidR="005C5B3A">
        <w:rPr>
          <w:rFonts w:eastAsia="Times New Roman"/>
          <w:lang w:val="en-US"/>
        </w:rPr>
        <w:t>v</w:t>
      </w:r>
      <w:r w:rsidR="00D45D57" w:rsidRPr="00613ECF">
        <w:rPr>
          <w:rFonts w:eastAsia="Times New Roman"/>
          <w:lang w:val="en-US"/>
        </w:rPr>
        <w:t>))</w:t>
      </w:r>
    </w:p>
    <w:p w14:paraId="66D2E7F4" w14:textId="13F27AF3" w:rsidR="008251E0" w:rsidRPr="002533B8" w:rsidRDefault="00D45D57" w:rsidP="008251E0">
      <w:pPr>
        <w:pStyle w:val="ListParagraph"/>
        <w:ind w:left="360"/>
        <w:rPr>
          <w:lang w:val="en-US"/>
        </w:rPr>
      </w:pPr>
      <w:r>
        <w:rPr>
          <w:lang w:val="en-US"/>
        </w:rPr>
        <w:t xml:space="preserve"> </w:t>
      </w:r>
    </w:p>
    <w:p w14:paraId="2B85EB9B" w14:textId="77777777" w:rsidR="0077689C" w:rsidRDefault="0077689C">
      <w:pPr>
        <w:rPr>
          <w:b/>
          <w:bCs/>
          <w:sz w:val="20"/>
          <w:szCs w:val="20"/>
          <w:lang w:val="en-US"/>
        </w:rPr>
      </w:pPr>
    </w:p>
    <w:p w14:paraId="677ECA5A" w14:textId="10BFDCCA" w:rsidR="009E2060" w:rsidRPr="00613ECF" w:rsidRDefault="00A15CEE">
      <w:pPr>
        <w:rPr>
          <w:lang w:val="en-US"/>
        </w:rPr>
      </w:pPr>
      <w:r>
        <w:rPr>
          <w:b/>
          <w:bCs/>
          <w:sz w:val="20"/>
          <w:szCs w:val="20"/>
          <w:lang w:val="en-US"/>
        </w:rPr>
        <w:t>Other</w:t>
      </w:r>
    </w:p>
    <w:p w14:paraId="7F4946CE" w14:textId="6D6AC83C" w:rsidR="00A15CEE" w:rsidRPr="00613ECF" w:rsidRDefault="0077689C" w:rsidP="00613ECF">
      <w:pPr>
        <w:pStyle w:val="ListParagraph"/>
        <w:numPr>
          <w:ilvl w:val="0"/>
          <w:numId w:val="3"/>
        </w:numPr>
        <w:rPr>
          <w:b/>
          <w:bCs/>
          <w:sz w:val="20"/>
          <w:szCs w:val="20"/>
          <w:lang w:val="en-US"/>
        </w:rPr>
      </w:pPr>
      <w:r w:rsidRPr="00613ECF">
        <w:t>Challenge</w:t>
      </w:r>
      <w:r>
        <w:t xml:space="preserve"> to a summary dismissal of an RfR by BAMC - </w:t>
      </w:r>
      <w:r w:rsidR="00A15CEE">
        <w:t>it appears unclear how or when such a dismissal can or must be challenged. </w:t>
      </w:r>
      <w:r>
        <w:t xml:space="preserve"> Is this within our remit? </w:t>
      </w:r>
      <w:r w:rsidR="00613ECF">
        <w:t>Does this intersect with Art 4 Time for Filing?</w:t>
      </w:r>
    </w:p>
    <w:p w14:paraId="72A2F11E" w14:textId="77777777" w:rsidR="00613ECF" w:rsidRDefault="00613ECF">
      <w:pPr>
        <w:rPr>
          <w:lang w:val="en-US"/>
        </w:rPr>
      </w:pPr>
    </w:p>
    <w:p w14:paraId="3014BA72" w14:textId="77777777" w:rsidR="0079792A" w:rsidRPr="0079792A" w:rsidRDefault="0079792A">
      <w:pPr>
        <w:rPr>
          <w:b/>
          <w:bCs/>
          <w:sz w:val="20"/>
          <w:szCs w:val="20"/>
          <w:lang w:val="en-US"/>
        </w:rPr>
      </w:pPr>
      <w:r w:rsidRPr="0079792A">
        <w:rPr>
          <w:b/>
          <w:bCs/>
          <w:sz w:val="20"/>
          <w:szCs w:val="20"/>
          <w:lang w:val="en-US"/>
        </w:rPr>
        <w:t>Background</w:t>
      </w:r>
    </w:p>
    <w:p w14:paraId="734FCCF8" w14:textId="73982D74" w:rsidR="009E2060" w:rsidRDefault="009E2060">
      <w:pPr>
        <w:rPr>
          <w:lang w:val="en-US"/>
        </w:rPr>
      </w:pPr>
      <w:r w:rsidRPr="009E2060">
        <w:rPr>
          <w:lang w:val="en-US"/>
        </w:rPr>
        <w:t xml:space="preserve">In pulling this document together </w:t>
      </w:r>
      <w:r>
        <w:rPr>
          <w:lang w:val="en-US"/>
        </w:rPr>
        <w:t>I have looked back to:</w:t>
      </w:r>
    </w:p>
    <w:p w14:paraId="07C5C16F" w14:textId="3968F31F" w:rsidR="00D74CA7" w:rsidRDefault="00FA27B8" w:rsidP="009E2060">
      <w:pPr>
        <w:pStyle w:val="ListParagraph"/>
        <w:numPr>
          <w:ilvl w:val="0"/>
          <w:numId w:val="1"/>
        </w:numPr>
        <w:rPr>
          <w:lang w:val="en-US"/>
        </w:rPr>
      </w:pPr>
      <w:r>
        <w:rPr>
          <w:lang w:val="en-US"/>
        </w:rPr>
        <w:t xml:space="preserve">IRP Update Document for call on </w:t>
      </w:r>
      <w:r w:rsidR="00D74CA7">
        <w:rPr>
          <w:lang w:val="en-US"/>
        </w:rPr>
        <w:t>14 January 2020</w:t>
      </w:r>
    </w:p>
    <w:p w14:paraId="7B955716" w14:textId="38A0B17C" w:rsidR="009E2060" w:rsidRDefault="009E2060" w:rsidP="009E2060">
      <w:pPr>
        <w:pStyle w:val="ListParagraph"/>
        <w:numPr>
          <w:ilvl w:val="0"/>
          <w:numId w:val="1"/>
        </w:numPr>
        <w:rPr>
          <w:lang w:val="en-US"/>
        </w:rPr>
      </w:pPr>
      <w:r>
        <w:rPr>
          <w:lang w:val="en-US"/>
        </w:rPr>
        <w:t>Potential areas for IOT Consideration document (SE; circulated with agenda 10 February 2020)</w:t>
      </w:r>
    </w:p>
    <w:p w14:paraId="64546037" w14:textId="6A76CB86" w:rsidR="00E90A76" w:rsidRDefault="00E90A76" w:rsidP="009E2060">
      <w:pPr>
        <w:pStyle w:val="ListParagraph"/>
        <w:numPr>
          <w:ilvl w:val="0"/>
          <w:numId w:val="1"/>
        </w:numPr>
        <w:rPr>
          <w:lang w:val="en-US"/>
        </w:rPr>
      </w:pPr>
      <w:r>
        <w:rPr>
          <w:lang w:val="en-US"/>
        </w:rPr>
        <w:t xml:space="preserve">SE </w:t>
      </w:r>
      <w:r w:rsidR="00C27C8A">
        <w:rPr>
          <w:lang w:val="en-US"/>
        </w:rPr>
        <w:t>a</w:t>
      </w:r>
      <w:r>
        <w:rPr>
          <w:lang w:val="en-US"/>
        </w:rPr>
        <w:t xml:space="preserve">notated draft of the </w:t>
      </w:r>
      <w:r w:rsidR="00C27C8A">
        <w:rPr>
          <w:lang w:val="en-US"/>
        </w:rPr>
        <w:t xml:space="preserve">interim </w:t>
      </w:r>
      <w:r>
        <w:rPr>
          <w:lang w:val="en-US"/>
        </w:rPr>
        <w:t>rules</w:t>
      </w:r>
    </w:p>
    <w:p w14:paraId="7A54F3E8" w14:textId="11E048C5" w:rsidR="009E2060" w:rsidRDefault="009E2060" w:rsidP="009E2060">
      <w:pPr>
        <w:pStyle w:val="ListParagraph"/>
        <w:numPr>
          <w:ilvl w:val="0"/>
          <w:numId w:val="1"/>
        </w:numPr>
        <w:rPr>
          <w:lang w:val="en-US"/>
        </w:rPr>
      </w:pPr>
      <w:r>
        <w:rPr>
          <w:lang w:val="en-US"/>
        </w:rPr>
        <w:t>DM email 20 July 2021</w:t>
      </w:r>
    </w:p>
    <w:p w14:paraId="790644EB" w14:textId="44AB63D3" w:rsidR="009E2060" w:rsidRPr="009E2060" w:rsidRDefault="009E2060" w:rsidP="009E2060">
      <w:pPr>
        <w:pStyle w:val="ListParagraph"/>
        <w:numPr>
          <w:ilvl w:val="0"/>
          <w:numId w:val="1"/>
        </w:numPr>
        <w:rPr>
          <w:lang w:val="en-US"/>
        </w:rPr>
      </w:pPr>
      <w:r>
        <w:rPr>
          <w:lang w:val="en-US"/>
        </w:rPr>
        <w:t>MR email 20 July 2021</w:t>
      </w:r>
    </w:p>
    <w:sectPr w:rsidR="009E2060" w:rsidRPr="009E2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DF0"/>
    <w:multiLevelType w:val="hybridMultilevel"/>
    <w:tmpl w:val="705A871C"/>
    <w:lvl w:ilvl="0" w:tplc="F19C7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128AF"/>
    <w:multiLevelType w:val="hybridMultilevel"/>
    <w:tmpl w:val="DE70F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82D56"/>
    <w:multiLevelType w:val="hybridMultilevel"/>
    <w:tmpl w:val="EDBCD1F6"/>
    <w:lvl w:ilvl="0" w:tplc="A12470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B780E"/>
    <w:multiLevelType w:val="hybridMultilevel"/>
    <w:tmpl w:val="5F3859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3C997774"/>
    <w:multiLevelType w:val="hybridMultilevel"/>
    <w:tmpl w:val="B56C6E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8152F"/>
    <w:multiLevelType w:val="hybridMultilevel"/>
    <w:tmpl w:val="6456A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A9E4574"/>
    <w:multiLevelType w:val="hybridMultilevel"/>
    <w:tmpl w:val="0C021D0C"/>
    <w:lvl w:ilvl="0" w:tplc="B77489E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D40425A"/>
    <w:multiLevelType w:val="hybridMultilevel"/>
    <w:tmpl w:val="81E4A8CA"/>
    <w:lvl w:ilvl="0" w:tplc="F19C77E6">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60"/>
    <w:rsid w:val="000B3D32"/>
    <w:rsid w:val="000D593A"/>
    <w:rsid w:val="00190232"/>
    <w:rsid w:val="001E1EAF"/>
    <w:rsid w:val="00210AC8"/>
    <w:rsid w:val="00231EEE"/>
    <w:rsid w:val="002323FA"/>
    <w:rsid w:val="002533B8"/>
    <w:rsid w:val="0027269B"/>
    <w:rsid w:val="002A0610"/>
    <w:rsid w:val="003060C2"/>
    <w:rsid w:val="003377E7"/>
    <w:rsid w:val="00341566"/>
    <w:rsid w:val="0037331A"/>
    <w:rsid w:val="00415A2D"/>
    <w:rsid w:val="00430B1A"/>
    <w:rsid w:val="004F3FC6"/>
    <w:rsid w:val="004F41C0"/>
    <w:rsid w:val="005072CD"/>
    <w:rsid w:val="005134AB"/>
    <w:rsid w:val="00542DFA"/>
    <w:rsid w:val="005B0A8C"/>
    <w:rsid w:val="005C5B3A"/>
    <w:rsid w:val="00613ECF"/>
    <w:rsid w:val="006F516C"/>
    <w:rsid w:val="00701893"/>
    <w:rsid w:val="0077689C"/>
    <w:rsid w:val="0079792A"/>
    <w:rsid w:val="007A62A2"/>
    <w:rsid w:val="007D06F3"/>
    <w:rsid w:val="007F75A8"/>
    <w:rsid w:val="008251E0"/>
    <w:rsid w:val="0083280D"/>
    <w:rsid w:val="008C0E1E"/>
    <w:rsid w:val="008E6E4E"/>
    <w:rsid w:val="008F150E"/>
    <w:rsid w:val="009307D1"/>
    <w:rsid w:val="00954517"/>
    <w:rsid w:val="009552F9"/>
    <w:rsid w:val="009E2060"/>
    <w:rsid w:val="00A02C1F"/>
    <w:rsid w:val="00A15CEE"/>
    <w:rsid w:val="00AA0FC0"/>
    <w:rsid w:val="00AB081A"/>
    <w:rsid w:val="00AF1EE8"/>
    <w:rsid w:val="00B75CF6"/>
    <w:rsid w:val="00BB3373"/>
    <w:rsid w:val="00C27C8A"/>
    <w:rsid w:val="00C66CC7"/>
    <w:rsid w:val="00C70AD9"/>
    <w:rsid w:val="00CA1280"/>
    <w:rsid w:val="00D36CF5"/>
    <w:rsid w:val="00D45D57"/>
    <w:rsid w:val="00D53FD2"/>
    <w:rsid w:val="00D74CA7"/>
    <w:rsid w:val="00D95848"/>
    <w:rsid w:val="00DC469B"/>
    <w:rsid w:val="00DF4FE0"/>
    <w:rsid w:val="00E37ED8"/>
    <w:rsid w:val="00E90A76"/>
    <w:rsid w:val="00E93485"/>
    <w:rsid w:val="00EA4619"/>
    <w:rsid w:val="00EC41A2"/>
    <w:rsid w:val="00F0372A"/>
    <w:rsid w:val="00F0459E"/>
    <w:rsid w:val="00F247B6"/>
    <w:rsid w:val="00F26DE1"/>
    <w:rsid w:val="00FA27B8"/>
    <w:rsid w:val="00FB7B37"/>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5ED8"/>
  <w15:chartTrackingRefBased/>
  <w15:docId w15:val="{DE0D359C-9819-443B-9BEE-B2E8E94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Theme="minorHAnsi" w:hAnsi="Poppins Light" w:cs="Poppins Light"/>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8760">
      <w:bodyDiv w:val="1"/>
      <w:marLeft w:val="0"/>
      <w:marRight w:val="0"/>
      <w:marTop w:val="0"/>
      <w:marBottom w:val="0"/>
      <w:divBdr>
        <w:top w:val="none" w:sz="0" w:space="0" w:color="auto"/>
        <w:left w:val="none" w:sz="0" w:space="0" w:color="auto"/>
        <w:bottom w:val="none" w:sz="0" w:space="0" w:color="auto"/>
        <w:right w:val="none" w:sz="0" w:space="0" w:color="auto"/>
      </w:divBdr>
    </w:div>
    <w:div w:id="417361673">
      <w:bodyDiv w:val="1"/>
      <w:marLeft w:val="0"/>
      <w:marRight w:val="0"/>
      <w:marTop w:val="0"/>
      <w:marBottom w:val="0"/>
      <w:divBdr>
        <w:top w:val="none" w:sz="0" w:space="0" w:color="auto"/>
        <w:left w:val="none" w:sz="0" w:space="0" w:color="auto"/>
        <w:bottom w:val="none" w:sz="0" w:space="0" w:color="auto"/>
        <w:right w:val="none" w:sz="0" w:space="0" w:color="auto"/>
      </w:divBdr>
    </w:div>
    <w:div w:id="703405740">
      <w:bodyDiv w:val="1"/>
      <w:marLeft w:val="0"/>
      <w:marRight w:val="0"/>
      <w:marTop w:val="0"/>
      <w:marBottom w:val="0"/>
      <w:divBdr>
        <w:top w:val="none" w:sz="0" w:space="0" w:color="auto"/>
        <w:left w:val="none" w:sz="0" w:space="0" w:color="auto"/>
        <w:bottom w:val="none" w:sz="0" w:space="0" w:color="auto"/>
        <w:right w:val="none" w:sz="0" w:space="0" w:color="auto"/>
      </w:divBdr>
    </w:div>
    <w:div w:id="16227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53D5-EE7E-4B12-807B-D3CE4F4B0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28653-C2EC-4467-A533-FBFE9ED1A6D9}">
  <ds:schemaRefs>
    <ds:schemaRef ds:uri="http://schemas.microsoft.com/sharepoint/v3/contenttype/forms"/>
  </ds:schemaRefs>
</ds:datastoreItem>
</file>

<file path=customXml/itemProps3.xml><?xml version="1.0" encoding="utf-8"?>
<ds:datastoreItem xmlns:ds="http://schemas.openxmlformats.org/officeDocument/2006/customXml" ds:itemID="{BDAB90F9-C539-44B7-9896-7C65F831D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66</cp:revision>
  <dcterms:created xsi:type="dcterms:W3CDTF">2021-08-31T16:24:00Z</dcterms:created>
  <dcterms:modified xsi:type="dcterms:W3CDTF">2021-08-31T17:42:00Z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