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3E02" w14:textId="4EA6544A" w:rsidR="007134E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PROPOSED REVISIONS TO RULE 4: TIME FOR FILING </w:t>
      </w:r>
      <w:r w:rsidR="008A5ADC">
        <w:rPr>
          <w:rFonts w:ascii="Arial" w:eastAsia="Arial" w:hAnsi="Arial" w:cs="Arial"/>
          <w:b/>
          <w:sz w:val="24"/>
          <w:szCs w:val="24"/>
        </w:rPr>
        <w:t xml:space="preserve">Proposed final </w:t>
      </w:r>
      <w:r>
        <w:rPr>
          <w:rFonts w:ascii="Arial" w:eastAsia="Arial" w:hAnsi="Arial" w:cs="Arial"/>
          <w:b/>
          <w:sz w:val="24"/>
          <w:szCs w:val="24"/>
        </w:rPr>
        <w:t xml:space="preserve">draft of 26 </w:t>
      </w:r>
      <w:r w:rsidR="008A5ADC">
        <w:rPr>
          <w:rFonts w:ascii="Arial" w:eastAsia="Arial" w:hAnsi="Arial" w:cs="Arial"/>
          <w:b/>
          <w:sz w:val="24"/>
          <w:szCs w:val="24"/>
        </w:rPr>
        <w:t>August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2AEB9963" w14:textId="77777777" w:rsidR="007134E9" w:rsidRDefault="007134E9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2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1400"/>
      </w:tblGrid>
      <w:tr w:rsidR="007134E9" w14:paraId="06CBAE87" w14:textId="77777777">
        <w:tc>
          <w:tcPr>
            <w:tcW w:w="675" w:type="dxa"/>
          </w:tcPr>
          <w:p w14:paraId="2B682975" w14:textId="77777777" w:rsidR="007134E9" w:rsidRDefault="007134E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400" w:type="dxa"/>
          </w:tcPr>
          <w:p w14:paraId="560B33B6" w14:textId="77777777" w:rsidR="007134E9" w:rsidRDefault="007134E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34E9" w14:paraId="65F68E6F" w14:textId="77777777">
        <w:trPr>
          <w:trHeight w:val="4416"/>
        </w:trPr>
        <w:tc>
          <w:tcPr>
            <w:tcW w:w="675" w:type="dxa"/>
          </w:tcPr>
          <w:p w14:paraId="4EF3299D" w14:textId="77777777" w:rsidR="007134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  <w:p w14:paraId="61904B31" w14:textId="77777777" w:rsidR="007134E9" w:rsidRDefault="007134E9"/>
          <w:p w14:paraId="77A18ADD" w14:textId="77777777" w:rsidR="007134E9" w:rsidRDefault="007134E9"/>
          <w:p w14:paraId="0B5927FD" w14:textId="77777777" w:rsidR="007134E9" w:rsidRDefault="007134E9"/>
          <w:p w14:paraId="765FD75E" w14:textId="77777777" w:rsidR="007134E9" w:rsidRDefault="007134E9"/>
          <w:p w14:paraId="55D635C5" w14:textId="77777777" w:rsidR="007134E9" w:rsidRDefault="007134E9"/>
          <w:p w14:paraId="15D9B3E4" w14:textId="77777777" w:rsidR="007134E9" w:rsidRDefault="007134E9"/>
          <w:p w14:paraId="5BD6E5D4" w14:textId="77777777" w:rsidR="007134E9" w:rsidRDefault="007134E9"/>
          <w:p w14:paraId="5E3BD21A" w14:textId="77777777" w:rsidR="007134E9" w:rsidRDefault="007134E9"/>
          <w:p w14:paraId="37F8125A" w14:textId="77777777" w:rsidR="007134E9" w:rsidRDefault="007134E9"/>
          <w:p w14:paraId="42E4D78B" w14:textId="77777777" w:rsidR="007134E9" w:rsidRDefault="007134E9"/>
          <w:p w14:paraId="602DC8F5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835A8F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360DF1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C1C944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531310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0F3317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27D0DE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84DAD8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CC7698" w14:textId="77777777" w:rsidR="007134E9" w:rsidRDefault="007134E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0" w:type="dxa"/>
          </w:tcPr>
          <w:p w14:paraId="6DEE9529" w14:textId="77777777" w:rsidR="007134E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634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CLAIMANT shall file a written statement of a DISPUTE with the ICDR within the following timeframes:</w:t>
            </w:r>
          </w:p>
          <w:p w14:paraId="74DD2E1E" w14:textId="77777777" w:rsidR="007134E9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 DISPUTES challenging Board or Staff action, within 120 days after the date on which the CLAIMANT became aware of, or reasonably should have become aware of, </w:t>
            </w:r>
            <w:r>
              <w:rPr>
                <w:rFonts w:ascii="Arial" w:eastAsia="Arial" w:hAnsi="Arial" w:cs="Arial"/>
                <w:sz w:val="24"/>
                <w:szCs w:val="24"/>
              </w:rPr>
              <w:t>being materially affected 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action being challenged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DISPUTE;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</w:t>
            </w:r>
          </w:p>
          <w:p w14:paraId="643F2836" w14:textId="77777777" w:rsidR="007134E9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714" w:hanging="35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 DISPUTES challenging Board or Staff inaction, within 120 days after the date on which the CLAIMANT </w:t>
            </w:r>
            <w:r>
              <w:rPr>
                <w:rFonts w:ascii="Arial" w:eastAsia="Arial" w:hAnsi="Arial" w:cs="Arial"/>
                <w:sz w:val="24"/>
                <w:szCs w:val="24"/>
              </w:rPr>
              <w:t>became aware of, or reasonably should have become aware of, being materially affected by the failure to act being challenged in the DISPUTE.</w:t>
            </w:r>
          </w:p>
        </w:tc>
      </w:tr>
      <w:tr w:rsidR="007134E9" w14:paraId="15C7BBAA" w14:textId="77777777">
        <w:trPr>
          <w:trHeight w:val="1975"/>
        </w:trPr>
        <w:tc>
          <w:tcPr>
            <w:tcW w:w="675" w:type="dxa"/>
          </w:tcPr>
          <w:p w14:paraId="3EC32AF7" w14:textId="77777777" w:rsidR="007134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11400" w:type="dxa"/>
          </w:tcPr>
          <w:p w14:paraId="60541C1F" w14:textId="1E3DAAEC" w:rsidR="007134E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6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Subject to </w:t>
            </w:r>
            <w:r w:rsidR="005D5A93">
              <w:rPr>
                <w:rFonts w:ascii="Arial" w:eastAsia="Arial" w:hAnsi="Arial" w:cs="Arial"/>
                <w:sz w:val="24"/>
                <w:szCs w:val="24"/>
              </w:rPr>
              <w:t>Rule 4C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below,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statement of a DISPUTE may not be filed more than </w:t>
            </w:r>
            <w:r w:rsidRPr="008A5ADC">
              <w:rPr>
                <w:rFonts w:ascii="Arial" w:eastAsia="Arial" w:hAnsi="Arial" w:cs="Arial"/>
                <w:color w:val="000000"/>
                <w:sz w:val="24"/>
                <w:szCs w:val="24"/>
              </w:rPr>
              <w:t>24 months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from the date of such action or inaction being challenged in the DISPUTE.</w:t>
            </w:r>
          </w:p>
        </w:tc>
      </w:tr>
      <w:tr w:rsidR="007134E9" w14:paraId="580F1FEB" w14:textId="77777777">
        <w:tc>
          <w:tcPr>
            <w:tcW w:w="675" w:type="dxa"/>
          </w:tcPr>
          <w:p w14:paraId="2A77198A" w14:textId="77777777" w:rsidR="007134E9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1400" w:type="dxa"/>
          </w:tcPr>
          <w:p w14:paraId="361B8020" w14:textId="574CAAFC" w:rsidR="007134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CLAIMANT may be permitted by the IRP Panel to file its written statement of a DISPUTE after the timeframes set forth in </w:t>
            </w:r>
            <w:r w:rsidR="005D5A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Rules 4A and 4B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above under certain limited circumstances.  Such a CLAIMANT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shall </w:t>
            </w:r>
            <w:r w:rsidR="004B42F9">
              <w:rPr>
                <w:rFonts w:ascii="Arial" w:eastAsia="Arial" w:hAnsi="Arial" w:cs="Arial"/>
                <w:color w:val="000000"/>
                <w:sz w:val="24"/>
                <w:szCs w:val="24"/>
              </w:rPr>
              <w:t>apply for permission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file late </w:t>
            </w:r>
            <w:r w:rsidR="004B42F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written statement of DISPUTE by demonstrating by clear and convincing evidence that either: </w:t>
            </w:r>
          </w:p>
        </w:tc>
      </w:tr>
      <w:tr w:rsidR="007134E9" w14:paraId="64C3BFEB" w14:textId="77777777">
        <w:tc>
          <w:tcPr>
            <w:tcW w:w="675" w:type="dxa"/>
          </w:tcPr>
          <w:p w14:paraId="57486179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00" w:type="dxa"/>
          </w:tcPr>
          <w:p w14:paraId="0ED03667" w14:textId="203862F7" w:rsidR="007134E9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exceptional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circumstances not caused by the CLAIMANT and out of the CLA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IMANT’s control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prevented the CLAIMANT from becoming aware of the action or inaction being challenged in the DISPUTE within the timeframes set forth in </w:t>
            </w:r>
            <w:r w:rsidR="005D5A93">
              <w:rPr>
                <w:rFonts w:ascii="Arial" w:eastAsia="Arial" w:hAnsi="Arial" w:cs="Arial"/>
                <w:color w:val="000000"/>
                <w:sz w:val="24"/>
                <w:szCs w:val="24"/>
              </w:rPr>
              <w:t>Rule 4A or Rule 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or being eligible under the Bylaws as a CLAIMANT </w:t>
            </w:r>
            <w:r w:rsidR="00D22E65">
              <w:rPr>
                <w:rFonts w:ascii="Arial" w:eastAsia="Arial" w:hAnsi="Arial" w:cs="Arial"/>
                <w:sz w:val="24"/>
                <w:szCs w:val="24"/>
              </w:rPr>
              <w:t xml:space="preserve">(Bylaws </w:t>
            </w:r>
            <w:r w:rsidR="00CA50CF">
              <w:rPr>
                <w:rFonts w:ascii="Arial" w:eastAsia="Arial" w:hAnsi="Arial" w:cs="Arial"/>
                <w:sz w:val="24"/>
                <w:szCs w:val="24"/>
              </w:rPr>
              <w:t xml:space="preserve">section 4.3(b)) </w:t>
            </w:r>
            <w:r>
              <w:rPr>
                <w:rFonts w:ascii="Arial" w:eastAsia="Arial" w:hAnsi="Arial" w:cs="Arial"/>
                <w:sz w:val="24"/>
                <w:szCs w:val="24"/>
              </w:rPr>
              <w:t>within those timeframes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or </w:t>
            </w:r>
          </w:p>
        </w:tc>
      </w:tr>
      <w:tr w:rsidR="007134E9" w14:paraId="4A91D570" w14:textId="77777777">
        <w:tc>
          <w:tcPr>
            <w:tcW w:w="675" w:type="dxa"/>
          </w:tcPr>
          <w:p w14:paraId="44A6848B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00" w:type="dxa"/>
          </w:tcPr>
          <w:p w14:paraId="4337B119" w14:textId="53DD3B1A" w:rsidR="007134E9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exceptional circumstances not caused by the CLAIMANT </w:t>
            </w:r>
            <w:r>
              <w:rPr>
                <w:rFonts w:ascii="Arial" w:eastAsia="Arial" w:hAnsi="Arial" w:cs="Arial"/>
                <w:sz w:val="24"/>
                <w:szCs w:val="24"/>
              </w:rPr>
              <w:t>and out of the CLAIMANT’s control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prevented the CLAIMANT from being able to file a written statement of a DISPUTE within 24 months from the date of the action or inaction being challenged in the DISPUTE within the timeframes set forth in </w:t>
            </w:r>
            <w:r w:rsidR="00354D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4A or </w:t>
            </w:r>
            <w:r w:rsidR="00354D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4B.</w:t>
            </w:r>
          </w:p>
        </w:tc>
      </w:tr>
      <w:tr w:rsidR="007134E9" w14:paraId="02962C9B" w14:textId="77777777">
        <w:tc>
          <w:tcPr>
            <w:tcW w:w="675" w:type="dxa"/>
          </w:tcPr>
          <w:p w14:paraId="57B5FCDB" w14:textId="77777777" w:rsidR="007134E9" w:rsidRDefault="007134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00" w:type="dxa"/>
          </w:tcPr>
          <w:p w14:paraId="7BB24F39" w14:textId="172529ED" w:rsidR="007134E9" w:rsidRDefault="00000000">
            <w:pP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lk112427672"/>
            <w:r>
              <w:rPr>
                <w:rFonts w:ascii="Arial" w:eastAsia="Arial" w:hAnsi="Arial" w:cs="Arial"/>
                <w:sz w:val="24"/>
                <w:szCs w:val="24"/>
              </w:rPr>
              <w:t xml:space="preserve">The application for </w:t>
            </w:r>
            <w:r w:rsidR="004B42F9">
              <w:rPr>
                <w:rFonts w:ascii="Arial" w:eastAsia="Arial" w:hAnsi="Arial" w:cs="Arial"/>
                <w:sz w:val="24"/>
                <w:szCs w:val="24"/>
              </w:rPr>
              <w:t>permission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file late a written statement of DISPUTE shall include an explanation of how the CLAIMANT satisfies the standing requirements set forth in the Bylaws</w:t>
            </w:r>
            <w:r w:rsidR="004B42F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B42F9">
              <w:rPr>
                <w:rFonts w:ascii="Arial" w:eastAsia="Arial" w:hAnsi="Arial" w:cs="Arial"/>
                <w:sz w:val="24"/>
                <w:szCs w:val="24"/>
              </w:rPr>
              <w:t>(Bylaws section 4.3(b))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bookmarkEnd w:id="0"/>
          </w:p>
        </w:tc>
      </w:tr>
      <w:tr w:rsidR="007134E9" w14:paraId="3CA93151" w14:textId="77777777">
        <w:tc>
          <w:tcPr>
            <w:tcW w:w="675" w:type="dxa"/>
          </w:tcPr>
          <w:p w14:paraId="5639E331" w14:textId="77777777" w:rsidR="007134E9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</w:t>
            </w:r>
          </w:p>
        </w:tc>
        <w:tc>
          <w:tcPr>
            <w:tcW w:w="11400" w:type="dxa"/>
          </w:tcPr>
          <w:p w14:paraId="05CDA114" w14:textId="22CE89E5" w:rsidR="007134E9" w:rsidRDefault="00000000">
            <w:pP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 no circumstances may a CLAIMANT seek to file a statement of a DISPUTE more than four years after the date of the action or inaction being challenged in the DISPUTE.</w:t>
            </w:r>
          </w:p>
        </w:tc>
      </w:tr>
      <w:tr w:rsidR="007134E9" w14:paraId="7ED5E960" w14:textId="77777777">
        <w:tc>
          <w:tcPr>
            <w:tcW w:w="675" w:type="dxa"/>
          </w:tcPr>
          <w:p w14:paraId="41D5BAFB" w14:textId="688CDE0C" w:rsidR="007134E9" w:rsidRPr="00354DF7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54DF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400" w:type="dxa"/>
          </w:tcPr>
          <w:p w14:paraId="3F72FEC2" w14:textId="71243206" w:rsidR="007134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Any </w:t>
            </w:r>
            <w:r w:rsidR="00E6007F">
              <w:rPr>
                <w:rFonts w:ascii="Arial" w:eastAsia="Arial" w:hAnsi="Arial" w:cs="Arial"/>
                <w:color w:val="000000"/>
                <w:sz w:val="24"/>
                <w:szCs w:val="24"/>
              </w:rPr>
              <w:t>application for permission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file </w:t>
            </w:r>
            <w:r w:rsidR="00E600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late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written statement of a DISPUTE under </w:t>
            </w:r>
            <w:r w:rsidR="00E600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4C shall be accompanied by CLAIMANT’s proposed statement of a DISPUTE and must be filed within 30 calendar days of: </w:t>
            </w:r>
          </w:p>
          <w:p w14:paraId="39A42E92" w14:textId="5E2293B8" w:rsidR="007134E9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CLAIMANT becoming aware of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being materially affected by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action or inaction being challenged in the DISPUTE, if the late filing is requested under </w:t>
            </w:r>
            <w:r w:rsidR="00E600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4C.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above; or </w:t>
            </w:r>
          </w:p>
          <w:p w14:paraId="6A9B6590" w14:textId="333B8E80" w:rsidR="007134E9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CLAIMANT becoming able to file a written statement of a DISPUTE, if the late filing is requested under </w:t>
            </w:r>
            <w:r w:rsidR="00E600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4C.ii above.</w:t>
            </w:r>
          </w:p>
          <w:p w14:paraId="66942CF0" w14:textId="5AC0BF4B" w:rsidR="007134E9" w:rsidRDefault="00000000">
            <w:pPr>
              <w:spacing w:after="24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Nothing in this Rule 4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is intended to preclude a Claimant who has initiated an IRP in the belief that their claim is within time, but where that timeliness is successfully challenged, from then </w:t>
            </w:r>
            <w:r w:rsidR="00E6007F">
              <w:rPr>
                <w:rFonts w:ascii="Arial" w:eastAsia="Arial" w:hAnsi="Arial" w:cs="Arial"/>
                <w:sz w:val="24"/>
                <w:szCs w:val="24"/>
              </w:rPr>
              <w:t>requesting permission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pursue </w:t>
            </w:r>
            <w:r w:rsidR="004870B5">
              <w:rPr>
                <w:rFonts w:ascii="Arial" w:eastAsia="Arial" w:hAnsi="Arial" w:cs="Arial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IRP out of time.</w:t>
            </w:r>
          </w:p>
          <w:p w14:paraId="5D8CD50B" w14:textId="77777777" w:rsidR="007134E9" w:rsidRDefault="007134E9"/>
        </w:tc>
      </w:tr>
      <w:tr w:rsidR="007134E9" w14:paraId="2DBE7859" w14:textId="77777777">
        <w:tc>
          <w:tcPr>
            <w:tcW w:w="675" w:type="dxa"/>
          </w:tcPr>
          <w:p w14:paraId="6F66F4AB" w14:textId="59ED8D86" w:rsidR="007134E9" w:rsidRPr="00E6007F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E600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400" w:type="dxa"/>
          </w:tcPr>
          <w:p w14:paraId="5BC53A6E" w14:textId="09EC77C3" w:rsidR="007134E9" w:rsidRDefault="00000000">
            <w:pPr>
              <w:spacing w:after="24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Any </w:t>
            </w:r>
            <w:r w:rsidR="00125E6F">
              <w:rPr>
                <w:rFonts w:ascii="Arial" w:eastAsia="Arial" w:hAnsi="Arial" w:cs="Arial"/>
                <w:sz w:val="24"/>
                <w:szCs w:val="24"/>
              </w:rPr>
              <w:t>application for permission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file </w:t>
            </w:r>
            <w:r w:rsidR="00125E6F">
              <w:rPr>
                <w:rFonts w:ascii="Arial" w:eastAsia="Arial" w:hAnsi="Arial" w:cs="Arial"/>
                <w:sz w:val="24"/>
                <w:szCs w:val="24"/>
              </w:rPr>
              <w:t xml:space="preserve">late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written statement of a DISPUTE under </w:t>
            </w:r>
            <w:r w:rsidR="00125E6F">
              <w:rPr>
                <w:rFonts w:ascii="Arial" w:eastAsia="Arial" w:hAnsi="Arial" w:cs="Arial"/>
                <w:sz w:val="24"/>
                <w:szCs w:val="24"/>
              </w:rPr>
              <w:t xml:space="preserve">Rule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4C shall be directed to the IRP Provider, who will appoint a single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consider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make a determination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on the </w:t>
            </w:r>
            <w:r w:rsidR="00125E6F">
              <w:rPr>
                <w:rFonts w:ascii="Arial" w:eastAsia="Arial" w:hAnsi="Arial" w:cs="Arial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BB25F7" w14:textId="59AC626D" w:rsidR="0064601B" w:rsidRPr="0064601B" w:rsidRDefault="0064601B" w:rsidP="006460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48C671" w14:textId="13F1A489" w:rsidR="0064601B" w:rsidRDefault="0064601B" w:rsidP="006460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41DA30" w14:textId="515C22AD" w:rsidR="0064601B" w:rsidRPr="0064601B" w:rsidRDefault="0064601B" w:rsidP="0064601B">
            <w:pPr>
              <w:tabs>
                <w:tab w:val="left" w:pos="483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385F86F9" w14:textId="77777777" w:rsidR="007134E9" w:rsidRDefault="00000000">
            <w:pPr>
              <w:numPr>
                <w:ilvl w:val="8"/>
                <w:numId w:val="1"/>
              </w:numPr>
              <w:spacing w:line="360" w:lineRule="auto"/>
              <w:ind w:left="674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Where the Standing Panel is in place, ICANN and the CLAIMANT shall endeavour to agree on a single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Where they are unable to do so either Party may request that the IRP Provider appoints a single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from the Standing Panel using the procedure set out in ICDR Rule 13(6).</w:t>
            </w:r>
          </w:p>
          <w:p w14:paraId="43C9BF58" w14:textId="77777777" w:rsidR="007134E9" w:rsidRDefault="00000000">
            <w:pPr>
              <w:numPr>
                <w:ilvl w:val="8"/>
                <w:numId w:val="1"/>
              </w:numPr>
              <w:spacing w:after="240" w:line="360" w:lineRule="auto"/>
              <w:ind w:left="674" w:hanging="28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 the event that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no STANDING PANEL is in place ICANN and the CLAIMANT shall endeavour to agree on a single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Where they are unable to do so either Party may request that the IRP Provider appoints a single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using the procedure set out in ICDR Rule 13(6).</w:t>
            </w:r>
          </w:p>
        </w:tc>
      </w:tr>
      <w:tr w:rsidR="007134E9" w14:paraId="5E6C52F1" w14:textId="77777777">
        <w:tc>
          <w:tcPr>
            <w:tcW w:w="675" w:type="dxa"/>
          </w:tcPr>
          <w:p w14:paraId="7F1BBEF4" w14:textId="76911674" w:rsidR="007134E9" w:rsidRPr="00125E6F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125E6F">
              <w:rPr>
                <w:rFonts w:ascii="Arial" w:hAnsi="Arial" w:cs="Arial"/>
                <w:sz w:val="24"/>
                <w:szCs w:val="24"/>
              </w:rPr>
              <w:lastRenderedPageBreak/>
              <w:t>G</w:t>
            </w:r>
          </w:p>
        </w:tc>
        <w:tc>
          <w:tcPr>
            <w:tcW w:w="11400" w:type="dxa"/>
          </w:tcPr>
          <w:p w14:paraId="66798190" w14:textId="77777777" w:rsidR="007134E9" w:rsidRDefault="00000000">
            <w:pPr>
              <w:spacing w:after="24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When considering whether an applicant should be permitted to file an IRP Claim out of time,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Panelist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shall have regard to the Purposes of the IRP and any jurisprudence of IRP panels relevant to interpretation of this clause in the light of the Purposes.</w:t>
            </w:r>
          </w:p>
        </w:tc>
      </w:tr>
      <w:tr w:rsidR="007134E9" w14:paraId="6526C086" w14:textId="77777777">
        <w:tc>
          <w:tcPr>
            <w:tcW w:w="675" w:type="dxa"/>
          </w:tcPr>
          <w:p w14:paraId="7CB6DB63" w14:textId="2B265274" w:rsidR="007134E9" w:rsidRPr="00125E6F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125E6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400" w:type="dxa"/>
          </w:tcPr>
          <w:p w14:paraId="0E0B5E21" w14:textId="23C9A5DB" w:rsidR="007134E9" w:rsidRDefault="00000000">
            <w:pPr>
              <w:spacing w:after="240"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 avoidance of doubt, ICANN shall have a right to respond to a CLAIMANT’s </w:t>
            </w:r>
            <w:r w:rsidR="00125E6F">
              <w:rPr>
                <w:rFonts w:ascii="Arial" w:eastAsia="Arial" w:hAnsi="Arial" w:cs="Arial"/>
                <w:color w:val="000000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</w:t>
            </w:r>
            <w:r w:rsidR="0064601B">
              <w:rPr>
                <w:rFonts w:ascii="Arial" w:eastAsia="Arial" w:hAnsi="Arial" w:cs="Arial"/>
                <w:color w:val="000000"/>
                <w:sz w:val="24"/>
                <w:szCs w:val="24"/>
              </w:rPr>
              <w:t>permission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file</w:t>
            </w:r>
            <w:r w:rsidR="00125E6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submitted pursuant to </w:t>
            </w:r>
            <w:r w:rsidR="006460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Rules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4C and </w:t>
            </w:r>
            <w:r w:rsidR="0064601B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134E9" w14:paraId="1A77F866" w14:textId="77777777">
        <w:tc>
          <w:tcPr>
            <w:tcW w:w="675" w:type="dxa"/>
          </w:tcPr>
          <w:p w14:paraId="37418DD5" w14:textId="77777777" w:rsidR="007134E9" w:rsidRPr="0064601B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64601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400" w:type="dxa"/>
          </w:tcPr>
          <w:p w14:paraId="68EB0050" w14:textId="77777777" w:rsidR="007134E9" w:rsidRDefault="00000000">
            <w:pPr>
              <w:spacing w:after="240" w:line="360" w:lineRule="auto"/>
            </w:pPr>
            <w:commentRangeStart w:id="1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order for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 IRP to be deemed to have been timely filed, all fees must be paid to the ICDR within three business days (as measured by the ICDR) of the filing of a statement of a DISPUTE.</w:t>
            </w:r>
            <w:commentRangeEnd w:id="1"/>
            <w:r w:rsidR="0064601B">
              <w:rPr>
                <w:rStyle w:val="CommentReference"/>
              </w:rPr>
              <w:commentReference w:id="1"/>
            </w:r>
          </w:p>
        </w:tc>
      </w:tr>
    </w:tbl>
    <w:p w14:paraId="078113C9" w14:textId="77777777" w:rsidR="007134E9" w:rsidRDefault="007134E9"/>
    <w:p w14:paraId="7DE0B85E" w14:textId="77777777" w:rsidR="007134E9" w:rsidRDefault="00000000">
      <w:pPr>
        <w:rPr>
          <w:sz w:val="22"/>
          <w:szCs w:val="22"/>
        </w:rPr>
      </w:pPr>
      <w:r>
        <w:rPr>
          <w:sz w:val="22"/>
          <w:szCs w:val="22"/>
          <w:u w:val="single"/>
        </w:rPr>
        <w:t>Note that the time for filing reflected in this Rule 4 is subject to the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 xml:space="preserve">agreement reached by the IOT on Fixed Additional Time.  Rule text to reflect this FAT concept to be drafted. </w:t>
      </w:r>
      <w:r>
        <w:rPr>
          <w:sz w:val="22"/>
          <w:szCs w:val="22"/>
        </w:rPr>
        <w:t xml:space="preserve"> </w:t>
      </w:r>
    </w:p>
    <w:sectPr w:rsidR="007134E9"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usan Payne" w:date="2022-08-26T16:41:00Z" w:initials="SP">
    <w:p w14:paraId="31C1A93F" w14:textId="77777777" w:rsidR="0064601B" w:rsidRDefault="0064601B" w:rsidP="00A91706">
      <w:pPr>
        <w:pStyle w:val="CommentText"/>
      </w:pPr>
      <w:r>
        <w:rPr>
          <w:rStyle w:val="CommentReference"/>
        </w:rPr>
        <w:annotationRef/>
      </w:r>
      <w:r>
        <w:t>Subject to any changes made by Plenary group as a result of the review by the Initiation Subgoup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C1A9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762D" w16cex:dateUtc="2022-08-26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C1A93F" w16cid:durableId="26B376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384B" w14:textId="77777777" w:rsidR="00842CB3" w:rsidRDefault="00842CB3">
      <w:pPr>
        <w:spacing w:after="0" w:line="240" w:lineRule="auto"/>
      </w:pPr>
      <w:r>
        <w:separator/>
      </w:r>
    </w:p>
  </w:endnote>
  <w:endnote w:type="continuationSeparator" w:id="0">
    <w:p w14:paraId="35994410" w14:textId="77777777" w:rsidR="00842CB3" w:rsidRDefault="0084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D238" w14:textId="2DFB16CC" w:rsidR="007134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0C50">
      <w:rPr>
        <w:noProof/>
        <w:color w:val="000000"/>
      </w:rPr>
      <w:t>1</w:t>
    </w:r>
    <w:r>
      <w:rPr>
        <w:color w:val="000000"/>
      </w:rPr>
      <w:fldChar w:fldCharType="end"/>
    </w:r>
  </w:p>
  <w:p w14:paraId="032F9D77" w14:textId="77777777" w:rsidR="007134E9" w:rsidRDefault="007134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8826" w14:textId="77777777" w:rsidR="00842CB3" w:rsidRDefault="00842CB3">
      <w:pPr>
        <w:spacing w:after="0" w:line="240" w:lineRule="auto"/>
      </w:pPr>
      <w:r>
        <w:separator/>
      </w:r>
    </w:p>
  </w:footnote>
  <w:footnote w:type="continuationSeparator" w:id="0">
    <w:p w14:paraId="13E46CE3" w14:textId="77777777" w:rsidR="00842CB3" w:rsidRDefault="0084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0730"/>
    <w:multiLevelType w:val="multilevel"/>
    <w:tmpl w:val="B4F809A2"/>
    <w:lvl w:ilvl="0">
      <w:start w:val="2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100E84"/>
    <w:multiLevelType w:val="multilevel"/>
    <w:tmpl w:val="05CCDB44"/>
    <w:lvl w:ilvl="0">
      <w:start w:val="2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A30B79"/>
    <w:multiLevelType w:val="multilevel"/>
    <w:tmpl w:val="8FA09356"/>
    <w:lvl w:ilvl="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823496">
    <w:abstractNumId w:val="0"/>
  </w:num>
  <w:num w:numId="2" w16cid:durableId="224338810">
    <w:abstractNumId w:val="2"/>
  </w:num>
  <w:num w:numId="3" w16cid:durableId="4252679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Payne">
    <w15:presenceInfo w15:providerId="AD" w15:userId="S::susan.payne@comlaude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E9"/>
    <w:rsid w:val="00125E6F"/>
    <w:rsid w:val="00354DF7"/>
    <w:rsid w:val="00404446"/>
    <w:rsid w:val="004870B5"/>
    <w:rsid w:val="004B42F9"/>
    <w:rsid w:val="005D32C9"/>
    <w:rsid w:val="005D5A93"/>
    <w:rsid w:val="0064601B"/>
    <w:rsid w:val="007134E9"/>
    <w:rsid w:val="007E0C50"/>
    <w:rsid w:val="00842CB3"/>
    <w:rsid w:val="008A5ADC"/>
    <w:rsid w:val="00CA50CF"/>
    <w:rsid w:val="00D22E65"/>
    <w:rsid w:val="00E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CB29"/>
  <w15:docId w15:val="{FDD85207-EBE5-4197-92EA-C199E4D0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="Poppins Light" w:hAnsi="Poppins Light" w:cs="Poppins Light"/>
        <w:sz w:val="18"/>
        <w:szCs w:val="1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1B"/>
  </w:style>
  <w:style w:type="paragraph" w:styleId="Footer">
    <w:name w:val="footer"/>
    <w:basedOn w:val="Normal"/>
    <w:link w:val="FooterChar"/>
    <w:uiPriority w:val="99"/>
    <w:unhideWhenUsed/>
    <w:rsid w:val="006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Payne</cp:lastModifiedBy>
  <cp:revision>3</cp:revision>
  <dcterms:created xsi:type="dcterms:W3CDTF">2022-08-26T14:15:00Z</dcterms:created>
  <dcterms:modified xsi:type="dcterms:W3CDTF">2022-08-26T16:51:00Z</dcterms:modified>
</cp:coreProperties>
</file>