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3916" w14:textId="2FC1C845" w:rsidR="00293DBA" w:rsidRPr="00B136F8" w:rsidRDefault="009E2060">
      <w:pPr>
        <w:rPr>
          <w:rFonts w:ascii="Arial" w:hAnsi="Arial" w:cs="Arial"/>
          <w:b/>
          <w:bCs/>
          <w:sz w:val="24"/>
          <w:szCs w:val="24"/>
          <w:lang w:val="en-US"/>
        </w:rPr>
      </w:pPr>
      <w:r w:rsidRPr="00B136F8">
        <w:rPr>
          <w:rFonts w:ascii="Arial" w:hAnsi="Arial" w:cs="Arial"/>
          <w:b/>
          <w:bCs/>
          <w:sz w:val="24"/>
          <w:szCs w:val="24"/>
          <w:lang w:val="en-US"/>
        </w:rPr>
        <w:t xml:space="preserve">IRP-IOT Matters Outstanding </w:t>
      </w:r>
      <w:r w:rsidR="00D95848" w:rsidRPr="00B136F8">
        <w:rPr>
          <w:rFonts w:ascii="Arial" w:hAnsi="Arial" w:cs="Arial"/>
          <w:b/>
          <w:bCs/>
          <w:sz w:val="24"/>
          <w:szCs w:val="24"/>
          <w:lang w:val="en-US"/>
        </w:rPr>
        <w:t xml:space="preserve">– </w:t>
      </w:r>
      <w:r w:rsidR="00186BED">
        <w:rPr>
          <w:rFonts w:ascii="Arial" w:hAnsi="Arial" w:cs="Arial"/>
          <w:b/>
          <w:bCs/>
          <w:sz w:val="24"/>
          <w:szCs w:val="24"/>
          <w:lang w:val="en-US"/>
        </w:rPr>
        <w:t>16</w:t>
      </w:r>
      <w:r w:rsidR="007B0DDF" w:rsidRPr="00B136F8">
        <w:rPr>
          <w:rFonts w:ascii="Arial" w:hAnsi="Arial" w:cs="Arial"/>
          <w:b/>
          <w:bCs/>
          <w:sz w:val="24"/>
          <w:szCs w:val="24"/>
          <w:lang w:val="en-US"/>
        </w:rPr>
        <w:t xml:space="preserve"> April 202</w:t>
      </w:r>
      <w:r w:rsidR="008445DC">
        <w:rPr>
          <w:rFonts w:ascii="Arial" w:hAnsi="Arial" w:cs="Arial"/>
          <w:b/>
          <w:bCs/>
          <w:sz w:val="24"/>
          <w:szCs w:val="24"/>
          <w:lang w:val="en-US"/>
        </w:rPr>
        <w:t>4</w:t>
      </w:r>
    </w:p>
    <w:p w14:paraId="47CB0AE0" w14:textId="77777777" w:rsidR="007430A7" w:rsidRDefault="007430A7" w:rsidP="00C14B04">
      <w:pPr>
        <w:rPr>
          <w:rFonts w:ascii="Arial" w:hAnsi="Arial" w:cs="Arial"/>
          <w:b/>
          <w:bCs/>
          <w:sz w:val="20"/>
          <w:szCs w:val="20"/>
          <w:lang w:val="en-US"/>
        </w:rPr>
      </w:pPr>
    </w:p>
    <w:p w14:paraId="0602FFEE" w14:textId="3CFB2278" w:rsidR="004B6031" w:rsidRPr="00302961" w:rsidRDefault="004B6031" w:rsidP="004B6031">
      <w:pPr>
        <w:rPr>
          <w:rFonts w:ascii="Arial" w:hAnsi="Arial" w:cs="Arial"/>
          <w:b/>
          <w:bCs/>
          <w:sz w:val="22"/>
          <w:szCs w:val="22"/>
          <w:lang w:val="en-US"/>
        </w:rPr>
      </w:pPr>
      <w:r w:rsidRPr="00302961">
        <w:rPr>
          <w:rFonts w:ascii="Arial" w:hAnsi="Arial" w:cs="Arial"/>
          <w:b/>
          <w:bCs/>
          <w:sz w:val="22"/>
          <w:szCs w:val="22"/>
          <w:lang w:val="en-US"/>
        </w:rPr>
        <w:t>IRP Rule</w:t>
      </w:r>
      <w:r w:rsidR="00186BED" w:rsidRPr="00302961">
        <w:rPr>
          <w:rFonts w:ascii="Arial" w:hAnsi="Arial" w:cs="Arial"/>
          <w:b/>
          <w:bCs/>
          <w:sz w:val="22"/>
          <w:szCs w:val="22"/>
          <w:lang w:val="en-US"/>
        </w:rPr>
        <w:t xml:space="preserve"> 10, Interim Measures</w:t>
      </w:r>
    </w:p>
    <w:p w14:paraId="08ED5F5A" w14:textId="77777777" w:rsidR="00302961" w:rsidRPr="00302961" w:rsidRDefault="00302961" w:rsidP="00186BED">
      <w:pPr>
        <w:rPr>
          <w:rFonts w:ascii="Arial" w:hAnsi="Arial" w:cs="Arial"/>
          <w:b/>
          <w:bCs/>
          <w:sz w:val="20"/>
          <w:szCs w:val="20"/>
        </w:rPr>
      </w:pPr>
      <w:r w:rsidRPr="00302961">
        <w:rPr>
          <w:rFonts w:ascii="Arial" w:hAnsi="Arial" w:cs="Arial"/>
          <w:b/>
          <w:bCs/>
          <w:sz w:val="20"/>
          <w:szCs w:val="20"/>
        </w:rPr>
        <w:t>Questions identified for consideration</w:t>
      </w:r>
    </w:p>
    <w:p w14:paraId="3C210AD4" w14:textId="2035A076" w:rsidR="004B6031" w:rsidRDefault="004B6031" w:rsidP="00186BED">
      <w:pPr>
        <w:rPr>
          <w:rFonts w:ascii="Arial" w:hAnsi="Arial" w:cs="Arial"/>
          <w:sz w:val="20"/>
          <w:szCs w:val="20"/>
        </w:rPr>
      </w:pPr>
      <w:r w:rsidRPr="00186BED">
        <w:rPr>
          <w:rFonts w:ascii="Arial" w:hAnsi="Arial" w:cs="Arial"/>
          <w:sz w:val="20"/>
          <w:szCs w:val="20"/>
        </w:rPr>
        <w:t>Interim Measures (Art 10):</w:t>
      </w:r>
      <w:r w:rsidRPr="00186BED">
        <w:rPr>
          <w:rFonts w:ascii="Arial" w:hAnsi="Arial" w:cs="Arial"/>
          <w:b/>
          <w:bCs/>
          <w:sz w:val="20"/>
          <w:szCs w:val="20"/>
        </w:rPr>
        <w:t xml:space="preserve"> </w:t>
      </w:r>
      <w:r w:rsidRPr="00C11345">
        <w:rPr>
          <w:rFonts w:ascii="Arial" w:hAnsi="Arial" w:cs="Arial"/>
          <w:sz w:val="20"/>
          <w:szCs w:val="20"/>
          <w:highlight w:val="yellow"/>
        </w:rPr>
        <w:t>Consider codifying typical arbitral practice in clarifying that Emergency Panelist or the IRP Panel has authority to modify interim relief measures</w:t>
      </w:r>
      <w:r w:rsidRPr="00186BED">
        <w:rPr>
          <w:rFonts w:ascii="Arial" w:hAnsi="Arial" w:cs="Arial"/>
          <w:sz w:val="20"/>
          <w:szCs w:val="20"/>
        </w:rPr>
        <w:t xml:space="preserve">; </w:t>
      </w:r>
      <w:r w:rsidRPr="00C11345">
        <w:rPr>
          <w:rFonts w:ascii="Arial" w:hAnsi="Arial" w:cs="Arial"/>
          <w:sz w:val="20"/>
          <w:szCs w:val="20"/>
          <w:highlight w:val="green"/>
        </w:rPr>
        <w:t>for procedural equity consider defining a page limit and right of reply for requests for Interim Measures</w:t>
      </w:r>
      <w:r w:rsidRPr="00186BED">
        <w:rPr>
          <w:rFonts w:ascii="Arial" w:hAnsi="Arial" w:cs="Arial"/>
          <w:sz w:val="20"/>
          <w:szCs w:val="20"/>
        </w:rPr>
        <w:t>. (N.B. may have some overlap with the work on Consolidation/Amicus</w:t>
      </w:r>
      <w:r w:rsidR="00E053F7">
        <w:rPr>
          <w:rFonts w:ascii="Arial" w:hAnsi="Arial" w:cs="Arial"/>
          <w:sz w:val="20"/>
          <w:szCs w:val="20"/>
        </w:rPr>
        <w:t>).</w:t>
      </w:r>
    </w:p>
    <w:p w14:paraId="3B3D40DF" w14:textId="77777777" w:rsidR="00E053F7" w:rsidRDefault="00E053F7" w:rsidP="00186BED">
      <w:pPr>
        <w:rPr>
          <w:rFonts w:ascii="Arial" w:hAnsi="Arial" w:cs="Arial"/>
          <w:sz w:val="20"/>
          <w:szCs w:val="20"/>
        </w:rPr>
      </w:pPr>
    </w:p>
    <w:p w14:paraId="52FE614A" w14:textId="377AE16B" w:rsidR="00E053F7" w:rsidRPr="00E053F7" w:rsidRDefault="00E053F7" w:rsidP="00186BED">
      <w:pPr>
        <w:rPr>
          <w:rFonts w:ascii="Arial" w:hAnsi="Arial" w:cs="Arial"/>
          <w:b/>
          <w:bCs/>
          <w:sz w:val="20"/>
          <w:szCs w:val="20"/>
        </w:rPr>
      </w:pPr>
      <w:r w:rsidRPr="00E053F7">
        <w:rPr>
          <w:rFonts w:ascii="Arial" w:hAnsi="Arial" w:cs="Arial"/>
          <w:b/>
          <w:bCs/>
          <w:sz w:val="20"/>
          <w:szCs w:val="20"/>
        </w:rPr>
        <w:t>Current Rule 10 (Interim Supplementary Procedures)</w:t>
      </w:r>
    </w:p>
    <w:p w14:paraId="53ABFCC4" w14:textId="77777777" w:rsidR="001A520A" w:rsidRPr="00F864E9" w:rsidRDefault="001A520A" w:rsidP="00186BED">
      <w:pPr>
        <w:rPr>
          <w:rFonts w:ascii="Arial" w:hAnsi="Arial" w:cs="Arial"/>
          <w:sz w:val="20"/>
          <w:szCs w:val="20"/>
        </w:rPr>
      </w:pPr>
      <w:r w:rsidRPr="00F864E9">
        <w:rPr>
          <w:rFonts w:ascii="Arial" w:hAnsi="Arial" w:cs="Arial"/>
          <w:sz w:val="20"/>
          <w:szCs w:val="20"/>
        </w:rPr>
        <w:t xml:space="preserve">Interim Measures of Protection </w:t>
      </w:r>
    </w:p>
    <w:p w14:paraId="36202F1A" w14:textId="77777777" w:rsidR="00F864E9" w:rsidRPr="00F864E9" w:rsidRDefault="001A520A" w:rsidP="00186BED">
      <w:pPr>
        <w:rPr>
          <w:rFonts w:ascii="Arial" w:hAnsi="Arial" w:cs="Arial"/>
          <w:sz w:val="20"/>
          <w:szCs w:val="20"/>
        </w:rPr>
      </w:pPr>
      <w:r w:rsidRPr="00F864E9">
        <w:rPr>
          <w:rFonts w:ascii="Arial" w:hAnsi="Arial" w:cs="Arial"/>
          <w:sz w:val="20"/>
          <w:szCs w:val="20"/>
        </w:rPr>
        <w:t xml:space="preserve">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w:t>
      </w:r>
      <w:proofErr w:type="gramStart"/>
      <w:r w:rsidRPr="00F864E9">
        <w:rPr>
          <w:rFonts w:ascii="Arial" w:hAnsi="Arial" w:cs="Arial"/>
          <w:sz w:val="20"/>
          <w:szCs w:val="20"/>
        </w:rPr>
        <w:t>in order to</w:t>
      </w:r>
      <w:proofErr w:type="gramEnd"/>
      <w:r w:rsidRPr="00F864E9">
        <w:rPr>
          <w:rFonts w:ascii="Arial" w:hAnsi="Arial" w:cs="Arial"/>
          <w:sz w:val="20"/>
          <w:szCs w:val="20"/>
        </w:rPr>
        <w:t xml:space="preserve"> maintain the status quo until such time as the opinion of the IRP PANEL is considered by ICANN as described in ICANN Bylaws, Article 4, Section 4.3(o)(iv). </w:t>
      </w:r>
    </w:p>
    <w:p w14:paraId="3CD2EAF9" w14:textId="77777777" w:rsidR="00F864E9" w:rsidRPr="00F864E9" w:rsidRDefault="001A520A" w:rsidP="00186BED">
      <w:pPr>
        <w:rPr>
          <w:rFonts w:ascii="Arial" w:hAnsi="Arial" w:cs="Arial"/>
          <w:sz w:val="20"/>
          <w:szCs w:val="20"/>
        </w:rPr>
      </w:pPr>
      <w:r w:rsidRPr="00F864E9">
        <w:rPr>
          <w:rFonts w:ascii="Arial" w:hAnsi="Arial" w:cs="Arial"/>
          <w:sz w:val="20"/>
          <w:szCs w:val="20"/>
        </w:rPr>
        <w:t xml:space="preserve">An EMERGENCY PANELIST shall be selected from the STANDING PANEL to adjudicate requests for interim relief. </w:t>
      </w:r>
      <w:proofErr w:type="gramStart"/>
      <w:r w:rsidRPr="00F864E9">
        <w:rPr>
          <w:rFonts w:ascii="Arial" w:hAnsi="Arial" w:cs="Arial"/>
          <w:sz w:val="20"/>
          <w:szCs w:val="20"/>
        </w:rPr>
        <w:t>In the event that</w:t>
      </w:r>
      <w:proofErr w:type="gramEnd"/>
      <w:r w:rsidRPr="00F864E9">
        <w:rPr>
          <w:rFonts w:ascii="Arial" w:hAnsi="Arial" w:cs="Arial"/>
          <w:sz w:val="20"/>
          <w:szCs w:val="20"/>
        </w:rPr>
        <w:t xml:space="preserve"> no STANDING PANEL is in place when an EMERGENCY PANELIST must be selected, a </w:t>
      </w:r>
      <w:proofErr w:type="spellStart"/>
      <w:r w:rsidRPr="00F864E9">
        <w:rPr>
          <w:rFonts w:ascii="Arial" w:hAnsi="Arial" w:cs="Arial"/>
          <w:sz w:val="20"/>
          <w:szCs w:val="20"/>
        </w:rPr>
        <w:t>panelist</w:t>
      </w:r>
      <w:proofErr w:type="spellEnd"/>
      <w:r w:rsidRPr="00F864E9">
        <w:rPr>
          <w:rFonts w:ascii="Arial" w:hAnsi="Arial" w:cs="Arial"/>
          <w:sz w:val="20"/>
          <w:szCs w:val="20"/>
        </w:rPr>
        <w:t xml:space="preserve"> may be appointed by the ICDR pursuant to ICDR RULES relating to appointment of </w:t>
      </w:r>
      <w:proofErr w:type="spellStart"/>
      <w:r w:rsidRPr="00F864E9">
        <w:rPr>
          <w:rFonts w:ascii="Arial" w:hAnsi="Arial" w:cs="Arial"/>
          <w:sz w:val="20"/>
          <w:szCs w:val="20"/>
        </w:rPr>
        <w:t>panelists</w:t>
      </w:r>
      <w:proofErr w:type="spellEnd"/>
      <w:r w:rsidRPr="00F864E9">
        <w:rPr>
          <w:rFonts w:ascii="Arial" w:hAnsi="Arial" w:cs="Arial"/>
          <w:sz w:val="20"/>
          <w:szCs w:val="20"/>
        </w:rPr>
        <w:t xml:space="preserve"> for emergency relief. Interim relief may only be provided if the EMERGENCY PANELIST determines that the Claimant has established </w:t>
      </w:r>
      <w:proofErr w:type="gramStart"/>
      <w:r w:rsidRPr="00F864E9">
        <w:rPr>
          <w:rFonts w:ascii="Arial" w:hAnsi="Arial" w:cs="Arial"/>
          <w:sz w:val="20"/>
          <w:szCs w:val="20"/>
        </w:rPr>
        <w:t>all of</w:t>
      </w:r>
      <w:proofErr w:type="gramEnd"/>
      <w:r w:rsidRPr="00F864E9">
        <w:rPr>
          <w:rFonts w:ascii="Arial" w:hAnsi="Arial" w:cs="Arial"/>
          <w:sz w:val="20"/>
          <w:szCs w:val="20"/>
        </w:rPr>
        <w:t xml:space="preserve"> the following factors: </w:t>
      </w:r>
    </w:p>
    <w:p w14:paraId="7A59CEC4" w14:textId="625E217A" w:rsidR="00F864E9" w:rsidRPr="00F864E9" w:rsidRDefault="001A520A" w:rsidP="00F864E9">
      <w:pPr>
        <w:pStyle w:val="ListParagraph"/>
        <w:numPr>
          <w:ilvl w:val="0"/>
          <w:numId w:val="15"/>
        </w:numPr>
        <w:rPr>
          <w:rFonts w:ascii="Arial" w:hAnsi="Arial" w:cs="Arial"/>
          <w:sz w:val="20"/>
          <w:szCs w:val="20"/>
        </w:rPr>
      </w:pPr>
      <w:r w:rsidRPr="00F864E9">
        <w:rPr>
          <w:rFonts w:ascii="Arial" w:hAnsi="Arial" w:cs="Arial"/>
          <w:sz w:val="20"/>
          <w:szCs w:val="20"/>
        </w:rPr>
        <w:t xml:space="preserve">A harm for which there will be no adequate remedy in the absence of such relief; </w:t>
      </w:r>
    </w:p>
    <w:p w14:paraId="3F24F0FA" w14:textId="77777777" w:rsidR="00F864E9" w:rsidRPr="00F864E9" w:rsidRDefault="001A520A" w:rsidP="00F864E9">
      <w:pPr>
        <w:pStyle w:val="ListParagraph"/>
        <w:numPr>
          <w:ilvl w:val="0"/>
          <w:numId w:val="15"/>
        </w:numPr>
        <w:rPr>
          <w:rFonts w:ascii="Arial" w:hAnsi="Arial" w:cs="Arial"/>
          <w:sz w:val="20"/>
          <w:szCs w:val="20"/>
          <w:lang w:val="en-US"/>
        </w:rPr>
      </w:pPr>
      <w:r w:rsidRPr="00F864E9">
        <w:rPr>
          <w:rFonts w:ascii="Arial" w:hAnsi="Arial" w:cs="Arial"/>
          <w:sz w:val="20"/>
          <w:szCs w:val="20"/>
        </w:rPr>
        <w:t xml:space="preserve">Either: (A) likelihood of success on the merits; or (B) sufficiently serious questions related to the merits; and </w:t>
      </w:r>
    </w:p>
    <w:p w14:paraId="2EF5AA7A" w14:textId="28A79688" w:rsidR="00F864E9" w:rsidRPr="00F864E9" w:rsidRDefault="001A520A" w:rsidP="00F864E9">
      <w:pPr>
        <w:pStyle w:val="ListParagraph"/>
        <w:numPr>
          <w:ilvl w:val="0"/>
          <w:numId w:val="15"/>
        </w:numPr>
        <w:rPr>
          <w:rFonts w:ascii="Arial" w:hAnsi="Arial" w:cs="Arial"/>
          <w:sz w:val="20"/>
          <w:szCs w:val="20"/>
          <w:lang w:val="en-US"/>
        </w:rPr>
      </w:pPr>
      <w:r w:rsidRPr="00F864E9">
        <w:rPr>
          <w:rFonts w:ascii="Arial" w:hAnsi="Arial" w:cs="Arial"/>
          <w:sz w:val="20"/>
          <w:szCs w:val="20"/>
        </w:rPr>
        <w:t xml:space="preserve">A balance of hardships tipping decidedly toward the party seeking relief. </w:t>
      </w:r>
    </w:p>
    <w:p w14:paraId="654E14D7" w14:textId="3FA819E1" w:rsidR="00E053F7" w:rsidRDefault="001A520A" w:rsidP="00F864E9">
      <w:pPr>
        <w:rPr>
          <w:rFonts w:ascii="Arial" w:hAnsi="Arial" w:cs="Arial"/>
          <w:sz w:val="20"/>
          <w:szCs w:val="20"/>
        </w:rPr>
      </w:pPr>
      <w:r w:rsidRPr="00F864E9">
        <w:rPr>
          <w:rFonts w:ascii="Arial" w:hAnsi="Arial" w:cs="Arial"/>
          <w:sz w:val="20"/>
          <w:szCs w:val="20"/>
        </w:rPr>
        <w:t xml:space="preserve">Interim relief may be granted on an ex </w:t>
      </w:r>
      <w:proofErr w:type="spellStart"/>
      <w:r w:rsidRPr="00F864E9">
        <w:rPr>
          <w:rFonts w:ascii="Arial" w:hAnsi="Arial" w:cs="Arial"/>
          <w:sz w:val="20"/>
          <w:szCs w:val="20"/>
        </w:rPr>
        <w:t>parte</w:t>
      </w:r>
      <w:proofErr w:type="spellEnd"/>
      <w:r w:rsidRPr="00F864E9">
        <w:rPr>
          <w:rFonts w:ascii="Arial" w:hAnsi="Arial" w:cs="Arial"/>
          <w:sz w:val="20"/>
          <w:szCs w:val="20"/>
        </w:rPr>
        <w:t xml:space="preserve"> basis in circumstances that the EMERGENCY PANELIST deems exigent, but </w:t>
      </w:r>
      <w:r w:rsidRPr="00035C3F">
        <w:rPr>
          <w:rFonts w:ascii="Arial" w:hAnsi="Arial" w:cs="Arial"/>
          <w:sz w:val="20"/>
          <w:szCs w:val="20"/>
          <w:highlight w:val="green"/>
        </w:rPr>
        <w:t>any Party whose arguments were not considered prior to the granting of such interim relief may submit any opposition to such interim relief, and the EMERGENCY PANELIST must consider such arguments, as soon as reasonably possible.</w:t>
      </w:r>
      <w:r w:rsidRPr="00F864E9">
        <w:rPr>
          <w:rFonts w:ascii="Arial" w:hAnsi="Arial" w:cs="Arial"/>
          <w:sz w:val="20"/>
          <w:szCs w:val="20"/>
        </w:rPr>
        <w:t xml:space="preserve"> </w:t>
      </w:r>
      <w:r w:rsidRPr="0058412B">
        <w:rPr>
          <w:rFonts w:ascii="Arial" w:hAnsi="Arial" w:cs="Arial"/>
          <w:sz w:val="20"/>
          <w:szCs w:val="20"/>
          <w:highlight w:val="yellow"/>
        </w:rPr>
        <w:t xml:space="preserve">The EMERGENCY PANELIST may modify or terminate the interim relief if the EMERGENCY PANELIST deems it appropriate to do so </w:t>
      </w:r>
      <w:proofErr w:type="gramStart"/>
      <w:r w:rsidRPr="0058412B">
        <w:rPr>
          <w:rFonts w:ascii="Arial" w:hAnsi="Arial" w:cs="Arial"/>
          <w:sz w:val="20"/>
          <w:szCs w:val="20"/>
          <w:highlight w:val="yellow"/>
        </w:rPr>
        <w:t>in light of</w:t>
      </w:r>
      <w:proofErr w:type="gramEnd"/>
      <w:r w:rsidRPr="0058412B">
        <w:rPr>
          <w:rFonts w:ascii="Arial" w:hAnsi="Arial" w:cs="Arial"/>
          <w:sz w:val="20"/>
          <w:szCs w:val="20"/>
          <w:highlight w:val="yellow"/>
        </w:rPr>
        <w:t xml:space="preserve"> such further arguments.</w:t>
      </w:r>
    </w:p>
    <w:p w14:paraId="5BF18E1A" w14:textId="77777777" w:rsidR="00645F1D" w:rsidRDefault="00645F1D" w:rsidP="00F864E9">
      <w:pPr>
        <w:rPr>
          <w:rFonts w:ascii="Arial" w:hAnsi="Arial" w:cs="Arial"/>
          <w:sz w:val="20"/>
          <w:szCs w:val="20"/>
        </w:rPr>
      </w:pPr>
    </w:p>
    <w:p w14:paraId="6686D1DC" w14:textId="560247D3" w:rsidR="00645F1D" w:rsidRPr="00645F1D" w:rsidRDefault="00645F1D" w:rsidP="00F864E9">
      <w:pPr>
        <w:rPr>
          <w:rFonts w:ascii="Arial" w:hAnsi="Arial" w:cs="Arial"/>
          <w:b/>
          <w:bCs/>
          <w:sz w:val="20"/>
          <w:szCs w:val="20"/>
          <w:lang w:val="en-US"/>
        </w:rPr>
      </w:pPr>
      <w:r w:rsidRPr="00645F1D">
        <w:rPr>
          <w:rFonts w:ascii="Arial" w:hAnsi="Arial" w:cs="Arial"/>
          <w:b/>
          <w:bCs/>
          <w:sz w:val="20"/>
          <w:szCs w:val="20"/>
        </w:rPr>
        <w:t>ICDR Rule</w:t>
      </w:r>
      <w:r w:rsidR="00DF4413">
        <w:rPr>
          <w:rFonts w:ascii="Arial" w:hAnsi="Arial" w:cs="Arial"/>
          <w:b/>
          <w:bCs/>
          <w:sz w:val="20"/>
          <w:szCs w:val="20"/>
        </w:rPr>
        <w:t xml:space="preserve">s Article 7 </w:t>
      </w:r>
      <w:r w:rsidR="007A0CDF">
        <w:rPr>
          <w:rFonts w:ascii="Arial" w:hAnsi="Arial" w:cs="Arial"/>
          <w:b/>
          <w:bCs/>
          <w:sz w:val="20"/>
          <w:szCs w:val="20"/>
        </w:rPr>
        <w:t>Emergency Measures of Protection</w:t>
      </w:r>
    </w:p>
    <w:p w14:paraId="392169B0" w14:textId="77777777" w:rsidR="007557D7" w:rsidRPr="00F06FDF" w:rsidRDefault="00DF4413" w:rsidP="00186BED">
      <w:pPr>
        <w:rPr>
          <w:rFonts w:ascii="Arial" w:hAnsi="Arial" w:cs="Arial"/>
          <w:sz w:val="20"/>
          <w:szCs w:val="20"/>
        </w:rPr>
      </w:pPr>
      <w:r w:rsidRPr="00F06FDF">
        <w:rPr>
          <w:rFonts w:ascii="Arial" w:hAnsi="Arial" w:cs="Arial"/>
          <w:sz w:val="20"/>
          <w:szCs w:val="20"/>
        </w:rPr>
        <w:t xml:space="preserve">1. A party may apply for emergency relief before the constitution of the arbitral tribunal by submitting a written application to the Administrator and to all other parties setting forth: </w:t>
      </w:r>
    </w:p>
    <w:p w14:paraId="28E2BB7B" w14:textId="77777777" w:rsidR="007557D7" w:rsidRPr="00F06FDF" w:rsidRDefault="00DF4413" w:rsidP="00943AAC">
      <w:pPr>
        <w:spacing w:line="240" w:lineRule="auto"/>
        <w:ind w:left="720"/>
        <w:contextualSpacing/>
        <w:rPr>
          <w:rFonts w:ascii="Arial" w:hAnsi="Arial" w:cs="Arial"/>
          <w:sz w:val="20"/>
          <w:szCs w:val="20"/>
        </w:rPr>
      </w:pPr>
      <w:r w:rsidRPr="00F06FDF">
        <w:rPr>
          <w:rFonts w:ascii="Arial" w:hAnsi="Arial" w:cs="Arial"/>
          <w:sz w:val="20"/>
          <w:szCs w:val="20"/>
        </w:rPr>
        <w:t xml:space="preserve">a. the nature of the relief sought; </w:t>
      </w:r>
    </w:p>
    <w:p w14:paraId="1D02A433" w14:textId="77777777" w:rsidR="007557D7" w:rsidRPr="00F06FDF" w:rsidRDefault="00DF4413" w:rsidP="00943AAC">
      <w:pPr>
        <w:spacing w:line="240" w:lineRule="auto"/>
        <w:ind w:left="720"/>
        <w:contextualSpacing/>
        <w:rPr>
          <w:rFonts w:ascii="Arial" w:hAnsi="Arial" w:cs="Arial"/>
          <w:sz w:val="20"/>
          <w:szCs w:val="20"/>
        </w:rPr>
      </w:pPr>
      <w:r w:rsidRPr="00F06FDF">
        <w:rPr>
          <w:rFonts w:ascii="Arial" w:hAnsi="Arial" w:cs="Arial"/>
          <w:sz w:val="20"/>
          <w:szCs w:val="20"/>
        </w:rPr>
        <w:t xml:space="preserve">b. the reasons why such relief is required on an emergency basis before the tribunal is appointed; </w:t>
      </w:r>
    </w:p>
    <w:p w14:paraId="0EAD1CC3" w14:textId="77777777" w:rsidR="007557D7" w:rsidRPr="00F06FDF" w:rsidRDefault="00DF4413" w:rsidP="00943AAC">
      <w:pPr>
        <w:spacing w:line="240" w:lineRule="auto"/>
        <w:ind w:left="720"/>
        <w:contextualSpacing/>
        <w:rPr>
          <w:rFonts w:ascii="Arial" w:hAnsi="Arial" w:cs="Arial"/>
          <w:sz w:val="20"/>
          <w:szCs w:val="20"/>
        </w:rPr>
      </w:pPr>
      <w:r w:rsidRPr="00F06FDF">
        <w:rPr>
          <w:rFonts w:ascii="Arial" w:hAnsi="Arial" w:cs="Arial"/>
          <w:sz w:val="20"/>
          <w:szCs w:val="20"/>
        </w:rPr>
        <w:t xml:space="preserve">c. the reasons why the party is likely to be found to be entitled to such relief; and </w:t>
      </w:r>
    </w:p>
    <w:p w14:paraId="67F3041E" w14:textId="77777777" w:rsidR="007557D7" w:rsidRPr="00F06FDF" w:rsidRDefault="00DF4413" w:rsidP="00943AAC">
      <w:pPr>
        <w:spacing w:line="240" w:lineRule="auto"/>
        <w:ind w:left="720"/>
        <w:contextualSpacing/>
        <w:rPr>
          <w:rFonts w:ascii="Arial" w:hAnsi="Arial" w:cs="Arial"/>
          <w:sz w:val="20"/>
          <w:szCs w:val="20"/>
        </w:rPr>
      </w:pPr>
      <w:r w:rsidRPr="00F06FDF">
        <w:rPr>
          <w:rFonts w:ascii="Arial" w:hAnsi="Arial" w:cs="Arial"/>
          <w:sz w:val="20"/>
          <w:szCs w:val="20"/>
        </w:rPr>
        <w:t xml:space="preserve">d. what injury or prejudice the party will suffer if relief is not provided. </w:t>
      </w:r>
    </w:p>
    <w:p w14:paraId="0A6700E6" w14:textId="77777777" w:rsidR="00943AAC" w:rsidRPr="00F06FDF" w:rsidRDefault="00943AAC" w:rsidP="00186BED">
      <w:pPr>
        <w:rPr>
          <w:rFonts w:ascii="Arial" w:hAnsi="Arial" w:cs="Arial"/>
          <w:sz w:val="20"/>
          <w:szCs w:val="20"/>
        </w:rPr>
      </w:pPr>
    </w:p>
    <w:p w14:paraId="202B4823" w14:textId="77777777" w:rsidR="00661EEE" w:rsidRPr="00F06FDF" w:rsidRDefault="00DF4413" w:rsidP="00186BED">
      <w:pPr>
        <w:rPr>
          <w:rFonts w:ascii="Arial" w:hAnsi="Arial" w:cs="Arial"/>
          <w:sz w:val="20"/>
          <w:szCs w:val="20"/>
        </w:rPr>
      </w:pPr>
      <w:r w:rsidRPr="00F06FDF">
        <w:rPr>
          <w:rFonts w:ascii="Arial" w:hAnsi="Arial" w:cs="Arial"/>
          <w:sz w:val="20"/>
          <w:szCs w:val="20"/>
        </w:rPr>
        <w:t xml:space="preserve">The application shall be submitted concurrent with or following the submission of a Notice of Arbitration. Such application may be filed by email, or as otherwise permitted by Article 11, and must include payment of any applicable fees and a statement certifying that all parties have been notified or an explanation of the steps taken in good faith to notify all parties. </w:t>
      </w:r>
    </w:p>
    <w:p w14:paraId="0C5D30CC" w14:textId="77777777" w:rsidR="00661EEE" w:rsidRPr="00F06FDF" w:rsidRDefault="00DF4413" w:rsidP="00186BED">
      <w:pPr>
        <w:rPr>
          <w:rFonts w:ascii="Arial" w:hAnsi="Arial" w:cs="Arial"/>
          <w:sz w:val="20"/>
          <w:szCs w:val="20"/>
        </w:rPr>
      </w:pPr>
      <w:r w:rsidRPr="00F06FDF">
        <w:rPr>
          <w:rFonts w:ascii="Arial" w:hAnsi="Arial" w:cs="Arial"/>
          <w:sz w:val="20"/>
          <w:szCs w:val="20"/>
        </w:rPr>
        <w:lastRenderedPageBreak/>
        <w:t xml:space="preserve">2. Within one business day of receipt of the application for emergency relief as provided in Article 7(1), and upon being satisfied that the requirements of Article 7(1) have been met, the Administrator shall appoint a single emergency arbitrator. Upon accepting appointment, a prospective emergency arbitrator shall, in accordance with Article 14, disclose to the Administrator any circumstances that may give rise to justifiable doubts as to the arbitrator’s impartiality or independence. Any challenge to the appointment of the emergency arbitrator must be made within one business day of the communication by the Administrator to the parties of the appointment of the emergency arbitrator and the circumstances disclosed. </w:t>
      </w:r>
    </w:p>
    <w:p w14:paraId="3ACD6979" w14:textId="77777777" w:rsidR="00661EEE" w:rsidRPr="00F06FDF" w:rsidRDefault="00DF4413" w:rsidP="00186BED">
      <w:pPr>
        <w:rPr>
          <w:rFonts w:ascii="Arial" w:hAnsi="Arial" w:cs="Arial"/>
          <w:sz w:val="20"/>
          <w:szCs w:val="20"/>
        </w:rPr>
      </w:pPr>
      <w:r w:rsidRPr="00F06FDF">
        <w:rPr>
          <w:rFonts w:ascii="Arial" w:hAnsi="Arial" w:cs="Arial"/>
          <w:sz w:val="20"/>
          <w:szCs w:val="20"/>
        </w:rPr>
        <w:t xml:space="preserve">3. </w:t>
      </w:r>
      <w:r w:rsidRPr="00C11345">
        <w:rPr>
          <w:rFonts w:ascii="Arial" w:hAnsi="Arial" w:cs="Arial"/>
          <w:sz w:val="20"/>
          <w:szCs w:val="20"/>
          <w:highlight w:val="green"/>
        </w:rPr>
        <w:t>The emergency arbitrator shall as soon as possible, and in any event within two business days of appointment, establish a schedule for consideration of the application for emergency relief. Such schedule shall provide a reasonable opportunity to all parties to be heard and may provide for proceedings by telephone, video, written submissions, or other suitable means, as alternatives to an in-person hearing.</w:t>
      </w:r>
      <w:r w:rsidRPr="00F06FDF">
        <w:rPr>
          <w:rFonts w:ascii="Arial" w:hAnsi="Arial" w:cs="Arial"/>
          <w:sz w:val="20"/>
          <w:szCs w:val="20"/>
        </w:rPr>
        <w:t xml:space="preserve"> The emergency arbitrator shall have the authority vested in the arbitral tribunal under Article 21, including the authority to rule on the emergency arbitrator’s jurisdiction, and shall resolve any disputes over the applicability of this Article. </w:t>
      </w:r>
    </w:p>
    <w:p w14:paraId="33B52F3C" w14:textId="77777777" w:rsidR="00661EEE" w:rsidRPr="00F06FDF" w:rsidRDefault="00DF4413" w:rsidP="00186BED">
      <w:pPr>
        <w:rPr>
          <w:rFonts w:ascii="Arial" w:hAnsi="Arial" w:cs="Arial"/>
          <w:sz w:val="20"/>
          <w:szCs w:val="20"/>
        </w:rPr>
      </w:pPr>
      <w:r w:rsidRPr="00F06FDF">
        <w:rPr>
          <w:rFonts w:ascii="Arial" w:hAnsi="Arial" w:cs="Arial"/>
          <w:sz w:val="20"/>
          <w:szCs w:val="20"/>
        </w:rPr>
        <w:t xml:space="preserve">4. The emergency arbitrator shall have the power to order or award any interim or conservatory measures that the emergency arbitrator deems necessary, including injunctive relief and measures for the protection or conservation of property. Any such measures may take the form of an interim award or an order. The emergency arbitrator shall give reasons in either case. </w:t>
      </w:r>
      <w:r w:rsidRPr="00B34FBE">
        <w:rPr>
          <w:rFonts w:ascii="Arial" w:hAnsi="Arial" w:cs="Arial"/>
          <w:sz w:val="20"/>
          <w:szCs w:val="20"/>
          <w:highlight w:val="yellow"/>
        </w:rPr>
        <w:t>The emergency arbitrator may modify or vacate the interim award or order.</w:t>
      </w:r>
      <w:r w:rsidRPr="00F06FDF">
        <w:rPr>
          <w:rFonts w:ascii="Arial" w:hAnsi="Arial" w:cs="Arial"/>
          <w:sz w:val="20"/>
          <w:szCs w:val="20"/>
        </w:rPr>
        <w:t xml:space="preserve"> Any interim award or order shall have the same effect as an interim measure made pursuant to Article 27 and shall be binding on the parties when rendered. The parties shall undertake to comply with such an interim award or order without delay. </w:t>
      </w:r>
    </w:p>
    <w:p w14:paraId="1E71BB33" w14:textId="619EDCEA" w:rsidR="00661EEE" w:rsidRPr="00F06FDF" w:rsidRDefault="00DF4413" w:rsidP="00186BED">
      <w:pPr>
        <w:rPr>
          <w:rFonts w:ascii="Arial" w:hAnsi="Arial" w:cs="Arial"/>
          <w:sz w:val="20"/>
          <w:szCs w:val="20"/>
        </w:rPr>
      </w:pPr>
      <w:r w:rsidRPr="00F06FDF">
        <w:rPr>
          <w:rFonts w:ascii="Arial" w:hAnsi="Arial" w:cs="Arial"/>
          <w:sz w:val="20"/>
          <w:szCs w:val="20"/>
        </w:rPr>
        <w:t xml:space="preserve">5. The emergency arbitrator shall have no further power to act after the arbitral tribunal is constituted. </w:t>
      </w:r>
      <w:r w:rsidRPr="00B34FBE">
        <w:rPr>
          <w:rFonts w:ascii="Arial" w:hAnsi="Arial" w:cs="Arial"/>
          <w:sz w:val="20"/>
          <w:szCs w:val="20"/>
          <w:highlight w:val="yellow"/>
        </w:rPr>
        <w:t>Once the tribunal has been constituted, the tribunal may affirm, reconsider, modify, or vacate the interim award or order of emergency relief issued by the emergency arbitrator.</w:t>
      </w:r>
      <w:r w:rsidRPr="00F06FDF">
        <w:rPr>
          <w:rFonts w:ascii="Arial" w:hAnsi="Arial" w:cs="Arial"/>
          <w:sz w:val="20"/>
          <w:szCs w:val="20"/>
        </w:rPr>
        <w:t xml:space="preserve"> The emergency arbitrator may not serve as a member of the tribunal unless the parties agree otherwise. </w:t>
      </w:r>
    </w:p>
    <w:p w14:paraId="5B5CF1B4" w14:textId="77777777" w:rsidR="00661EEE" w:rsidRPr="00F06FDF" w:rsidRDefault="00DF4413" w:rsidP="00186BED">
      <w:pPr>
        <w:rPr>
          <w:rFonts w:ascii="Arial" w:hAnsi="Arial" w:cs="Arial"/>
          <w:sz w:val="20"/>
          <w:szCs w:val="20"/>
        </w:rPr>
      </w:pPr>
      <w:r w:rsidRPr="00F06FDF">
        <w:rPr>
          <w:rFonts w:ascii="Arial" w:hAnsi="Arial" w:cs="Arial"/>
          <w:sz w:val="20"/>
          <w:szCs w:val="20"/>
        </w:rPr>
        <w:t xml:space="preserve">6. Any interim award or order of emergency relief may be conditioned on provision of appropriate security by the party seeking such relief. </w:t>
      </w:r>
    </w:p>
    <w:p w14:paraId="0E2F61CB" w14:textId="77777777" w:rsidR="00661EEE" w:rsidRPr="00F06FDF" w:rsidRDefault="00DF4413" w:rsidP="00186BED">
      <w:pPr>
        <w:rPr>
          <w:rFonts w:ascii="Arial" w:hAnsi="Arial" w:cs="Arial"/>
          <w:sz w:val="20"/>
          <w:szCs w:val="20"/>
        </w:rPr>
      </w:pPr>
      <w:r w:rsidRPr="00F06FDF">
        <w:rPr>
          <w:rFonts w:ascii="Arial" w:hAnsi="Arial" w:cs="Arial"/>
          <w:sz w:val="20"/>
          <w:szCs w:val="20"/>
        </w:rPr>
        <w:t xml:space="preserve">7. A request for interim measures addressed by a party to a judicial authority shall not be deemed incompatible with this Article 7 or with the agreement to arbitrate or a waiver of the right to arbitrate. </w:t>
      </w:r>
    </w:p>
    <w:p w14:paraId="5AA937C9" w14:textId="4AC768F6" w:rsidR="004B6031" w:rsidRPr="00F06FDF" w:rsidRDefault="00DF4413" w:rsidP="00186BED">
      <w:pPr>
        <w:rPr>
          <w:rFonts w:ascii="Arial" w:hAnsi="Arial" w:cs="Arial"/>
          <w:sz w:val="20"/>
          <w:szCs w:val="20"/>
          <w:lang w:val="en-US"/>
        </w:rPr>
      </w:pPr>
      <w:r w:rsidRPr="00F06FDF">
        <w:rPr>
          <w:rFonts w:ascii="Arial" w:hAnsi="Arial" w:cs="Arial"/>
          <w:sz w:val="20"/>
          <w:szCs w:val="20"/>
        </w:rPr>
        <w:t>8. The costs associated with applications for emergency relief shall be addressed by the emergency arbitrator, subject to the power of the arbitral tribunal to determine finally the allocation of such costs</w:t>
      </w:r>
      <w:r w:rsidR="00661EEE" w:rsidRPr="00F06FDF">
        <w:rPr>
          <w:rFonts w:ascii="Arial" w:hAnsi="Arial" w:cs="Arial"/>
          <w:sz w:val="20"/>
          <w:szCs w:val="20"/>
        </w:rPr>
        <w:t>.</w:t>
      </w:r>
    </w:p>
    <w:p w14:paraId="3E7D5ADC" w14:textId="77777777" w:rsidR="00302961" w:rsidRPr="00186BED" w:rsidRDefault="00302961" w:rsidP="00186BED">
      <w:pPr>
        <w:rPr>
          <w:rFonts w:ascii="Arial" w:hAnsi="Arial" w:cs="Arial"/>
          <w:sz w:val="20"/>
          <w:szCs w:val="20"/>
          <w:lang w:val="en-US"/>
        </w:rPr>
      </w:pPr>
    </w:p>
    <w:sectPr w:rsidR="00302961" w:rsidRPr="00186B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8A93" w14:textId="77777777" w:rsidR="00D42594" w:rsidRDefault="00D42594" w:rsidP="00F76973">
      <w:pPr>
        <w:spacing w:after="0" w:line="240" w:lineRule="auto"/>
      </w:pPr>
      <w:r>
        <w:separator/>
      </w:r>
    </w:p>
  </w:endnote>
  <w:endnote w:type="continuationSeparator" w:id="0">
    <w:p w14:paraId="67C87CF4" w14:textId="77777777" w:rsidR="00D42594" w:rsidRDefault="00D42594" w:rsidP="00F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C150" w14:textId="77777777" w:rsidR="00D42594" w:rsidRDefault="00D42594" w:rsidP="00F76973">
      <w:pPr>
        <w:spacing w:after="0" w:line="240" w:lineRule="auto"/>
      </w:pPr>
      <w:r>
        <w:separator/>
      </w:r>
    </w:p>
  </w:footnote>
  <w:footnote w:type="continuationSeparator" w:id="0">
    <w:p w14:paraId="181FAA2D" w14:textId="77777777" w:rsidR="00D42594" w:rsidRDefault="00D42594" w:rsidP="00F76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DF0"/>
    <w:multiLevelType w:val="hybridMultilevel"/>
    <w:tmpl w:val="705A871C"/>
    <w:lvl w:ilvl="0" w:tplc="F19C7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128AF"/>
    <w:multiLevelType w:val="hybridMultilevel"/>
    <w:tmpl w:val="DE70F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82D56"/>
    <w:multiLevelType w:val="hybridMultilevel"/>
    <w:tmpl w:val="EDBCD1F6"/>
    <w:lvl w:ilvl="0" w:tplc="A124706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A7D14"/>
    <w:multiLevelType w:val="hybridMultilevel"/>
    <w:tmpl w:val="60D8A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AB780E"/>
    <w:multiLevelType w:val="hybridMultilevel"/>
    <w:tmpl w:val="5F3859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392B5CA3"/>
    <w:multiLevelType w:val="hybridMultilevel"/>
    <w:tmpl w:val="39282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A1D05"/>
    <w:multiLevelType w:val="hybridMultilevel"/>
    <w:tmpl w:val="C7B89620"/>
    <w:lvl w:ilvl="0" w:tplc="C33EA75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997774"/>
    <w:multiLevelType w:val="hybridMultilevel"/>
    <w:tmpl w:val="B56C6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78152F"/>
    <w:multiLevelType w:val="hybridMultilevel"/>
    <w:tmpl w:val="6456A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3EF5B85"/>
    <w:multiLevelType w:val="hybridMultilevel"/>
    <w:tmpl w:val="7FB6D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9E4574"/>
    <w:multiLevelType w:val="hybridMultilevel"/>
    <w:tmpl w:val="3DAEA092"/>
    <w:lvl w:ilvl="0" w:tplc="0809000F">
      <w:start w:val="1"/>
      <w:numFmt w:val="decimal"/>
      <w:lvlText w:val="%1."/>
      <w:lvlJc w:val="left"/>
      <w:pPr>
        <w:ind w:left="360" w:hanging="360"/>
      </w:pPr>
      <w:rPr>
        <w:rFonts w:hint="default"/>
        <w:b w:val="0"/>
        <w:bCs w:val="0"/>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C3339CE"/>
    <w:multiLevelType w:val="hybridMultilevel"/>
    <w:tmpl w:val="BFB86A8E"/>
    <w:lvl w:ilvl="0" w:tplc="05004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818E5"/>
    <w:multiLevelType w:val="hybridMultilevel"/>
    <w:tmpl w:val="3F76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0425A"/>
    <w:multiLevelType w:val="hybridMultilevel"/>
    <w:tmpl w:val="81E4A8CA"/>
    <w:lvl w:ilvl="0" w:tplc="F19C77E6">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51417895">
    <w:abstractNumId w:val="1"/>
  </w:num>
  <w:num w:numId="2" w16cid:durableId="863205798">
    <w:abstractNumId w:val="7"/>
  </w:num>
  <w:num w:numId="3" w16cid:durableId="1132670236">
    <w:abstractNumId w:val="10"/>
  </w:num>
  <w:num w:numId="4" w16cid:durableId="554051422">
    <w:abstractNumId w:val="10"/>
  </w:num>
  <w:num w:numId="5" w16cid:durableId="1979021351">
    <w:abstractNumId w:val="8"/>
  </w:num>
  <w:num w:numId="6" w16cid:durableId="1554854229">
    <w:abstractNumId w:val="2"/>
  </w:num>
  <w:num w:numId="7" w16cid:durableId="1267621501">
    <w:abstractNumId w:val="4"/>
  </w:num>
  <w:num w:numId="8" w16cid:durableId="358436726">
    <w:abstractNumId w:val="0"/>
  </w:num>
  <w:num w:numId="9" w16cid:durableId="1536037034">
    <w:abstractNumId w:val="13"/>
  </w:num>
  <w:num w:numId="10" w16cid:durableId="1523319045">
    <w:abstractNumId w:val="9"/>
  </w:num>
  <w:num w:numId="11" w16cid:durableId="54210373">
    <w:abstractNumId w:val="3"/>
  </w:num>
  <w:num w:numId="12" w16cid:durableId="722365171">
    <w:abstractNumId w:val="5"/>
  </w:num>
  <w:num w:numId="13" w16cid:durableId="394940775">
    <w:abstractNumId w:val="12"/>
  </w:num>
  <w:num w:numId="14" w16cid:durableId="676689108">
    <w:abstractNumId w:val="6"/>
  </w:num>
  <w:num w:numId="15" w16cid:durableId="1180389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60"/>
    <w:rsid w:val="00002C53"/>
    <w:rsid w:val="000110C2"/>
    <w:rsid w:val="00035C3F"/>
    <w:rsid w:val="00046AAA"/>
    <w:rsid w:val="0005034F"/>
    <w:rsid w:val="00060EF0"/>
    <w:rsid w:val="000B3D32"/>
    <w:rsid w:val="000D593A"/>
    <w:rsid w:val="00103A1D"/>
    <w:rsid w:val="00112990"/>
    <w:rsid w:val="00152120"/>
    <w:rsid w:val="00165D87"/>
    <w:rsid w:val="00166C3F"/>
    <w:rsid w:val="001727FF"/>
    <w:rsid w:val="0017349B"/>
    <w:rsid w:val="00186BED"/>
    <w:rsid w:val="00190232"/>
    <w:rsid w:val="001A520A"/>
    <w:rsid w:val="001E1EAF"/>
    <w:rsid w:val="001F4D3D"/>
    <w:rsid w:val="00206FB7"/>
    <w:rsid w:val="00210AC8"/>
    <w:rsid w:val="00231EEE"/>
    <w:rsid w:val="002323FA"/>
    <w:rsid w:val="00233D5E"/>
    <w:rsid w:val="002533B8"/>
    <w:rsid w:val="0027269B"/>
    <w:rsid w:val="002922D3"/>
    <w:rsid w:val="00293DBA"/>
    <w:rsid w:val="002A0610"/>
    <w:rsid w:val="002A7AB2"/>
    <w:rsid w:val="002B02CE"/>
    <w:rsid w:val="002F0694"/>
    <w:rsid w:val="00302961"/>
    <w:rsid w:val="003060C2"/>
    <w:rsid w:val="00311516"/>
    <w:rsid w:val="00334EB4"/>
    <w:rsid w:val="003377E7"/>
    <w:rsid w:val="00341566"/>
    <w:rsid w:val="0037331A"/>
    <w:rsid w:val="00380390"/>
    <w:rsid w:val="003A34D9"/>
    <w:rsid w:val="003D0A44"/>
    <w:rsid w:val="003E6075"/>
    <w:rsid w:val="00415A2D"/>
    <w:rsid w:val="0043082F"/>
    <w:rsid w:val="00430B1A"/>
    <w:rsid w:val="00474C86"/>
    <w:rsid w:val="004B6031"/>
    <w:rsid w:val="004D3D47"/>
    <w:rsid w:val="004E7CC2"/>
    <w:rsid w:val="004F3FC6"/>
    <w:rsid w:val="004F41C0"/>
    <w:rsid w:val="004F564A"/>
    <w:rsid w:val="005072CD"/>
    <w:rsid w:val="005100AF"/>
    <w:rsid w:val="005134AB"/>
    <w:rsid w:val="00542DFA"/>
    <w:rsid w:val="0058412B"/>
    <w:rsid w:val="00591517"/>
    <w:rsid w:val="005B0A8C"/>
    <w:rsid w:val="005C5B3A"/>
    <w:rsid w:val="00613ECF"/>
    <w:rsid w:val="0062721E"/>
    <w:rsid w:val="0063143C"/>
    <w:rsid w:val="00645F1D"/>
    <w:rsid w:val="00650F2A"/>
    <w:rsid w:val="00661EEE"/>
    <w:rsid w:val="006B49F2"/>
    <w:rsid w:val="006F516C"/>
    <w:rsid w:val="00701893"/>
    <w:rsid w:val="00716349"/>
    <w:rsid w:val="007430A7"/>
    <w:rsid w:val="007557D7"/>
    <w:rsid w:val="00764417"/>
    <w:rsid w:val="0077689C"/>
    <w:rsid w:val="007832A3"/>
    <w:rsid w:val="0079792A"/>
    <w:rsid w:val="007A0CDF"/>
    <w:rsid w:val="007A62A2"/>
    <w:rsid w:val="007B0DDF"/>
    <w:rsid w:val="007C6651"/>
    <w:rsid w:val="007D06F3"/>
    <w:rsid w:val="007F75A8"/>
    <w:rsid w:val="0081423E"/>
    <w:rsid w:val="008251E0"/>
    <w:rsid w:val="00825544"/>
    <w:rsid w:val="0083280D"/>
    <w:rsid w:val="00833043"/>
    <w:rsid w:val="008344A0"/>
    <w:rsid w:val="008445DC"/>
    <w:rsid w:val="008C0E1E"/>
    <w:rsid w:val="008C25C7"/>
    <w:rsid w:val="008E696D"/>
    <w:rsid w:val="008E6E4E"/>
    <w:rsid w:val="008F150E"/>
    <w:rsid w:val="008F22A0"/>
    <w:rsid w:val="008F6205"/>
    <w:rsid w:val="0090100D"/>
    <w:rsid w:val="00924693"/>
    <w:rsid w:val="009307D1"/>
    <w:rsid w:val="00943AAC"/>
    <w:rsid w:val="00953684"/>
    <w:rsid w:val="00954517"/>
    <w:rsid w:val="009552F9"/>
    <w:rsid w:val="0098791B"/>
    <w:rsid w:val="009D491D"/>
    <w:rsid w:val="009E2060"/>
    <w:rsid w:val="00A02C1F"/>
    <w:rsid w:val="00A10452"/>
    <w:rsid w:val="00A1146A"/>
    <w:rsid w:val="00A15CEE"/>
    <w:rsid w:val="00A24B92"/>
    <w:rsid w:val="00AA0FC0"/>
    <w:rsid w:val="00AB081A"/>
    <w:rsid w:val="00AC51BA"/>
    <w:rsid w:val="00AF1EE8"/>
    <w:rsid w:val="00AF3D04"/>
    <w:rsid w:val="00B051D2"/>
    <w:rsid w:val="00B136F8"/>
    <w:rsid w:val="00B333C7"/>
    <w:rsid w:val="00B34FBE"/>
    <w:rsid w:val="00B379A4"/>
    <w:rsid w:val="00B57F43"/>
    <w:rsid w:val="00B66AAC"/>
    <w:rsid w:val="00B73E39"/>
    <w:rsid w:val="00B75CF6"/>
    <w:rsid w:val="00BB3373"/>
    <w:rsid w:val="00BC67FF"/>
    <w:rsid w:val="00BC6FD5"/>
    <w:rsid w:val="00C0519E"/>
    <w:rsid w:val="00C11345"/>
    <w:rsid w:val="00C14B04"/>
    <w:rsid w:val="00C16246"/>
    <w:rsid w:val="00C27C8A"/>
    <w:rsid w:val="00C37C6F"/>
    <w:rsid w:val="00C66CC7"/>
    <w:rsid w:val="00C70AD9"/>
    <w:rsid w:val="00C73894"/>
    <w:rsid w:val="00C90C67"/>
    <w:rsid w:val="00CA1280"/>
    <w:rsid w:val="00CC0790"/>
    <w:rsid w:val="00CC3905"/>
    <w:rsid w:val="00D23FD0"/>
    <w:rsid w:val="00D36CF5"/>
    <w:rsid w:val="00D42594"/>
    <w:rsid w:val="00D45D57"/>
    <w:rsid w:val="00D51A16"/>
    <w:rsid w:val="00D53FD2"/>
    <w:rsid w:val="00D74CA7"/>
    <w:rsid w:val="00D81070"/>
    <w:rsid w:val="00D82292"/>
    <w:rsid w:val="00D95848"/>
    <w:rsid w:val="00DC469B"/>
    <w:rsid w:val="00DC7F8E"/>
    <w:rsid w:val="00DF4413"/>
    <w:rsid w:val="00DF4FE0"/>
    <w:rsid w:val="00E053F7"/>
    <w:rsid w:val="00E37ED8"/>
    <w:rsid w:val="00E90A76"/>
    <w:rsid w:val="00E93485"/>
    <w:rsid w:val="00EA4619"/>
    <w:rsid w:val="00EC41A2"/>
    <w:rsid w:val="00EE1B0C"/>
    <w:rsid w:val="00F03482"/>
    <w:rsid w:val="00F0372A"/>
    <w:rsid w:val="00F0459E"/>
    <w:rsid w:val="00F06FDF"/>
    <w:rsid w:val="00F247B6"/>
    <w:rsid w:val="00F26DE1"/>
    <w:rsid w:val="00F55CB9"/>
    <w:rsid w:val="00F76973"/>
    <w:rsid w:val="00F864E9"/>
    <w:rsid w:val="00FA27B8"/>
    <w:rsid w:val="00FB2DDC"/>
    <w:rsid w:val="00FB7B37"/>
    <w:rsid w:val="00FD6E96"/>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5ED8"/>
  <w15:chartTrackingRefBased/>
  <w15:docId w15:val="{DE0D359C-9819-443B-9BEE-B2E8E94A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Light" w:eastAsiaTheme="minorHAnsi" w:hAnsi="Poppins Light" w:cs="Poppins Light"/>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60"/>
    <w:pPr>
      <w:ind w:left="720"/>
      <w:contextualSpacing/>
    </w:pPr>
  </w:style>
  <w:style w:type="paragraph" w:styleId="NormalWeb">
    <w:name w:val="Normal (Web)"/>
    <w:basedOn w:val="Normal"/>
    <w:uiPriority w:val="99"/>
    <w:unhideWhenUsed/>
    <w:rsid w:val="00CC0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79A4"/>
    <w:rPr>
      <w:b/>
      <w:bCs/>
    </w:rPr>
  </w:style>
  <w:style w:type="paragraph" w:styleId="FootnoteText">
    <w:name w:val="footnote text"/>
    <w:basedOn w:val="Normal"/>
    <w:link w:val="FootnoteTextChar"/>
    <w:uiPriority w:val="99"/>
    <w:semiHidden/>
    <w:unhideWhenUsed/>
    <w:rsid w:val="00F76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973"/>
    <w:rPr>
      <w:sz w:val="20"/>
      <w:szCs w:val="20"/>
    </w:rPr>
  </w:style>
  <w:style w:type="character" w:styleId="FootnoteReference">
    <w:name w:val="footnote reference"/>
    <w:basedOn w:val="DefaultParagraphFont"/>
    <w:uiPriority w:val="99"/>
    <w:semiHidden/>
    <w:unhideWhenUsed/>
    <w:rsid w:val="00F76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8760">
      <w:bodyDiv w:val="1"/>
      <w:marLeft w:val="0"/>
      <w:marRight w:val="0"/>
      <w:marTop w:val="0"/>
      <w:marBottom w:val="0"/>
      <w:divBdr>
        <w:top w:val="none" w:sz="0" w:space="0" w:color="auto"/>
        <w:left w:val="none" w:sz="0" w:space="0" w:color="auto"/>
        <w:bottom w:val="none" w:sz="0" w:space="0" w:color="auto"/>
        <w:right w:val="none" w:sz="0" w:space="0" w:color="auto"/>
      </w:divBdr>
    </w:div>
    <w:div w:id="417361673">
      <w:bodyDiv w:val="1"/>
      <w:marLeft w:val="0"/>
      <w:marRight w:val="0"/>
      <w:marTop w:val="0"/>
      <w:marBottom w:val="0"/>
      <w:divBdr>
        <w:top w:val="none" w:sz="0" w:space="0" w:color="auto"/>
        <w:left w:val="none" w:sz="0" w:space="0" w:color="auto"/>
        <w:bottom w:val="none" w:sz="0" w:space="0" w:color="auto"/>
        <w:right w:val="none" w:sz="0" w:space="0" w:color="auto"/>
      </w:divBdr>
    </w:div>
    <w:div w:id="703405740">
      <w:bodyDiv w:val="1"/>
      <w:marLeft w:val="0"/>
      <w:marRight w:val="0"/>
      <w:marTop w:val="0"/>
      <w:marBottom w:val="0"/>
      <w:divBdr>
        <w:top w:val="none" w:sz="0" w:space="0" w:color="auto"/>
        <w:left w:val="none" w:sz="0" w:space="0" w:color="auto"/>
        <w:bottom w:val="none" w:sz="0" w:space="0" w:color="auto"/>
        <w:right w:val="none" w:sz="0" w:space="0" w:color="auto"/>
      </w:divBdr>
    </w:div>
    <w:div w:id="937297796">
      <w:bodyDiv w:val="1"/>
      <w:marLeft w:val="0"/>
      <w:marRight w:val="0"/>
      <w:marTop w:val="0"/>
      <w:marBottom w:val="0"/>
      <w:divBdr>
        <w:top w:val="none" w:sz="0" w:space="0" w:color="auto"/>
        <w:left w:val="none" w:sz="0" w:space="0" w:color="auto"/>
        <w:bottom w:val="none" w:sz="0" w:space="0" w:color="auto"/>
        <w:right w:val="none" w:sz="0" w:space="0" w:color="auto"/>
      </w:divBdr>
    </w:div>
    <w:div w:id="1205487092">
      <w:bodyDiv w:val="1"/>
      <w:marLeft w:val="0"/>
      <w:marRight w:val="0"/>
      <w:marTop w:val="0"/>
      <w:marBottom w:val="0"/>
      <w:divBdr>
        <w:top w:val="none" w:sz="0" w:space="0" w:color="auto"/>
        <w:left w:val="none" w:sz="0" w:space="0" w:color="auto"/>
        <w:bottom w:val="none" w:sz="0" w:space="0" w:color="auto"/>
        <w:right w:val="none" w:sz="0" w:space="0" w:color="auto"/>
      </w:divBdr>
      <w:divsChild>
        <w:div w:id="19679330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227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8" ma:contentTypeDescription="Create a new document." ma:contentTypeScope="" ma:versionID="8b681548961ba6ca262d2e99144c4113">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835d63143d4e874daf7452f64802e1dc"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Props1.xml><?xml version="1.0" encoding="utf-8"?>
<ds:datastoreItem xmlns:ds="http://schemas.openxmlformats.org/officeDocument/2006/customXml" ds:itemID="{32E1835F-DCD4-4DA7-A3F3-8D50B9531ADF}">
  <ds:schemaRefs>
    <ds:schemaRef ds:uri="http://schemas.openxmlformats.org/officeDocument/2006/bibliography"/>
  </ds:schemaRefs>
</ds:datastoreItem>
</file>

<file path=customXml/itemProps2.xml><?xml version="1.0" encoding="utf-8"?>
<ds:datastoreItem xmlns:ds="http://schemas.openxmlformats.org/officeDocument/2006/customXml" ds:itemID="{CB73E4D6-A024-4E5B-B5FF-12B4C4200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28653-C2EC-4467-A533-FBFE9ED1A6D9}">
  <ds:schemaRefs>
    <ds:schemaRef ds:uri="http://schemas.microsoft.com/sharepoint/v3/contenttype/forms"/>
  </ds:schemaRefs>
</ds:datastoreItem>
</file>

<file path=customXml/itemProps4.xml><?xml version="1.0" encoding="utf-8"?>
<ds:datastoreItem xmlns:ds="http://schemas.openxmlformats.org/officeDocument/2006/customXml" ds:itemID="{2E7053D5-EE7E-4B12-807B-D3CE4F4B0B62}">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18</cp:revision>
  <dcterms:created xsi:type="dcterms:W3CDTF">2024-04-15T19:40:00Z</dcterms:created>
  <dcterms:modified xsi:type="dcterms:W3CDTF">2024-04-15T19:55:00Z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y fmtid="{D5CDD505-2E9C-101B-9397-08002B2CF9AE}" pid="3" name="MediaServiceImageTags">
    <vt:lpwstr/>
  </property>
</Properties>
</file>