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31D01" w14:textId="77777777" w:rsidR="008A5814" w:rsidRDefault="00FE7321">
      <w:pPr>
        <w:pStyle w:val="Heading1No"/>
      </w:pPr>
      <w:bookmarkStart w:id="0" w:name="Page1"/>
      <w:r>
        <w:rPr>
          <w:rFonts w:eastAsia="Arial Unicode MS" w:cs="Arial Unicode MS"/>
        </w:rPr>
        <w:t>Open Proceeding Template</w:t>
      </w:r>
    </w:p>
    <w:bookmarkEnd w:id="0"/>
    <w:p w14:paraId="57AC74E5" w14:textId="77777777" w:rsidR="008A5814" w:rsidRDefault="008A5814">
      <w:pPr>
        <w:pStyle w:val="LeftParagraph"/>
      </w:pPr>
    </w:p>
    <w:p w14:paraId="0E0D649D" w14:textId="77777777" w:rsidR="008A5814" w:rsidRDefault="008A5814">
      <w:pPr>
        <w:pStyle w:val="LeftParagraph"/>
        <w:rPr>
          <w:b/>
          <w:bCs/>
        </w:rPr>
      </w:pPr>
    </w:p>
    <w:p w14:paraId="32D99255" w14:textId="77777777" w:rsidR="008A5814" w:rsidRDefault="00FE7321">
      <w:pPr>
        <w:pStyle w:val="LeftParagraph"/>
        <w:rPr>
          <w:b/>
          <w:bCs/>
        </w:rPr>
      </w:pPr>
      <w:r>
        <w:rPr>
          <w:rFonts w:eastAsia="Arial Unicode MS" w:cs="Arial Unicode MS"/>
          <w:b/>
          <w:bCs/>
        </w:rPr>
        <w:t>Title of Open Proceeding:</w:t>
      </w:r>
    </w:p>
    <w:p w14:paraId="5FCFA2AA" w14:textId="77777777" w:rsidR="008A5814" w:rsidRDefault="00FE7321">
      <w:pPr>
        <w:pStyle w:val="LeftParagraph"/>
      </w:pPr>
      <w:r>
        <w:rPr>
          <w:rFonts w:eastAsia="Arial Unicode MS" w:cs="Arial Unicode MS"/>
          <w:kern w:val="36"/>
        </w:rPr>
        <w:t xml:space="preserve">Provide a succinct, easy to understand, descriptive title for your open proceeding. </w:t>
      </w:r>
      <w:r>
        <w:rPr>
          <w:rFonts w:eastAsia="Arial Unicode MS" w:cs="Arial Unicode MS"/>
          <w:b/>
          <w:bCs/>
        </w:rPr>
        <w:t>Maximum of 80 characters including spaces.</w:t>
      </w:r>
      <w:r>
        <w:rPr>
          <w:rFonts w:eastAsia="Arial Unicode MS" w:cs="Arial Unicode MS"/>
        </w:rPr>
        <w:t xml:space="preserve"> </w:t>
      </w:r>
    </w:p>
    <w:p w14:paraId="3BA04127" w14:textId="77777777" w:rsidR="008A5814" w:rsidRDefault="008A5814">
      <w:pPr>
        <w:pStyle w:val="LeftParagraph"/>
      </w:pPr>
    </w:p>
    <w:p w14:paraId="0DF05681" w14:textId="77777777" w:rsidR="008A5814" w:rsidRDefault="008A5814">
      <w:pPr>
        <w:pStyle w:val="LeftParagraph"/>
        <w:rPr>
          <w:b/>
          <w:bCs/>
        </w:rPr>
      </w:pPr>
    </w:p>
    <w:p w14:paraId="58334477" w14:textId="5703545C" w:rsidR="008A5814" w:rsidRDefault="00FE7321">
      <w:pPr>
        <w:pStyle w:val="LeftParagraph"/>
        <w:ind w:left="720"/>
        <w:rPr>
          <w:b/>
          <w:bCs/>
        </w:rPr>
      </w:pPr>
      <w:r>
        <w:rPr>
          <w:b/>
          <w:bCs/>
          <w:shd w:val="clear" w:color="auto" w:fill="FFFF00"/>
        </w:rPr>
        <w:t xml:space="preserve">IRP-IOT </w:t>
      </w:r>
      <w:r w:rsidR="007C4DB9">
        <w:rPr>
          <w:b/>
          <w:bCs/>
          <w:shd w:val="clear" w:color="auto" w:fill="FFFF00"/>
        </w:rPr>
        <w:t>–</w:t>
      </w:r>
      <w:r>
        <w:rPr>
          <w:b/>
          <w:bCs/>
          <w:shd w:val="clear" w:color="auto" w:fill="FFFF00"/>
        </w:rPr>
        <w:t xml:space="preserve"> </w:t>
      </w:r>
      <w:r w:rsidR="007C4DB9">
        <w:rPr>
          <w:b/>
          <w:bCs/>
          <w:shd w:val="clear" w:color="auto" w:fill="FFFF00"/>
        </w:rPr>
        <w:t>Proposed u</w:t>
      </w:r>
      <w:r>
        <w:rPr>
          <w:b/>
          <w:bCs/>
          <w:shd w:val="clear" w:color="auto" w:fill="FFFF00"/>
        </w:rPr>
        <w:t>pdate</w:t>
      </w:r>
      <w:r w:rsidR="007C4DB9">
        <w:rPr>
          <w:b/>
          <w:bCs/>
          <w:shd w:val="clear" w:color="auto" w:fill="FFFF00"/>
        </w:rPr>
        <w:t>s</w:t>
      </w:r>
      <w:r>
        <w:rPr>
          <w:b/>
          <w:bCs/>
          <w:shd w:val="clear" w:color="auto" w:fill="FFFF00"/>
        </w:rPr>
        <w:t xml:space="preserve"> </w:t>
      </w:r>
      <w:r w:rsidR="007C4DB9">
        <w:rPr>
          <w:b/>
          <w:bCs/>
          <w:shd w:val="clear" w:color="auto" w:fill="FFFF00"/>
        </w:rPr>
        <w:t xml:space="preserve">to the </w:t>
      </w:r>
      <w:r>
        <w:rPr>
          <w:b/>
          <w:bCs/>
          <w:shd w:val="clear" w:color="auto" w:fill="FFFF00"/>
        </w:rPr>
        <w:t>IRP Supplementary Procedures</w:t>
      </w:r>
      <w:r>
        <w:rPr>
          <w:b/>
          <w:bCs/>
        </w:rPr>
        <w:t>.</w:t>
      </w:r>
    </w:p>
    <w:p w14:paraId="41D66C83" w14:textId="77777777" w:rsidR="008A5814" w:rsidRDefault="008A5814">
      <w:pPr>
        <w:pStyle w:val="LeftParagraph"/>
        <w:ind w:left="720"/>
        <w:rPr>
          <w:b/>
          <w:bCs/>
        </w:rPr>
      </w:pPr>
    </w:p>
    <w:p w14:paraId="3C28B480" w14:textId="77777777" w:rsidR="008A5814" w:rsidRDefault="008A5814">
      <w:pPr>
        <w:pStyle w:val="LeftParagraph"/>
      </w:pPr>
    </w:p>
    <w:p w14:paraId="00A16EE4" w14:textId="77777777" w:rsidR="008A5814" w:rsidRDefault="00FE7321">
      <w:pPr>
        <w:pStyle w:val="LeftParagraph"/>
        <w:rPr>
          <w:b/>
          <w:bCs/>
        </w:rPr>
      </w:pPr>
      <w:r>
        <w:rPr>
          <w:rFonts w:eastAsia="Arial Unicode MS" w:cs="Arial Unicode MS"/>
          <w:b/>
          <w:bCs/>
        </w:rPr>
        <w:t>Description:</w:t>
      </w:r>
    </w:p>
    <w:p w14:paraId="4C27D2E1" w14:textId="77777777" w:rsidR="008A5814" w:rsidRDefault="00FE7321">
      <w:pPr>
        <w:pStyle w:val="LeftParagraph"/>
      </w:pPr>
      <w:r>
        <w:rPr>
          <w:rFonts w:eastAsia="Arial Unicode MS" w:cs="Arial Unicode MS"/>
        </w:rPr>
        <w:t xml:space="preserve">Write a brief overview of the open proceeding. This description is displayed on the Public Comment homepage. </w:t>
      </w:r>
      <w:r>
        <w:rPr>
          <w:rFonts w:eastAsia="Arial Unicode MS" w:cs="Arial Unicode MS"/>
          <w:b/>
          <w:bCs/>
        </w:rPr>
        <w:t>Maximum of 450 characters including spaces.</w:t>
      </w:r>
    </w:p>
    <w:p w14:paraId="2ED1E878" w14:textId="77777777" w:rsidR="008A5814" w:rsidRDefault="008A5814">
      <w:pPr>
        <w:pStyle w:val="LeftParagraph"/>
      </w:pPr>
    </w:p>
    <w:p w14:paraId="45D003A8" w14:textId="77777777" w:rsidR="008A5814" w:rsidRPr="007C4DB9" w:rsidRDefault="00FE7321">
      <w:pPr>
        <w:pStyle w:val="LeftParagraph"/>
        <w:ind w:left="720"/>
        <w:rPr>
          <w:highlight w:val="yellow"/>
          <w:shd w:val="clear" w:color="auto" w:fill="FFFF00"/>
        </w:rPr>
      </w:pPr>
      <w:bookmarkStart w:id="1" w:name="_Hlk144378217"/>
      <w:r w:rsidRPr="007C4DB9">
        <w:rPr>
          <w:highlight w:val="yellow"/>
          <w:shd w:val="clear" w:color="auto" w:fill="FFFF00"/>
        </w:rPr>
        <w:t>The Independent Review Process (IRP) provides</w:t>
      </w:r>
      <w:r w:rsidRPr="007C4DB9">
        <w:rPr>
          <w:rFonts w:ascii="Helvetica" w:hAnsi="Helvetica"/>
          <w:color w:val="333333"/>
          <w:highlight w:val="yellow"/>
          <w:u w:color="333333"/>
          <w:shd w:val="clear" w:color="auto" w:fill="FFFFFF"/>
        </w:rPr>
        <w:t xml:space="preserve"> for third-party review of Board or Staff actions (or inactions) alleged to be inconsistent with </w:t>
      </w:r>
      <w:r w:rsidRPr="007C4DB9">
        <w:rPr>
          <w:highlight w:val="yellow"/>
          <w:shd w:val="clear" w:color="auto" w:fill="FFFF00"/>
        </w:rPr>
        <w:t>ICANN</w:t>
      </w:r>
      <w:r w:rsidRPr="007C4DB9">
        <w:rPr>
          <w:rFonts w:ascii="Helvetica" w:hAnsi="Helvetica"/>
          <w:color w:val="333333"/>
          <w:highlight w:val="yellow"/>
          <w:u w:color="333333"/>
          <w:shd w:val="clear" w:color="auto" w:fill="FFFFFF"/>
        </w:rPr>
        <w:t xml:space="preserve">'s Articles or Bylaws. </w:t>
      </w:r>
      <w:r w:rsidRPr="007C4DB9">
        <w:rPr>
          <w:highlight w:val="yellow"/>
          <w:shd w:val="clear" w:color="auto" w:fill="FFFF00"/>
        </w:rPr>
        <w:t xml:space="preserve">The </w:t>
      </w:r>
      <w:bookmarkEnd w:id="1"/>
      <w:r w:rsidRPr="007C4DB9">
        <w:rPr>
          <w:highlight w:val="yellow"/>
          <w:shd w:val="clear" w:color="auto" w:fill="FFFF00"/>
        </w:rPr>
        <w:t>IRP Implementation Oversight Team (IRP-IOT) seeks input on its proposed updates to the following IRP Supplementary Procedures:</w:t>
      </w:r>
    </w:p>
    <w:p w14:paraId="596C906E" w14:textId="77777777" w:rsidR="00C334BB" w:rsidRPr="007C4DB9" w:rsidRDefault="00C334BB" w:rsidP="00C334BB">
      <w:pPr>
        <w:pStyle w:val="NormalWeb"/>
        <w:numPr>
          <w:ilvl w:val="0"/>
          <w:numId w:val="14"/>
        </w:numPr>
        <w:spacing w:before="0" w:beforeAutospacing="0" w:after="0" w:afterAutospacing="0"/>
        <w:textAlignment w:val="baseline"/>
        <w:rPr>
          <w:rFonts w:ascii="Arial" w:hAnsi="Arial" w:cs="Arial"/>
          <w:color w:val="000000"/>
          <w:highlight w:val="yellow"/>
        </w:rPr>
      </w:pPr>
      <w:r w:rsidRPr="007C4DB9">
        <w:rPr>
          <w:rFonts w:ascii="Calibri" w:hAnsi="Calibri" w:cs="Calibri"/>
          <w:color w:val="000000"/>
          <w:highlight w:val="yellow"/>
        </w:rPr>
        <w:t>Rule 3 - Panel selection</w:t>
      </w:r>
    </w:p>
    <w:p w14:paraId="34EDB131" w14:textId="77777777" w:rsidR="00C334BB" w:rsidRPr="007C4DB9" w:rsidRDefault="00C334BB" w:rsidP="00C334BB">
      <w:pPr>
        <w:pStyle w:val="NormalWeb"/>
        <w:numPr>
          <w:ilvl w:val="0"/>
          <w:numId w:val="14"/>
        </w:numPr>
        <w:spacing w:before="0" w:beforeAutospacing="0" w:after="0" w:afterAutospacing="0"/>
        <w:textAlignment w:val="baseline"/>
        <w:rPr>
          <w:rFonts w:ascii="Arial" w:hAnsi="Arial" w:cs="Arial"/>
          <w:color w:val="000000"/>
          <w:highlight w:val="yellow"/>
        </w:rPr>
      </w:pPr>
      <w:r w:rsidRPr="007C4DB9">
        <w:rPr>
          <w:rFonts w:ascii="Calibri" w:hAnsi="Calibri" w:cs="Calibri"/>
          <w:color w:val="000000"/>
          <w:highlight w:val="yellow"/>
        </w:rPr>
        <w:t>Rule 4 - Time for Filing, including:</w:t>
      </w:r>
    </w:p>
    <w:p w14:paraId="1DB3677D" w14:textId="77777777" w:rsidR="00C334BB" w:rsidRPr="007C4DB9" w:rsidRDefault="00C334BB" w:rsidP="00C334BB">
      <w:pPr>
        <w:pStyle w:val="NormalWeb"/>
        <w:numPr>
          <w:ilvl w:val="1"/>
          <w:numId w:val="15"/>
        </w:numPr>
        <w:spacing w:before="0" w:beforeAutospacing="0" w:after="0" w:afterAutospacing="0"/>
        <w:ind w:left="1069"/>
        <w:textAlignment w:val="baseline"/>
        <w:rPr>
          <w:rFonts w:ascii="Courier New" w:hAnsi="Courier New" w:cs="Courier New"/>
          <w:color w:val="000000"/>
          <w:highlight w:val="yellow"/>
        </w:rPr>
      </w:pPr>
      <w:r w:rsidRPr="007C4DB9">
        <w:rPr>
          <w:rFonts w:ascii="Calibri" w:hAnsi="Calibri" w:cs="Calibri"/>
          <w:color w:val="000000"/>
          <w:highlight w:val="yellow"/>
        </w:rPr>
        <w:t>4A – Initiation of an IRP</w:t>
      </w:r>
    </w:p>
    <w:p w14:paraId="0695F337" w14:textId="77777777" w:rsidR="00C334BB" w:rsidRPr="007C4DB9" w:rsidRDefault="00C334BB" w:rsidP="00C334BB">
      <w:pPr>
        <w:pStyle w:val="NormalWeb"/>
        <w:numPr>
          <w:ilvl w:val="1"/>
          <w:numId w:val="16"/>
        </w:numPr>
        <w:spacing w:before="0" w:beforeAutospacing="0" w:after="0" w:afterAutospacing="0"/>
        <w:ind w:left="1069"/>
        <w:textAlignment w:val="baseline"/>
        <w:rPr>
          <w:rFonts w:ascii="Courier New" w:hAnsi="Courier New" w:cs="Courier New"/>
          <w:color w:val="000000"/>
          <w:highlight w:val="yellow"/>
        </w:rPr>
      </w:pPr>
      <w:r w:rsidRPr="007C4DB9">
        <w:rPr>
          <w:rFonts w:ascii="Calibri" w:hAnsi="Calibri" w:cs="Calibri"/>
          <w:color w:val="000000"/>
          <w:highlight w:val="yellow"/>
        </w:rPr>
        <w:t>4B – Time to File</w:t>
      </w:r>
    </w:p>
    <w:p w14:paraId="41A03F6D" w14:textId="77777777" w:rsidR="00C334BB" w:rsidRPr="007C4DB9" w:rsidRDefault="00C334BB" w:rsidP="00C334BB">
      <w:pPr>
        <w:pStyle w:val="NormalWeb"/>
        <w:numPr>
          <w:ilvl w:val="1"/>
          <w:numId w:val="17"/>
        </w:numPr>
        <w:spacing w:before="0" w:beforeAutospacing="0" w:after="0" w:afterAutospacing="0"/>
        <w:ind w:left="1069"/>
        <w:textAlignment w:val="baseline"/>
        <w:rPr>
          <w:rFonts w:ascii="Courier New" w:hAnsi="Courier New" w:cs="Courier New"/>
          <w:color w:val="000000"/>
          <w:highlight w:val="yellow"/>
        </w:rPr>
      </w:pPr>
      <w:r w:rsidRPr="007C4DB9">
        <w:rPr>
          <w:rFonts w:ascii="Calibri" w:hAnsi="Calibri" w:cs="Calibri"/>
          <w:color w:val="000000"/>
          <w:highlight w:val="yellow"/>
        </w:rPr>
        <w:t>4C - Timing considerations for a Claimant to File an IRP following a Request for Reconsideration (RFR)</w:t>
      </w:r>
    </w:p>
    <w:p w14:paraId="3BAE0626" w14:textId="77777777" w:rsidR="00C334BB" w:rsidRPr="007C4DB9" w:rsidRDefault="00C334BB" w:rsidP="00C334BB">
      <w:pPr>
        <w:pStyle w:val="NormalWeb"/>
        <w:numPr>
          <w:ilvl w:val="1"/>
          <w:numId w:val="18"/>
        </w:numPr>
        <w:spacing w:before="0" w:beforeAutospacing="0" w:after="0" w:afterAutospacing="0"/>
        <w:ind w:left="1069"/>
        <w:textAlignment w:val="baseline"/>
        <w:rPr>
          <w:rFonts w:ascii="Courier New" w:hAnsi="Courier New" w:cs="Courier New"/>
          <w:color w:val="000000"/>
          <w:highlight w:val="yellow"/>
        </w:rPr>
      </w:pPr>
      <w:r w:rsidRPr="007C4DB9">
        <w:rPr>
          <w:rFonts w:ascii="Calibri" w:hAnsi="Calibri" w:cs="Calibri"/>
          <w:color w:val="000000"/>
          <w:highlight w:val="yellow"/>
        </w:rPr>
        <w:t>4D - Limited Circumstances for Requesting Permission to File After the 24 month limit</w:t>
      </w:r>
    </w:p>
    <w:p w14:paraId="1E2EB992" w14:textId="77777777" w:rsidR="00C334BB" w:rsidRPr="007C4DB9" w:rsidRDefault="00C334BB" w:rsidP="00C334BB">
      <w:pPr>
        <w:pStyle w:val="NormalWeb"/>
        <w:numPr>
          <w:ilvl w:val="0"/>
          <w:numId w:val="14"/>
        </w:numPr>
        <w:spacing w:before="0" w:beforeAutospacing="0" w:after="0" w:afterAutospacing="0"/>
        <w:textAlignment w:val="baseline"/>
        <w:rPr>
          <w:rFonts w:ascii="Arial" w:hAnsi="Arial" w:cs="Arial"/>
          <w:color w:val="000000"/>
          <w:highlight w:val="yellow"/>
        </w:rPr>
      </w:pPr>
      <w:r w:rsidRPr="007C4DB9">
        <w:rPr>
          <w:rFonts w:ascii="Calibri" w:hAnsi="Calibri" w:cs="Calibri"/>
          <w:color w:val="000000"/>
          <w:highlight w:val="yellow"/>
        </w:rPr>
        <w:t>Rule 5B - Translation</w:t>
      </w:r>
    </w:p>
    <w:p w14:paraId="0191E0BF" w14:textId="77777777" w:rsidR="00C334BB" w:rsidRPr="007C4DB9" w:rsidRDefault="00C334BB" w:rsidP="00C334BB">
      <w:pPr>
        <w:pStyle w:val="NormalWeb"/>
        <w:numPr>
          <w:ilvl w:val="0"/>
          <w:numId w:val="14"/>
        </w:numPr>
        <w:spacing w:before="0" w:beforeAutospacing="0" w:after="0" w:afterAutospacing="0"/>
        <w:textAlignment w:val="baseline"/>
        <w:rPr>
          <w:rFonts w:ascii="Arial" w:hAnsi="Arial" w:cs="Arial"/>
          <w:color w:val="000000"/>
          <w:highlight w:val="yellow"/>
        </w:rPr>
      </w:pPr>
      <w:r w:rsidRPr="007C4DB9">
        <w:rPr>
          <w:rFonts w:ascii="Calibri" w:hAnsi="Calibri" w:cs="Calibri"/>
          <w:color w:val="000000"/>
          <w:highlight w:val="yellow"/>
        </w:rPr>
        <w:t>Rule 7 - Consolidation, Intervention and Participation as an Amicus</w:t>
      </w:r>
    </w:p>
    <w:p w14:paraId="6FD8E2F3" w14:textId="77777777" w:rsidR="008A5814" w:rsidRDefault="008A5814">
      <w:pPr>
        <w:pStyle w:val="LeftParagraph"/>
        <w:ind w:left="1440"/>
        <w:rPr>
          <w:shd w:val="clear" w:color="auto" w:fill="00FF00"/>
        </w:rPr>
      </w:pPr>
    </w:p>
    <w:p w14:paraId="6E877AF6" w14:textId="77777777" w:rsidR="008A5814" w:rsidRDefault="00FE7321">
      <w:pPr>
        <w:pStyle w:val="LeftParagraph"/>
        <w:ind w:left="1440"/>
      </w:pPr>
      <w:r>
        <w:rPr>
          <w:shd w:val="clear" w:color="auto" w:fill="00FF00"/>
        </w:rPr>
        <w:t xml:space="preserve">450 char </w:t>
      </w:r>
    </w:p>
    <w:p w14:paraId="5E8524C7" w14:textId="77777777" w:rsidR="008A5814" w:rsidRDefault="008A5814">
      <w:pPr>
        <w:pStyle w:val="LeftParagraph"/>
      </w:pPr>
    </w:p>
    <w:p w14:paraId="34E0D869" w14:textId="77777777" w:rsidR="008A5814" w:rsidRDefault="00FE7321">
      <w:pPr>
        <w:pStyle w:val="LeftParagraph"/>
        <w:rPr>
          <w:b/>
          <w:bCs/>
        </w:rPr>
      </w:pPr>
      <w:r>
        <w:rPr>
          <w:rFonts w:eastAsia="Arial Unicode MS" w:cs="Arial Unicode MS"/>
          <w:b/>
          <w:bCs/>
        </w:rPr>
        <w:t>Metadata Description:</w:t>
      </w:r>
      <w:r>
        <w:rPr>
          <w:rFonts w:eastAsia="Arial Unicode MS" w:cs="Arial Unicode MS"/>
        </w:rPr>
        <w:t xml:space="preserve"> </w:t>
      </w:r>
    </w:p>
    <w:p w14:paraId="30DB0020" w14:textId="77777777" w:rsidR="008A5814" w:rsidRDefault="00FE7321">
      <w:pPr>
        <w:pStyle w:val="LeftParagraph"/>
      </w:pPr>
      <w:r>
        <w:rPr>
          <w:rFonts w:eastAsia="Arial Unicode MS" w:cs="Arial Unicode MS"/>
        </w:rPr>
        <w:t xml:space="preserve">A metadata description is a one or two sentence summary of your open proceeding content. Web pages containing metadata descriptions rank higher in search results. Write the metadata description using the active voice, with simple and compelling language, and keywords from your open proceeding. </w:t>
      </w:r>
      <w:r>
        <w:rPr>
          <w:rFonts w:eastAsia="Arial Unicode MS" w:cs="Arial Unicode MS"/>
          <w:b/>
          <w:bCs/>
        </w:rPr>
        <w:t>Maximum of 155 characters including spaces.</w:t>
      </w:r>
    </w:p>
    <w:p w14:paraId="5CA08624" w14:textId="77777777" w:rsidR="008A5814" w:rsidRDefault="008A5814">
      <w:pPr>
        <w:pStyle w:val="LeftParagraph"/>
        <w:rPr>
          <w:b/>
          <w:bCs/>
        </w:rPr>
      </w:pPr>
    </w:p>
    <w:p w14:paraId="15470DF7" w14:textId="77777777" w:rsidR="008A5814" w:rsidRDefault="008A5814">
      <w:pPr>
        <w:pStyle w:val="LeftParagraph"/>
        <w:rPr>
          <w:b/>
          <w:bCs/>
        </w:rPr>
      </w:pPr>
    </w:p>
    <w:p w14:paraId="61EF6C02" w14:textId="03CF0189" w:rsidR="008A5814" w:rsidRDefault="00FE7321">
      <w:pPr>
        <w:pStyle w:val="LeftParagraph"/>
        <w:ind w:left="720"/>
      </w:pPr>
      <w:r>
        <w:rPr>
          <w:shd w:val="clear" w:color="auto" w:fill="FFFF00"/>
        </w:rPr>
        <w:t>The IRP-IOT seeks input on the IRP rules regarding Initiation, Panel selection, Time for Filing, Translation, Consolidation, Intervention and Amicus.</w:t>
      </w:r>
    </w:p>
    <w:p w14:paraId="390F7A2B" w14:textId="77777777" w:rsidR="008A5814" w:rsidRDefault="008A5814">
      <w:pPr>
        <w:pStyle w:val="LeftParagraph"/>
        <w:rPr>
          <w:b/>
          <w:bCs/>
        </w:rPr>
      </w:pPr>
    </w:p>
    <w:p w14:paraId="21CE9D9D" w14:textId="77777777" w:rsidR="008A5814" w:rsidRDefault="00FE7321">
      <w:pPr>
        <w:pStyle w:val="LeftParagraph"/>
      </w:pPr>
      <w:r>
        <w:rPr>
          <w:b/>
          <w:bCs/>
        </w:rPr>
        <w:tab/>
      </w:r>
      <w:r>
        <w:rPr>
          <w:rFonts w:eastAsia="Arial Unicode MS" w:cs="Arial Unicode MS"/>
          <w:shd w:val="clear" w:color="auto" w:fill="00FF00"/>
        </w:rPr>
        <w:t>150 char</w:t>
      </w:r>
    </w:p>
    <w:p w14:paraId="0E814949" w14:textId="77777777" w:rsidR="008A5814" w:rsidRDefault="008A5814">
      <w:pPr>
        <w:pStyle w:val="LeftParagraph"/>
      </w:pPr>
    </w:p>
    <w:p w14:paraId="10E5204F" w14:textId="77777777" w:rsidR="008A5814" w:rsidRDefault="00FE7321">
      <w:pPr>
        <w:pStyle w:val="LeftParagraph"/>
        <w:rPr>
          <w:b/>
          <w:bCs/>
        </w:rPr>
      </w:pPr>
      <w:r>
        <w:rPr>
          <w:rFonts w:eastAsia="Arial Unicode MS" w:cs="Arial Unicode MS"/>
          <w:b/>
          <w:bCs/>
        </w:rPr>
        <w:t>Open for Submissions Date:</w:t>
      </w:r>
    </w:p>
    <w:p w14:paraId="41151F50" w14:textId="77777777" w:rsidR="008A5814" w:rsidRDefault="00FE7321">
      <w:pPr>
        <w:pStyle w:val="LeftParagraph"/>
        <w:rPr>
          <w:kern w:val="36"/>
        </w:rPr>
      </w:pPr>
      <w:r>
        <w:rPr>
          <w:rFonts w:eastAsia="Arial Unicode MS" w:cs="Arial Unicode MS"/>
          <w:kern w:val="36"/>
        </w:rPr>
        <w:t>When selecting submission open dates, consider official ICANN holidays and avoid Fridays.</w:t>
      </w:r>
    </w:p>
    <w:p w14:paraId="625F04C5" w14:textId="77777777" w:rsidR="008A5814" w:rsidRDefault="008A5814">
      <w:pPr>
        <w:pStyle w:val="LeftParagraph"/>
        <w:rPr>
          <w:b/>
          <w:bCs/>
        </w:rPr>
      </w:pPr>
    </w:p>
    <w:p w14:paraId="7246E90F" w14:textId="2D7F32DD" w:rsidR="008A5814" w:rsidRDefault="00FE7321">
      <w:pPr>
        <w:pStyle w:val="LeftParagraph"/>
      </w:pPr>
      <w:r>
        <w:rPr>
          <w:b/>
          <w:bCs/>
        </w:rPr>
        <w:tab/>
      </w:r>
      <w:r w:rsidRPr="007C4DB9">
        <w:rPr>
          <w:rFonts w:eastAsia="Arial Unicode MS" w:cs="Arial Unicode MS"/>
          <w:highlight w:val="yellow"/>
          <w:shd w:val="clear" w:color="auto" w:fill="FFFF00"/>
        </w:rPr>
        <w:t>Earliest possible</w:t>
      </w:r>
      <w:r w:rsidRPr="007C4DB9">
        <w:rPr>
          <w:rFonts w:eastAsia="Arial Unicode MS" w:cs="Arial Unicode MS"/>
          <w:highlight w:val="yellow"/>
        </w:rPr>
        <w:t xml:space="preserve"> </w:t>
      </w:r>
      <w:r w:rsidR="007C4DB9" w:rsidRPr="007C4DB9">
        <w:rPr>
          <w:rFonts w:eastAsia="Arial Unicode MS" w:cs="Arial Unicode MS"/>
          <w:highlight w:val="yellow"/>
        </w:rPr>
        <w:t>after</w:t>
      </w:r>
      <w:r w:rsidRPr="007C4DB9">
        <w:rPr>
          <w:rFonts w:eastAsia="Arial Unicode MS" w:cs="Arial Unicode MS"/>
          <w:highlight w:val="yellow"/>
        </w:rPr>
        <w:t xml:space="preserve"> the ICANN </w:t>
      </w:r>
      <w:r w:rsidR="007C4DB9" w:rsidRPr="007C4DB9">
        <w:rPr>
          <w:rFonts w:eastAsia="Arial Unicode MS" w:cs="Arial Unicode MS"/>
          <w:highlight w:val="yellow"/>
        </w:rPr>
        <w:t>80</w:t>
      </w:r>
      <w:r w:rsidR="007C4DB9" w:rsidRPr="007C4DB9">
        <w:rPr>
          <w:rFonts w:eastAsia="Arial Unicode MS" w:cs="Arial Unicode MS"/>
          <w:highlight w:val="yellow"/>
        </w:rPr>
        <w:t xml:space="preserve"> Kigali</w:t>
      </w:r>
      <w:r w:rsidR="007C4DB9" w:rsidRPr="007C4DB9">
        <w:rPr>
          <w:rFonts w:eastAsia="Arial Unicode MS" w:cs="Arial Unicode MS"/>
          <w:highlight w:val="yellow"/>
        </w:rPr>
        <w:t xml:space="preserve"> </w:t>
      </w:r>
      <w:r w:rsidRPr="007C4DB9">
        <w:rPr>
          <w:rFonts w:eastAsia="Arial Unicode MS" w:cs="Arial Unicode MS"/>
          <w:highlight w:val="yellow"/>
        </w:rPr>
        <w:t>meeting</w:t>
      </w:r>
      <w:r w:rsidR="007C4DB9" w:rsidRPr="007C4DB9">
        <w:rPr>
          <w:rFonts w:eastAsia="Arial Unicode MS" w:cs="Arial Unicode MS"/>
          <w:highlight w:val="yellow"/>
        </w:rPr>
        <w:t>.</w:t>
      </w:r>
    </w:p>
    <w:p w14:paraId="2567C914" w14:textId="77777777" w:rsidR="008A5814" w:rsidRDefault="008A5814">
      <w:pPr>
        <w:pStyle w:val="LeftParagraph"/>
        <w:rPr>
          <w:b/>
          <w:bCs/>
        </w:rPr>
      </w:pPr>
    </w:p>
    <w:p w14:paraId="1999DC02" w14:textId="77777777" w:rsidR="008A5814" w:rsidRDefault="008A5814">
      <w:pPr>
        <w:pStyle w:val="LeftParagraph"/>
        <w:rPr>
          <w:b/>
          <w:bCs/>
        </w:rPr>
      </w:pPr>
    </w:p>
    <w:p w14:paraId="3E9A071A" w14:textId="77777777" w:rsidR="008A5814" w:rsidRDefault="00FE7321">
      <w:pPr>
        <w:pStyle w:val="LeftParagraph"/>
        <w:rPr>
          <w:b/>
          <w:bCs/>
        </w:rPr>
      </w:pPr>
      <w:r>
        <w:rPr>
          <w:rFonts w:eastAsia="Arial Unicode MS" w:cs="Arial Unicode MS"/>
          <w:b/>
          <w:bCs/>
        </w:rPr>
        <w:t>Closed for Submissions Date:</w:t>
      </w:r>
    </w:p>
    <w:p w14:paraId="360F4A23" w14:textId="77777777" w:rsidR="008A5814" w:rsidRDefault="00FE7321">
      <w:pPr>
        <w:pStyle w:val="LeftParagraph"/>
      </w:pPr>
      <w:r>
        <w:rPr>
          <w:rFonts w:eastAsia="Arial Unicode MS" w:cs="Arial Unicode MS"/>
          <w:kern w:val="36"/>
        </w:rPr>
        <w:t>At minimum, the close date should be 40 calendar days after the open date. Open proceedings that are open for less than 40 days require approval from two ICANN org executives except as documented in the ICANN Bylaws or ICANN community operational procedures. Do not include Public Meeting dates in the count. Consider official ICANN holidays and avoid Fridays.</w:t>
      </w:r>
    </w:p>
    <w:p w14:paraId="039BE474" w14:textId="77777777" w:rsidR="008A5814" w:rsidRDefault="008A5814">
      <w:pPr>
        <w:pStyle w:val="LeftParagraph"/>
        <w:rPr>
          <w:b/>
          <w:bCs/>
        </w:rPr>
      </w:pPr>
    </w:p>
    <w:p w14:paraId="0E97F16A" w14:textId="77777777" w:rsidR="008A5814" w:rsidRDefault="008A5814">
      <w:pPr>
        <w:pStyle w:val="LeftParagraph"/>
        <w:rPr>
          <w:b/>
          <w:bCs/>
        </w:rPr>
      </w:pPr>
    </w:p>
    <w:p w14:paraId="7615169E" w14:textId="561E924B" w:rsidR="008A5814" w:rsidRPr="007C4DB9" w:rsidRDefault="007C4DB9">
      <w:pPr>
        <w:pStyle w:val="LeftParagraph"/>
      </w:pPr>
      <w:r w:rsidRPr="007C4DB9">
        <w:rPr>
          <w:highlight w:val="yellow"/>
        </w:rPr>
        <w:t>September 15, 2024</w:t>
      </w:r>
    </w:p>
    <w:p w14:paraId="2211A48F" w14:textId="77777777" w:rsidR="008A5814" w:rsidRDefault="008A5814">
      <w:pPr>
        <w:pStyle w:val="LeftParagraph"/>
        <w:rPr>
          <w:b/>
          <w:bCs/>
        </w:rPr>
      </w:pPr>
    </w:p>
    <w:p w14:paraId="19E2D0DA" w14:textId="77777777" w:rsidR="008A5814" w:rsidRDefault="00FE7321">
      <w:pPr>
        <w:pStyle w:val="LeftParagraph"/>
        <w:rPr>
          <w:b/>
          <w:bCs/>
        </w:rPr>
      </w:pPr>
      <w:r>
        <w:rPr>
          <w:rFonts w:eastAsia="Arial Unicode MS" w:cs="Arial Unicode MS"/>
          <w:b/>
          <w:bCs/>
        </w:rPr>
        <w:t>Summary Report Due Date:</w:t>
      </w:r>
    </w:p>
    <w:p w14:paraId="2D72F8F0" w14:textId="77777777" w:rsidR="008A5814" w:rsidRDefault="00FE7321">
      <w:pPr>
        <w:pStyle w:val="Body"/>
        <w:outlineLvl w:val="0"/>
        <w:rPr>
          <w:kern w:val="36"/>
        </w:rPr>
      </w:pPr>
      <w:r>
        <w:rPr>
          <w:kern w:val="36"/>
          <w:sz w:val="22"/>
          <w:szCs w:val="22"/>
        </w:rPr>
        <w:t xml:space="preserve">The default due date for your summary report is 14 calendar days after the close date but you may select a different report due date. </w:t>
      </w:r>
    </w:p>
    <w:p w14:paraId="2EC4DC71" w14:textId="77777777" w:rsidR="008A5814" w:rsidRDefault="008A5814">
      <w:pPr>
        <w:pStyle w:val="LeftParagraph"/>
        <w:rPr>
          <w:b/>
          <w:bCs/>
        </w:rPr>
      </w:pPr>
    </w:p>
    <w:p w14:paraId="514998F1" w14:textId="3B6B5C15" w:rsidR="008A5814" w:rsidRDefault="00FE7321" w:rsidP="007C4DB9">
      <w:pPr>
        <w:pStyle w:val="LeftParagraph"/>
      </w:pPr>
      <w:r w:rsidRPr="007C4DB9">
        <w:rPr>
          <w:highlight w:val="yellow"/>
          <w:shd w:val="clear" w:color="auto" w:fill="FF00FF"/>
        </w:rPr>
        <w:t>Monday 30 September, 2023</w:t>
      </w:r>
    </w:p>
    <w:p w14:paraId="0F7D30BE" w14:textId="77777777" w:rsidR="008A5814" w:rsidRDefault="008A5814">
      <w:pPr>
        <w:pStyle w:val="LeftParagraph"/>
        <w:rPr>
          <w:b/>
          <w:bCs/>
        </w:rPr>
      </w:pPr>
    </w:p>
    <w:p w14:paraId="50C39EAC" w14:textId="77777777" w:rsidR="008A5814" w:rsidRDefault="008A5814">
      <w:pPr>
        <w:pStyle w:val="LeftParagraph"/>
        <w:rPr>
          <w:b/>
          <w:bCs/>
        </w:rPr>
      </w:pPr>
    </w:p>
    <w:p w14:paraId="7BAB086B" w14:textId="77777777" w:rsidR="008A5814" w:rsidRDefault="00FE7321">
      <w:pPr>
        <w:pStyle w:val="LeftParagraph"/>
        <w:rPr>
          <w:b/>
          <w:bCs/>
        </w:rPr>
      </w:pPr>
      <w:r>
        <w:rPr>
          <w:rFonts w:eastAsia="Arial Unicode MS" w:cs="Arial Unicode MS"/>
          <w:b/>
          <w:bCs/>
        </w:rPr>
        <w:t>Category:</w:t>
      </w:r>
    </w:p>
    <w:p w14:paraId="6B6EEC33" w14:textId="77777777" w:rsidR="008A5814" w:rsidRDefault="00FE7321">
      <w:pPr>
        <w:pStyle w:val="LeftParagraph"/>
      </w:pPr>
      <w:r>
        <w:rPr>
          <w:rFonts w:eastAsia="Arial Unicode MS" w:cs="Arial Unicode MS"/>
        </w:rPr>
        <w:t>Select a single category from the following list that applies to your open proceeding.</w:t>
      </w:r>
    </w:p>
    <w:p w14:paraId="19686022" w14:textId="5243F5BF" w:rsidR="008A5814" w:rsidRDefault="00FE7321">
      <w:pPr>
        <w:pStyle w:val="ListBullet"/>
        <w:numPr>
          <w:ilvl w:val="0"/>
          <w:numId w:val="4"/>
        </w:numPr>
        <w:rPr>
          <w:sz w:val="22"/>
          <w:szCs w:val="22"/>
        </w:rPr>
      </w:pPr>
      <w:r>
        <w:rPr>
          <w:sz w:val="22"/>
          <w:szCs w:val="22"/>
          <w:shd w:val="clear" w:color="auto" w:fill="FFFF00"/>
        </w:rPr>
        <w:t>Governance</w:t>
      </w:r>
    </w:p>
    <w:p w14:paraId="543CB8B7" w14:textId="77777777" w:rsidR="008A5814" w:rsidRDefault="008A5814">
      <w:pPr>
        <w:pStyle w:val="LeftParagraph"/>
        <w:rPr>
          <w:b/>
          <w:bCs/>
        </w:rPr>
      </w:pPr>
    </w:p>
    <w:p w14:paraId="38871F72" w14:textId="77777777" w:rsidR="008A5814" w:rsidRDefault="00FE7321">
      <w:pPr>
        <w:pStyle w:val="LeftParagraph"/>
        <w:rPr>
          <w:b/>
          <w:bCs/>
        </w:rPr>
      </w:pPr>
      <w:r>
        <w:rPr>
          <w:rFonts w:eastAsia="Arial Unicode MS" w:cs="Arial Unicode MS"/>
          <w:b/>
          <w:bCs/>
        </w:rPr>
        <w:t>Requester:</w:t>
      </w:r>
    </w:p>
    <w:p w14:paraId="32CE1F86" w14:textId="77777777" w:rsidR="008A5814" w:rsidRDefault="00FE7321">
      <w:pPr>
        <w:pStyle w:val="LeftParagraph"/>
      </w:pPr>
      <w:r>
        <w:rPr>
          <w:rFonts w:eastAsia="Arial Unicode MS" w:cs="Arial Unicode MS"/>
        </w:rPr>
        <w:t>Select one or more requesters from the following list. You should choose the organization that is requesting the open proceeding.</w:t>
      </w:r>
    </w:p>
    <w:p w14:paraId="289C199E" w14:textId="77777777" w:rsidR="008A5814" w:rsidRDefault="00FE7321">
      <w:pPr>
        <w:pStyle w:val="ListBullet"/>
        <w:numPr>
          <w:ilvl w:val="0"/>
          <w:numId w:val="4"/>
        </w:numPr>
        <w:rPr>
          <w:sz w:val="22"/>
          <w:szCs w:val="22"/>
        </w:rPr>
      </w:pPr>
      <w:r>
        <w:rPr>
          <w:sz w:val="22"/>
          <w:szCs w:val="22"/>
          <w:shd w:val="clear" w:color="auto" w:fill="FFFF00"/>
        </w:rPr>
        <w:t>Other</w:t>
      </w:r>
    </w:p>
    <w:p w14:paraId="078F963F" w14:textId="77777777" w:rsidR="008A5814" w:rsidRDefault="008A5814">
      <w:pPr>
        <w:pStyle w:val="LeftParagraph"/>
      </w:pPr>
    </w:p>
    <w:p w14:paraId="2A83AC2E" w14:textId="77777777" w:rsidR="008A5814" w:rsidRDefault="00FE7321">
      <w:pPr>
        <w:pStyle w:val="LeftParagraph"/>
        <w:rPr>
          <w:b/>
          <w:bCs/>
        </w:rPr>
      </w:pPr>
      <w:r>
        <w:rPr>
          <w:rFonts w:eastAsia="Arial Unicode MS" w:cs="Arial Unicode MS"/>
          <w:b/>
          <w:bCs/>
        </w:rPr>
        <w:t xml:space="preserve">ICANN org Contact(s): </w:t>
      </w:r>
    </w:p>
    <w:p w14:paraId="18712A85" w14:textId="77777777" w:rsidR="008A5814" w:rsidRDefault="00FE7321">
      <w:pPr>
        <w:pStyle w:val="LeftParagraph"/>
      </w:pPr>
      <w:r>
        <w:rPr>
          <w:rFonts w:eastAsia="Arial Unicode MS" w:cs="Arial Unicode MS"/>
        </w:rPr>
        <w:t>Include a staff email address</w:t>
      </w:r>
    </w:p>
    <w:p w14:paraId="604C19FA" w14:textId="05B3DEA7" w:rsidR="008A5814" w:rsidRDefault="008A5814">
      <w:pPr>
        <w:pStyle w:val="LeftParagraph"/>
      </w:pPr>
    </w:p>
    <w:p w14:paraId="79C70E7F" w14:textId="55B4D015" w:rsidR="007C4DB9" w:rsidRPr="007C4DB9" w:rsidRDefault="007C4DB9">
      <w:pPr>
        <w:pStyle w:val="LeftParagraph"/>
        <w:rPr>
          <w:highlight w:val="yellow"/>
        </w:rPr>
      </w:pPr>
      <w:r w:rsidRPr="007C4DB9">
        <w:rPr>
          <w:highlight w:val="yellow"/>
        </w:rPr>
        <w:t xml:space="preserve">Samantha Eisner – </w:t>
      </w:r>
      <w:hyperlink r:id="rId10" w:history="1">
        <w:r w:rsidRPr="007C4DB9">
          <w:rPr>
            <w:rStyle w:val="Hyperlink"/>
            <w:highlight w:val="yellow"/>
          </w:rPr>
          <w:t>Samantha.eisner@icann.org</w:t>
        </w:r>
      </w:hyperlink>
    </w:p>
    <w:p w14:paraId="3BE135C2" w14:textId="01B7777C" w:rsidR="007C4DB9" w:rsidRPr="007C4DB9" w:rsidRDefault="007C4DB9">
      <w:pPr>
        <w:pStyle w:val="LeftParagraph"/>
        <w:rPr>
          <w:highlight w:val="yellow"/>
        </w:rPr>
      </w:pPr>
    </w:p>
    <w:p w14:paraId="312C254D" w14:textId="4BCC7825" w:rsidR="007C4DB9" w:rsidRDefault="007C4DB9">
      <w:pPr>
        <w:pStyle w:val="LeftParagraph"/>
      </w:pPr>
      <w:r w:rsidRPr="007C4DB9">
        <w:rPr>
          <w:highlight w:val="yellow"/>
        </w:rPr>
        <w:t>Elizabeth Le – elizabeth.le@icann.org</w:t>
      </w:r>
    </w:p>
    <w:p w14:paraId="68FFCDD8" w14:textId="77777777" w:rsidR="008A5814" w:rsidRDefault="008A5814">
      <w:pPr>
        <w:pStyle w:val="ListBulletSimple"/>
        <w:rPr>
          <w:b/>
          <w:bCs/>
        </w:rPr>
      </w:pPr>
    </w:p>
    <w:p w14:paraId="68B0F06D" w14:textId="77777777" w:rsidR="008A5814" w:rsidRDefault="00FE7321">
      <w:pPr>
        <w:pStyle w:val="ListBulletSimple"/>
      </w:pPr>
      <w:r>
        <w:rPr>
          <w:rFonts w:eastAsia="Arial Unicode MS" w:cs="Arial Unicode MS"/>
          <w:b/>
          <w:bCs/>
        </w:rPr>
        <w:t xml:space="preserve">What We Need Your Input On: </w:t>
      </w:r>
      <w:r>
        <w:br/>
      </w:r>
      <w:r>
        <w:rPr>
          <w:rFonts w:eastAsia="Arial Unicode MS" w:cs="Arial Unicode MS"/>
        </w:rPr>
        <w:t>Provide the overall purpose of your open proceeding and consider:</w:t>
      </w:r>
    </w:p>
    <w:p w14:paraId="67047683" w14:textId="77777777" w:rsidR="008A5814" w:rsidRDefault="00FE7321">
      <w:pPr>
        <w:pStyle w:val="ListBulletSimple"/>
        <w:numPr>
          <w:ilvl w:val="0"/>
          <w:numId w:val="6"/>
        </w:numPr>
        <w:rPr>
          <w:b/>
          <w:bCs/>
        </w:rPr>
      </w:pPr>
      <w:r>
        <w:t xml:space="preserve">Key questions </w:t>
      </w:r>
    </w:p>
    <w:p w14:paraId="31437587" w14:textId="77777777" w:rsidR="008A5814" w:rsidRDefault="00FE7321">
      <w:pPr>
        <w:pStyle w:val="ListBulletSimple"/>
        <w:numPr>
          <w:ilvl w:val="0"/>
          <w:numId w:val="6"/>
        </w:numPr>
        <w:rPr>
          <w:b/>
          <w:bCs/>
        </w:rPr>
      </w:pPr>
      <w:r>
        <w:t xml:space="preserve">Specifying sections in the </w:t>
      </w:r>
      <w:r>
        <w:rPr>
          <w:i/>
          <w:iCs/>
        </w:rPr>
        <w:t>Proposals for Your Input</w:t>
      </w:r>
    </w:p>
    <w:p w14:paraId="04009224" w14:textId="77777777" w:rsidR="008A5814" w:rsidRDefault="00FE7321">
      <w:pPr>
        <w:pStyle w:val="ListBulletSimple"/>
        <w:numPr>
          <w:ilvl w:val="0"/>
          <w:numId w:val="6"/>
        </w:numPr>
        <w:rPr>
          <w:b/>
          <w:bCs/>
        </w:rPr>
      </w:pPr>
      <w:r>
        <w:t>Explaining options</w:t>
      </w:r>
    </w:p>
    <w:p w14:paraId="24F3173E" w14:textId="77777777" w:rsidR="008A5814" w:rsidRDefault="00FE7321">
      <w:pPr>
        <w:pStyle w:val="ListBulletSimple"/>
        <w:numPr>
          <w:ilvl w:val="0"/>
          <w:numId w:val="6"/>
        </w:numPr>
        <w:rPr>
          <w:b/>
          <w:bCs/>
        </w:rPr>
      </w:pPr>
      <w:r>
        <w:t>Defining recurring acronyms</w:t>
      </w:r>
    </w:p>
    <w:p w14:paraId="1CCF66CA" w14:textId="77777777" w:rsidR="008A5814" w:rsidRDefault="00FE7321">
      <w:pPr>
        <w:pStyle w:val="ListBulletSimple"/>
        <w:numPr>
          <w:ilvl w:val="0"/>
          <w:numId w:val="6"/>
        </w:numPr>
        <w:rPr>
          <w:b/>
          <w:bCs/>
        </w:rPr>
      </w:pPr>
      <w:r>
        <w:t>Including a specific call to action</w:t>
      </w:r>
    </w:p>
    <w:p w14:paraId="5BA70EE0" w14:textId="77777777" w:rsidR="008A5814" w:rsidRDefault="00FE7321">
      <w:pPr>
        <w:pStyle w:val="ListBulletSimple"/>
      </w:pPr>
      <w:r>
        <w:rPr>
          <w:rFonts w:eastAsia="Arial Unicode MS" w:cs="Arial Unicode MS"/>
        </w:rPr>
        <w:t xml:space="preserve">The ideal length of this </w:t>
      </w:r>
      <w:r>
        <w:rPr>
          <w:rFonts w:eastAsia="Arial Unicode MS" w:cs="Arial Unicode MS"/>
          <w:i/>
          <w:iCs/>
        </w:rPr>
        <w:t>What We Need Your Input</w:t>
      </w:r>
      <w:r>
        <w:rPr>
          <w:rFonts w:eastAsia="Arial Unicode MS" w:cs="Arial Unicode MS"/>
        </w:rPr>
        <w:t xml:space="preserve"> </w:t>
      </w:r>
      <w:r>
        <w:rPr>
          <w:rFonts w:eastAsia="Arial Unicode MS" w:cs="Arial Unicode MS"/>
          <w:i/>
          <w:iCs/>
        </w:rPr>
        <w:t>On</w:t>
      </w:r>
      <w:r>
        <w:rPr>
          <w:rFonts w:eastAsia="Arial Unicode MS" w:cs="Arial Unicode MS"/>
        </w:rPr>
        <w:t xml:space="preserve"> section is two paragraphs.</w:t>
      </w:r>
    </w:p>
    <w:p w14:paraId="32F289C2" w14:textId="77777777" w:rsidR="008A5814" w:rsidRDefault="008A5814">
      <w:pPr>
        <w:pStyle w:val="ListBulletSimple"/>
      </w:pPr>
    </w:p>
    <w:p w14:paraId="1D9B9DE9" w14:textId="77777777" w:rsidR="008A5814" w:rsidRDefault="008A5814">
      <w:pPr>
        <w:pStyle w:val="ListBulletSimple"/>
      </w:pPr>
    </w:p>
    <w:p w14:paraId="7605C397" w14:textId="77777777" w:rsidR="008A5814" w:rsidRDefault="00FE7321" w:rsidP="007C4DB9">
      <w:pPr>
        <w:pStyle w:val="ListBulletSimple"/>
        <w:ind w:left="360"/>
        <w:rPr>
          <w:shd w:val="clear" w:color="auto" w:fill="FFFF00"/>
        </w:rPr>
      </w:pPr>
      <w:r>
        <w:rPr>
          <w:shd w:val="clear" w:color="auto" w:fill="FFFF00"/>
        </w:rPr>
        <w:t>The IRP-IOT wishes to gather input from the ICANN community on each of the rules in its current proposals for updating the IRP Supplementary Procedures. The relevant rules are:</w:t>
      </w:r>
    </w:p>
    <w:p w14:paraId="562D70CA" w14:textId="77777777" w:rsidR="008A5814" w:rsidRDefault="008A5814">
      <w:pPr>
        <w:pStyle w:val="LeftParagraph"/>
        <w:ind w:left="720"/>
      </w:pPr>
    </w:p>
    <w:p w14:paraId="4C281D78" w14:textId="77777777" w:rsidR="00B224F7" w:rsidRPr="007C4DB9" w:rsidRDefault="00B224F7" w:rsidP="00B224F7">
      <w:pPr>
        <w:pStyle w:val="NormalWeb"/>
        <w:numPr>
          <w:ilvl w:val="0"/>
          <w:numId w:val="19"/>
        </w:numPr>
        <w:spacing w:before="0" w:beforeAutospacing="0" w:after="0" w:afterAutospacing="0"/>
        <w:textAlignment w:val="baseline"/>
        <w:rPr>
          <w:rFonts w:ascii="Arial" w:hAnsi="Arial" w:cs="Arial"/>
          <w:color w:val="000000"/>
          <w:highlight w:val="yellow"/>
        </w:rPr>
      </w:pPr>
      <w:r w:rsidRPr="007C4DB9">
        <w:rPr>
          <w:rFonts w:ascii="Calibri" w:hAnsi="Calibri" w:cs="Calibri"/>
          <w:color w:val="000000"/>
          <w:highlight w:val="yellow"/>
        </w:rPr>
        <w:t>Rule 3 - Panel selection</w:t>
      </w:r>
    </w:p>
    <w:p w14:paraId="39FF5930" w14:textId="77777777" w:rsidR="00B224F7" w:rsidRPr="007C4DB9" w:rsidRDefault="00B224F7" w:rsidP="00B224F7">
      <w:pPr>
        <w:pStyle w:val="NormalWeb"/>
        <w:numPr>
          <w:ilvl w:val="0"/>
          <w:numId w:val="19"/>
        </w:numPr>
        <w:spacing w:before="0" w:beforeAutospacing="0" w:after="0" w:afterAutospacing="0"/>
        <w:textAlignment w:val="baseline"/>
        <w:rPr>
          <w:rFonts w:ascii="Arial" w:hAnsi="Arial" w:cs="Arial"/>
          <w:color w:val="000000"/>
          <w:highlight w:val="yellow"/>
        </w:rPr>
      </w:pPr>
      <w:r w:rsidRPr="007C4DB9">
        <w:rPr>
          <w:rFonts w:ascii="Calibri" w:hAnsi="Calibri" w:cs="Calibri"/>
          <w:color w:val="000000"/>
          <w:highlight w:val="yellow"/>
        </w:rPr>
        <w:t>Rule 4 - Time for Filing, including:</w:t>
      </w:r>
    </w:p>
    <w:p w14:paraId="140D630D" w14:textId="77777777" w:rsidR="00B224F7" w:rsidRPr="007C4DB9" w:rsidRDefault="00B224F7" w:rsidP="007C4DB9">
      <w:pPr>
        <w:pStyle w:val="NormalWeb"/>
        <w:numPr>
          <w:ilvl w:val="0"/>
          <w:numId w:val="24"/>
        </w:numPr>
        <w:spacing w:before="0" w:beforeAutospacing="0" w:after="0" w:afterAutospacing="0"/>
        <w:textAlignment w:val="baseline"/>
        <w:rPr>
          <w:rFonts w:ascii="Courier New" w:hAnsi="Courier New" w:cs="Courier New"/>
          <w:color w:val="000000"/>
          <w:highlight w:val="yellow"/>
        </w:rPr>
      </w:pPr>
      <w:r w:rsidRPr="007C4DB9">
        <w:rPr>
          <w:rFonts w:ascii="Calibri" w:hAnsi="Calibri" w:cs="Calibri"/>
          <w:color w:val="000000"/>
          <w:highlight w:val="yellow"/>
        </w:rPr>
        <w:t>4A – Initiation of an IRP</w:t>
      </w:r>
    </w:p>
    <w:p w14:paraId="609DB0AE" w14:textId="77777777" w:rsidR="00B224F7" w:rsidRPr="007C4DB9" w:rsidRDefault="00B224F7" w:rsidP="007C4DB9">
      <w:pPr>
        <w:pStyle w:val="NormalWeb"/>
        <w:numPr>
          <w:ilvl w:val="0"/>
          <w:numId w:val="24"/>
        </w:numPr>
        <w:spacing w:before="0" w:beforeAutospacing="0" w:after="0" w:afterAutospacing="0"/>
        <w:textAlignment w:val="baseline"/>
        <w:rPr>
          <w:rFonts w:ascii="Courier New" w:hAnsi="Courier New" w:cs="Courier New"/>
          <w:color w:val="000000"/>
          <w:highlight w:val="yellow"/>
        </w:rPr>
      </w:pPr>
      <w:r w:rsidRPr="007C4DB9">
        <w:rPr>
          <w:rFonts w:ascii="Calibri" w:hAnsi="Calibri" w:cs="Calibri"/>
          <w:color w:val="000000"/>
          <w:highlight w:val="yellow"/>
        </w:rPr>
        <w:lastRenderedPageBreak/>
        <w:t>4B – Time to File</w:t>
      </w:r>
    </w:p>
    <w:p w14:paraId="1C8FDD94" w14:textId="77777777" w:rsidR="00B224F7" w:rsidRPr="007C4DB9" w:rsidRDefault="00B224F7" w:rsidP="007C4DB9">
      <w:pPr>
        <w:pStyle w:val="NormalWeb"/>
        <w:numPr>
          <w:ilvl w:val="0"/>
          <w:numId w:val="24"/>
        </w:numPr>
        <w:spacing w:before="0" w:beforeAutospacing="0" w:after="0" w:afterAutospacing="0"/>
        <w:textAlignment w:val="baseline"/>
        <w:rPr>
          <w:rFonts w:ascii="Courier New" w:hAnsi="Courier New" w:cs="Courier New"/>
          <w:color w:val="000000"/>
          <w:highlight w:val="yellow"/>
        </w:rPr>
      </w:pPr>
      <w:r w:rsidRPr="007C4DB9">
        <w:rPr>
          <w:rFonts w:ascii="Calibri" w:hAnsi="Calibri" w:cs="Calibri"/>
          <w:color w:val="000000"/>
          <w:highlight w:val="yellow"/>
        </w:rPr>
        <w:t>4C - Timing considerations for a Claimant to File an IRP following a Request for Reconsideration (RFR)</w:t>
      </w:r>
    </w:p>
    <w:p w14:paraId="56342C7D" w14:textId="77777777" w:rsidR="00B224F7" w:rsidRPr="007C4DB9" w:rsidRDefault="00B224F7" w:rsidP="007C4DB9">
      <w:pPr>
        <w:pStyle w:val="NormalWeb"/>
        <w:numPr>
          <w:ilvl w:val="0"/>
          <w:numId w:val="24"/>
        </w:numPr>
        <w:spacing w:before="0" w:beforeAutospacing="0" w:after="0" w:afterAutospacing="0"/>
        <w:textAlignment w:val="baseline"/>
        <w:rPr>
          <w:rFonts w:ascii="Courier New" w:hAnsi="Courier New" w:cs="Courier New"/>
          <w:color w:val="000000"/>
          <w:highlight w:val="yellow"/>
        </w:rPr>
      </w:pPr>
      <w:r w:rsidRPr="007C4DB9">
        <w:rPr>
          <w:rFonts w:ascii="Calibri" w:hAnsi="Calibri" w:cs="Calibri"/>
          <w:color w:val="000000"/>
          <w:highlight w:val="yellow"/>
        </w:rPr>
        <w:t>4D - Limited Circumstances for Requesting Permission to File After the 24 month limit</w:t>
      </w:r>
    </w:p>
    <w:p w14:paraId="2A9B9A51" w14:textId="77777777" w:rsidR="00B224F7" w:rsidRPr="007C4DB9" w:rsidRDefault="00B224F7" w:rsidP="00B224F7">
      <w:pPr>
        <w:pStyle w:val="NormalWeb"/>
        <w:numPr>
          <w:ilvl w:val="0"/>
          <w:numId w:val="19"/>
        </w:numPr>
        <w:spacing w:before="0" w:beforeAutospacing="0" w:after="0" w:afterAutospacing="0"/>
        <w:textAlignment w:val="baseline"/>
        <w:rPr>
          <w:rFonts w:ascii="Arial" w:hAnsi="Arial" w:cs="Arial"/>
          <w:color w:val="000000"/>
          <w:highlight w:val="yellow"/>
        </w:rPr>
      </w:pPr>
      <w:r w:rsidRPr="007C4DB9">
        <w:rPr>
          <w:rFonts w:ascii="Calibri" w:hAnsi="Calibri" w:cs="Calibri"/>
          <w:color w:val="000000"/>
          <w:highlight w:val="yellow"/>
        </w:rPr>
        <w:t>Rule 5B - Translation</w:t>
      </w:r>
    </w:p>
    <w:p w14:paraId="2E7BE646" w14:textId="77777777" w:rsidR="00B224F7" w:rsidRPr="007C4DB9" w:rsidRDefault="00B224F7" w:rsidP="00B224F7">
      <w:pPr>
        <w:pStyle w:val="NormalWeb"/>
        <w:numPr>
          <w:ilvl w:val="0"/>
          <w:numId w:val="19"/>
        </w:numPr>
        <w:spacing w:before="0" w:beforeAutospacing="0" w:after="0" w:afterAutospacing="0"/>
        <w:textAlignment w:val="baseline"/>
        <w:rPr>
          <w:rFonts w:ascii="Arial" w:hAnsi="Arial" w:cs="Arial"/>
          <w:color w:val="000000"/>
          <w:highlight w:val="yellow"/>
        </w:rPr>
      </w:pPr>
      <w:r w:rsidRPr="007C4DB9">
        <w:rPr>
          <w:rFonts w:ascii="Calibri" w:hAnsi="Calibri" w:cs="Calibri"/>
          <w:color w:val="000000"/>
          <w:highlight w:val="yellow"/>
        </w:rPr>
        <w:t>Rule 7 - Consolidation, Intervention and Participation as an Amicus</w:t>
      </w:r>
    </w:p>
    <w:p w14:paraId="498AA88A" w14:textId="77777777" w:rsidR="008A5814" w:rsidRDefault="008A5814">
      <w:pPr>
        <w:pStyle w:val="LeftParagraph"/>
        <w:ind w:left="720"/>
      </w:pPr>
    </w:p>
    <w:p w14:paraId="67133550" w14:textId="77777777" w:rsidR="008A5814" w:rsidRDefault="00FE7321" w:rsidP="007C4DB9">
      <w:pPr>
        <w:pStyle w:val="ListBulletSimple"/>
        <w:ind w:left="360"/>
        <w:rPr>
          <w:shd w:val="clear" w:color="auto" w:fill="FFFF00"/>
        </w:rPr>
      </w:pPr>
      <w:r>
        <w:rPr>
          <w:shd w:val="clear" w:color="auto" w:fill="FFFF00"/>
        </w:rPr>
        <w:t>Respondents should clearly indicate in their comments if they support the changes made to each rule as a whole. If you do not support the changes, please provide a detailed explanation of why you do not support the changes to each rule.</w:t>
      </w:r>
    </w:p>
    <w:p w14:paraId="66F12D7B" w14:textId="77777777" w:rsidR="008A5814" w:rsidRDefault="008A5814">
      <w:pPr>
        <w:pStyle w:val="ListBulletSimple"/>
        <w:ind w:left="720"/>
        <w:rPr>
          <w:shd w:val="clear" w:color="auto" w:fill="FFFF00"/>
        </w:rPr>
      </w:pPr>
    </w:p>
    <w:p w14:paraId="4D6AA558" w14:textId="77777777" w:rsidR="008A5814" w:rsidRDefault="008A5814">
      <w:pPr>
        <w:pStyle w:val="ListBulletSimple"/>
        <w:rPr>
          <w:b/>
          <w:bCs/>
        </w:rPr>
      </w:pPr>
    </w:p>
    <w:p w14:paraId="0F55FCC2" w14:textId="77777777" w:rsidR="008A5814" w:rsidRDefault="00FE7321">
      <w:pPr>
        <w:pStyle w:val="ListBulletSimple"/>
      </w:pPr>
      <w:r>
        <w:rPr>
          <w:b/>
          <w:bCs/>
        </w:rPr>
        <w:tab/>
      </w:r>
      <w:r>
        <w:rPr>
          <w:rFonts w:eastAsia="Arial Unicode MS" w:cs="Arial Unicode MS"/>
        </w:rPr>
        <w:t>569 characters</w:t>
      </w:r>
    </w:p>
    <w:p w14:paraId="70CE6582" w14:textId="77777777" w:rsidR="008A5814" w:rsidRDefault="008A5814">
      <w:pPr>
        <w:pStyle w:val="ListBulletSimple"/>
        <w:rPr>
          <w:b/>
          <w:bCs/>
        </w:rPr>
      </w:pPr>
    </w:p>
    <w:p w14:paraId="39190D8F" w14:textId="77777777" w:rsidR="008A5814" w:rsidRDefault="00FE7321">
      <w:pPr>
        <w:pStyle w:val="ListBulletSimple"/>
      </w:pPr>
      <w:r>
        <w:rPr>
          <w:rFonts w:eastAsia="Arial Unicode MS" w:cs="Arial Unicode MS"/>
          <w:b/>
          <w:bCs/>
        </w:rPr>
        <w:t>Proposals for Your Input</w:t>
      </w:r>
      <w:r>
        <w:rPr>
          <w:rFonts w:eastAsia="Arial Unicode MS" w:cs="Arial Unicode MS"/>
        </w:rPr>
        <w:t>:</w:t>
      </w:r>
    </w:p>
    <w:p w14:paraId="1129FEFE" w14:textId="77777777" w:rsidR="008A5814" w:rsidRDefault="00FE7321">
      <w:pPr>
        <w:pStyle w:val="ListBulletSimple"/>
      </w:pPr>
      <w:r>
        <w:rPr>
          <w:rFonts w:eastAsia="Arial Unicode MS" w:cs="Arial Unicode MS"/>
        </w:rPr>
        <w:t>Add links or attachments that are directly related to your open proceeding</w:t>
      </w:r>
      <w:bookmarkStart w:id="2" w:name="_Ref80263567"/>
      <w:r>
        <w:rPr>
          <w:vertAlign w:val="superscript"/>
        </w:rPr>
        <w:footnoteReference w:id="2"/>
      </w:r>
      <w:bookmarkEnd w:id="2"/>
      <w:r>
        <w:rPr>
          <w:rFonts w:eastAsia="Arial Unicode MS" w:cs="Arial Unicode MS"/>
        </w:rPr>
        <w:t>.</w:t>
      </w:r>
    </w:p>
    <w:p w14:paraId="13281A29" w14:textId="77777777" w:rsidR="008A5814" w:rsidRDefault="008A5814">
      <w:pPr>
        <w:pStyle w:val="ListBulletSimple"/>
        <w:rPr>
          <w:b/>
          <w:bCs/>
        </w:rPr>
      </w:pPr>
    </w:p>
    <w:p w14:paraId="0480601A" w14:textId="77777777" w:rsidR="008A5814" w:rsidRDefault="00FE7321">
      <w:pPr>
        <w:pStyle w:val="ListBulletSimple"/>
      </w:pPr>
      <w:r>
        <w:rPr>
          <w:rFonts w:eastAsia="Arial Unicode MS" w:cs="Arial Unicode MS"/>
          <w:b/>
          <w:bCs/>
        </w:rPr>
        <w:t>Background:</w:t>
      </w:r>
    </w:p>
    <w:p w14:paraId="4BF38AAE" w14:textId="77777777" w:rsidR="008A5814" w:rsidRDefault="00FE7321">
      <w:pPr>
        <w:pStyle w:val="ListBulletSimple"/>
      </w:pPr>
      <w:r>
        <w:rPr>
          <w:rFonts w:eastAsia="Arial Unicode MS" w:cs="Arial Unicode MS"/>
        </w:rPr>
        <w:t xml:space="preserve">Provide background about the decisions, steps, or work that led to your open proceeding. The ideal length of this </w:t>
      </w:r>
      <w:r>
        <w:rPr>
          <w:rFonts w:eastAsia="Arial Unicode MS" w:cs="Arial Unicode MS"/>
          <w:i/>
          <w:iCs/>
        </w:rPr>
        <w:t>Background</w:t>
      </w:r>
      <w:r>
        <w:rPr>
          <w:rFonts w:eastAsia="Arial Unicode MS" w:cs="Arial Unicode MS"/>
        </w:rPr>
        <w:t xml:space="preserve"> section is two paragraphs.</w:t>
      </w:r>
    </w:p>
    <w:p w14:paraId="591C08C1" w14:textId="77777777" w:rsidR="008A5814" w:rsidRDefault="008A5814">
      <w:pPr>
        <w:pStyle w:val="ListBulletSimple"/>
      </w:pPr>
    </w:p>
    <w:p w14:paraId="2388C243" w14:textId="77777777" w:rsidR="008A5814" w:rsidRDefault="00FE7321">
      <w:pPr>
        <w:pStyle w:val="ListBulletSimple"/>
        <w:ind w:left="720"/>
        <w:rPr>
          <w:shd w:val="clear" w:color="auto" w:fill="FFFF00"/>
        </w:rPr>
      </w:pPr>
      <w:r>
        <w:rPr>
          <w:shd w:val="clear" w:color="auto" w:fill="FFFF00"/>
        </w:rPr>
        <w:t xml:space="preserve">At the outset of its work, the reconstituted IRP-IOT prioritized updating the </w:t>
      </w:r>
    </w:p>
    <w:p w14:paraId="50913844" w14:textId="77777777" w:rsidR="008A5814" w:rsidRDefault="00FE7321">
      <w:pPr>
        <w:pStyle w:val="ListBulletSimple"/>
        <w:ind w:left="720"/>
        <w:rPr>
          <w:shd w:val="clear" w:color="auto" w:fill="FFFF00"/>
        </w:rPr>
      </w:pPr>
      <w:r>
        <w:rPr>
          <w:shd w:val="clear" w:color="auto" w:fill="FFFF00"/>
        </w:rPr>
        <w:t>Supplementary rules as its first objective. In analyzing the current Interim Supplementary Rules, the IRP-IOT further prioritized the elements presented in this public consultation.</w:t>
      </w:r>
    </w:p>
    <w:p w14:paraId="6E285DD2" w14:textId="77777777" w:rsidR="008A5814" w:rsidRDefault="008A5814">
      <w:pPr>
        <w:pStyle w:val="ListBulletSimple"/>
        <w:ind w:left="720"/>
        <w:rPr>
          <w:shd w:val="clear" w:color="auto" w:fill="FFFF00"/>
        </w:rPr>
      </w:pPr>
    </w:p>
    <w:p w14:paraId="1DA42851" w14:textId="77777777" w:rsidR="008A5814" w:rsidRDefault="00FE7321">
      <w:pPr>
        <w:pStyle w:val="ListBulletSimple"/>
        <w:ind w:left="720"/>
        <w:rPr>
          <w:shd w:val="clear" w:color="auto" w:fill="FFFF00"/>
        </w:rPr>
      </w:pPr>
      <w:r>
        <w:rPr>
          <w:shd w:val="clear" w:color="auto" w:fill="FFFF00"/>
        </w:rPr>
        <w:t>The changes proposed for each of these rules is the result of significant work over the past three and a half years by the IRP-IOT and represent compromises by all members, allowing the group to achieve consensus on all of these.</w:t>
      </w:r>
    </w:p>
    <w:p w14:paraId="3DAB7BF9" w14:textId="77777777" w:rsidR="008A5814" w:rsidRDefault="008A5814">
      <w:pPr>
        <w:pStyle w:val="ListBulletSimple"/>
        <w:ind w:left="720"/>
        <w:rPr>
          <w:shd w:val="clear" w:color="auto" w:fill="FFFF00"/>
        </w:rPr>
      </w:pPr>
    </w:p>
    <w:p w14:paraId="76BFE369" w14:textId="61C8C6BC" w:rsidR="008A5814" w:rsidRDefault="00FE7321">
      <w:pPr>
        <w:pStyle w:val="ListBulletSimple"/>
        <w:ind w:left="720"/>
      </w:pPr>
      <w:r>
        <w:rPr>
          <w:shd w:val="clear" w:color="auto" w:fill="FFFF00"/>
        </w:rPr>
        <w:t xml:space="preserve">In some cases, such as Rule 4 - Time for Filing, some members of the IRP-IOT could not support the consensus but did support bringing the proposal to the community for input.  </w:t>
      </w:r>
    </w:p>
    <w:p w14:paraId="3A8418D3" w14:textId="77777777" w:rsidR="008A5814" w:rsidRDefault="008A5814">
      <w:pPr>
        <w:pStyle w:val="ListBulletSimple"/>
        <w:rPr>
          <w:b/>
          <w:bCs/>
        </w:rPr>
      </w:pPr>
    </w:p>
    <w:p w14:paraId="78B91CDB" w14:textId="77777777" w:rsidR="008A5814" w:rsidRDefault="00FE7321">
      <w:pPr>
        <w:pStyle w:val="ListBulletSimple"/>
      </w:pPr>
      <w:r>
        <w:rPr>
          <w:rFonts w:eastAsia="Arial Unicode MS" w:cs="Arial Unicode MS"/>
          <w:b/>
          <w:bCs/>
        </w:rPr>
        <w:t>Next Steps:</w:t>
      </w:r>
    </w:p>
    <w:p w14:paraId="70950553" w14:textId="77777777" w:rsidR="008A5814" w:rsidRDefault="00FE7321">
      <w:pPr>
        <w:pStyle w:val="ListBulletSimple"/>
      </w:pPr>
      <w:r>
        <w:rPr>
          <w:rFonts w:eastAsia="Arial Unicode MS" w:cs="Arial Unicode MS"/>
        </w:rPr>
        <w:t xml:space="preserve">Outline the next steps once an open proceeding closes. The ideal length of this </w:t>
      </w:r>
      <w:r>
        <w:rPr>
          <w:rFonts w:eastAsia="Arial Unicode MS" w:cs="Arial Unicode MS"/>
          <w:i/>
          <w:iCs/>
        </w:rPr>
        <w:t>Next Steps</w:t>
      </w:r>
      <w:r>
        <w:rPr>
          <w:rFonts w:eastAsia="Arial Unicode MS" w:cs="Arial Unicode MS"/>
        </w:rPr>
        <w:t xml:space="preserve"> section is two paragraphs.</w:t>
      </w:r>
    </w:p>
    <w:p w14:paraId="1FFA4674" w14:textId="77777777" w:rsidR="008A5814" w:rsidRDefault="008A5814">
      <w:pPr>
        <w:pStyle w:val="ListBulletSimple"/>
      </w:pPr>
    </w:p>
    <w:p w14:paraId="5F6D8902" w14:textId="7E2A01FF" w:rsidR="008A5814" w:rsidRDefault="00FE7321">
      <w:pPr>
        <w:pStyle w:val="LeftParagraph"/>
        <w:ind w:left="720"/>
      </w:pPr>
      <w:r>
        <w:rPr>
          <w:shd w:val="clear" w:color="auto" w:fill="FFFF00"/>
        </w:rPr>
        <w:t>Following the Public Comment period, the inputs will be analyzed by the IRP-IOT, who will consider updating the amended rules in light of the comments received and will publish a report on the results of these considerations. If significant changes are required due to the Public Consultation</w:t>
      </w:r>
      <w:r w:rsidR="007C4DB9">
        <w:rPr>
          <w:shd w:val="clear" w:color="auto" w:fill="FFFF00"/>
        </w:rPr>
        <w:t>,</w:t>
      </w:r>
      <w:r>
        <w:rPr>
          <w:shd w:val="clear" w:color="auto" w:fill="FFFF00"/>
        </w:rPr>
        <w:t xml:space="preserve"> the IOT may opt to have a further Public comment period on these changes. If there are no significant changes these rules will be included in the Supplementary Procedures.</w:t>
      </w:r>
    </w:p>
    <w:p w14:paraId="082E0CC3" w14:textId="77777777" w:rsidR="008A5814" w:rsidRDefault="008A5814">
      <w:pPr>
        <w:pStyle w:val="ListBulletSimple"/>
        <w:ind w:left="720"/>
        <w:rPr>
          <w:b/>
          <w:bCs/>
        </w:rPr>
      </w:pPr>
    </w:p>
    <w:p w14:paraId="69AC520E" w14:textId="77777777" w:rsidR="008A5814" w:rsidRDefault="008A5814">
      <w:pPr>
        <w:pStyle w:val="ListBulletSimple"/>
        <w:rPr>
          <w:b/>
          <w:bCs/>
        </w:rPr>
      </w:pPr>
    </w:p>
    <w:p w14:paraId="12D4CC4A" w14:textId="77777777" w:rsidR="008A5814" w:rsidRDefault="00FE7321">
      <w:pPr>
        <w:pStyle w:val="ListBulletSimple"/>
      </w:pPr>
      <w:r>
        <w:rPr>
          <w:rFonts w:eastAsia="Arial Unicode MS" w:cs="Arial Unicode MS"/>
          <w:b/>
          <w:bCs/>
        </w:rPr>
        <w:lastRenderedPageBreak/>
        <w:t>Supporting Information</w:t>
      </w:r>
      <w:r>
        <w:rPr>
          <w:rFonts w:eastAsia="Arial Unicode MS" w:cs="Arial Unicode MS"/>
        </w:rPr>
        <w:t>:</w:t>
      </w:r>
    </w:p>
    <w:p w14:paraId="08ADE743" w14:textId="77777777" w:rsidR="008A5814" w:rsidRDefault="00FE7321">
      <w:pPr>
        <w:pStyle w:val="ListBulletSimple"/>
      </w:pPr>
      <w:r>
        <w:rPr>
          <w:rFonts w:eastAsia="Arial Unicode MS" w:cs="Arial Unicode MS"/>
        </w:rPr>
        <w:t>Add additional links or attachments that give more context about your open proceeding</w:t>
      </w:r>
      <w:r>
        <w:rPr>
          <w:rFonts w:eastAsia="Arial Unicode MS" w:cs="Arial Unicode MS"/>
          <w:vertAlign w:val="superscript"/>
        </w:rPr>
        <w:t>1</w:t>
      </w:r>
      <w:r>
        <w:rPr>
          <w:rFonts w:eastAsia="Arial Unicode MS" w:cs="Arial Unicode MS"/>
        </w:rPr>
        <w:t>. (This section is not required.)</w:t>
      </w:r>
    </w:p>
    <w:p w14:paraId="128DA78B" w14:textId="77777777" w:rsidR="008A5814" w:rsidRDefault="008A5814">
      <w:pPr>
        <w:pStyle w:val="ListBulletSimple"/>
      </w:pPr>
    </w:p>
    <w:p w14:paraId="5F614DCB" w14:textId="77777777" w:rsidR="008A5814" w:rsidRDefault="00FE7321">
      <w:pPr>
        <w:pStyle w:val="ListBulletSimple"/>
        <w:numPr>
          <w:ilvl w:val="0"/>
          <w:numId w:val="8"/>
        </w:numPr>
      </w:pPr>
      <w:r>
        <w:t xml:space="preserve">WS1 – Annex 07 –Recommendation #7: Strengthening ICANN’s Independent Review Process </w:t>
      </w:r>
      <w:hyperlink r:id="rId11" w:history="1">
        <w:r>
          <w:rPr>
            <w:rStyle w:val="Hyperlink0"/>
          </w:rPr>
          <w:t>https://community.icann.org/display/acctcrosscomm/Development+of+Final+Report?preview=/56989168/58723275/CCWGV4-Annex%207-FinalDraftV01.1-Clean-Final.pdf</w:t>
        </w:r>
      </w:hyperlink>
      <w:r>
        <w:t xml:space="preserve"> </w:t>
      </w:r>
    </w:p>
    <w:p w14:paraId="32F25DD5" w14:textId="77777777" w:rsidR="008A5814" w:rsidRDefault="008A5814">
      <w:pPr>
        <w:pStyle w:val="ListBulletSimple"/>
      </w:pPr>
    </w:p>
    <w:p w14:paraId="17067C3D" w14:textId="77777777" w:rsidR="008A5814" w:rsidRDefault="00FE7321">
      <w:pPr>
        <w:pStyle w:val="ListBulletSimple"/>
        <w:numPr>
          <w:ilvl w:val="0"/>
          <w:numId w:val="8"/>
        </w:numPr>
      </w:pPr>
      <w:r>
        <w:t xml:space="preserve">IRP-IOT Wiki - </w:t>
      </w:r>
      <w:hyperlink r:id="rId12" w:history="1">
        <w:r>
          <w:rPr>
            <w:rStyle w:val="Hyperlink0"/>
          </w:rPr>
          <w:t>https://community.icann.org/display/IRPIOTI/Independent+Review+Process+-+Implementation+Oversight+Team+%28IRP-IOT%29+Home</w:t>
        </w:r>
      </w:hyperlink>
      <w:r>
        <w:t xml:space="preserve"> </w:t>
      </w:r>
    </w:p>
    <w:p w14:paraId="6ED8EB0D" w14:textId="77777777" w:rsidR="008A5814" w:rsidRDefault="008A5814">
      <w:pPr>
        <w:pStyle w:val="ListParagraph"/>
      </w:pPr>
    </w:p>
    <w:p w14:paraId="12BE4916" w14:textId="77777777" w:rsidR="008A5814" w:rsidRDefault="00FE7321">
      <w:pPr>
        <w:pStyle w:val="ListBulletSimple"/>
        <w:numPr>
          <w:ilvl w:val="0"/>
          <w:numId w:val="8"/>
        </w:numPr>
      </w:pPr>
      <w:r>
        <w:t xml:space="preserve">Interim Supplementary Procedures for Internet Corporation for Assigned Names and Numbers (ICANN) Independent Review Process(IRP) – October 2018 – Redline - </w:t>
      </w:r>
      <w:hyperlink r:id="rId13" w:history="1">
        <w:r>
          <w:rPr>
            <w:rStyle w:val="Hyperlink0"/>
          </w:rPr>
          <w:t>https://community.icann.org/display/IRPIOTI?preview=/96211302/96212607/REDLINE%20-%2031%20Oct%202017%20to%2025%20Sept%202018%20UpdatedInterim%20Supplementary%20Procedures%20for%20Internet%20Corporation%20for%20Assigned%20Names%20and%20Numbers%5B2%5D.pdf</w:t>
        </w:r>
      </w:hyperlink>
      <w:r>
        <w:t xml:space="preserve"> </w:t>
      </w:r>
    </w:p>
    <w:p w14:paraId="2906921B" w14:textId="77777777" w:rsidR="008A5814" w:rsidRDefault="008A5814">
      <w:pPr>
        <w:pStyle w:val="ListParagraph"/>
      </w:pPr>
    </w:p>
    <w:p w14:paraId="7C1FE9BA" w14:textId="77777777" w:rsidR="008A5814" w:rsidRDefault="00FE7321">
      <w:pPr>
        <w:pStyle w:val="ListBulletSimple"/>
        <w:numPr>
          <w:ilvl w:val="0"/>
          <w:numId w:val="8"/>
        </w:numPr>
      </w:pPr>
      <w:r>
        <w:t xml:space="preserve">First IRP-IOT Public Consultation - Updated Supplementary Procedures for Independent Review Process (IRP) – 28 November 2016 - </w:t>
      </w:r>
      <w:hyperlink r:id="rId14" w:history="1">
        <w:r>
          <w:rPr>
            <w:rStyle w:val="Hyperlink0"/>
          </w:rPr>
          <w:t>https://www.icann.org/en/public-comment/proceeding/updated-supplementary-procedures-for-independent-review-process-irp-28-11-2016</w:t>
        </w:r>
      </w:hyperlink>
      <w:r>
        <w:t xml:space="preserve"> </w:t>
      </w:r>
    </w:p>
    <w:p w14:paraId="6F566F31" w14:textId="77777777" w:rsidR="008A5814" w:rsidRDefault="008A5814">
      <w:pPr>
        <w:pStyle w:val="ListParagraph"/>
      </w:pPr>
    </w:p>
    <w:p w14:paraId="61F496EC" w14:textId="77777777" w:rsidR="008A5814" w:rsidRDefault="00FE7321">
      <w:pPr>
        <w:pStyle w:val="ListBulletSimple"/>
        <w:numPr>
          <w:ilvl w:val="0"/>
          <w:numId w:val="8"/>
        </w:numPr>
      </w:pPr>
      <w:r>
        <w:t xml:space="preserve">Second IRP-IOT Public Consultation - The Independent Review Process Implementation Oversight Team (IRP-IOT) Draft Recommendations – 22 June 2018 - </w:t>
      </w:r>
      <w:hyperlink r:id="rId15" w:history="1">
        <w:r>
          <w:rPr>
            <w:rStyle w:val="Hyperlink0"/>
          </w:rPr>
          <w:t>https://www.icann.org/en/public-comment/proceeding/the-independent-review-process-implementation-oversight-team-irp-iot-draft-recommendations-22-06-2018</w:t>
        </w:r>
      </w:hyperlink>
      <w:r>
        <w:t xml:space="preserve"> </w:t>
      </w:r>
    </w:p>
    <w:p w14:paraId="7F4EB9C4" w14:textId="77777777" w:rsidR="008A5814" w:rsidRDefault="008A5814">
      <w:pPr>
        <w:pStyle w:val="ListParagraph"/>
      </w:pPr>
    </w:p>
    <w:p w14:paraId="0A3992D6" w14:textId="77777777" w:rsidR="008A5814" w:rsidRDefault="00FE7321">
      <w:pPr>
        <w:pStyle w:val="ListParagraph"/>
        <w:numPr>
          <w:ilvl w:val="0"/>
          <w:numId w:val="9"/>
        </w:numPr>
      </w:pPr>
      <w:r>
        <w:t xml:space="preserve">International Centre for Dispute Resolution (ICDR) Rules (ICDR is ICANN’s IRP Provider) - </w:t>
      </w:r>
      <w:hyperlink r:id="rId16" w:history="1">
        <w:r>
          <w:rPr>
            <w:rStyle w:val="Hyperlink0"/>
          </w:rPr>
          <w:t>https://www.adr.org/sites/default/files/ICDR%20Rules_0.pdf</w:t>
        </w:r>
      </w:hyperlink>
      <w:r>
        <w:t xml:space="preserve"> </w:t>
      </w:r>
    </w:p>
    <w:p w14:paraId="5DC2CE51" w14:textId="77777777" w:rsidR="008A5814" w:rsidRDefault="008A5814">
      <w:pPr>
        <w:pStyle w:val="ListBulletSimple"/>
        <w:ind w:left="720" w:hanging="360"/>
      </w:pPr>
    </w:p>
    <w:p w14:paraId="1571EA92" w14:textId="77777777" w:rsidR="008A5814" w:rsidRDefault="008A5814">
      <w:pPr>
        <w:pStyle w:val="Heading3No"/>
      </w:pPr>
    </w:p>
    <w:p w14:paraId="4E40A127" w14:textId="77777777" w:rsidR="008A5814" w:rsidRDefault="008A5814">
      <w:pPr>
        <w:pStyle w:val="Heading1No"/>
      </w:pPr>
    </w:p>
    <w:p w14:paraId="20734543" w14:textId="77777777" w:rsidR="008A5814" w:rsidRDefault="00FE7321">
      <w:pPr>
        <w:pStyle w:val="Body"/>
      </w:pPr>
      <w:r>
        <w:t xml:space="preserve">-------------------------------------------- </w:t>
      </w:r>
      <w:r>
        <w:rPr>
          <w:b/>
          <w:bCs/>
          <w:sz w:val="22"/>
          <w:szCs w:val="22"/>
        </w:rPr>
        <w:t>TEMPLATE END ------------------------------------------------------</w:t>
      </w:r>
      <w:r>
        <w:rPr>
          <w:rFonts w:ascii="Arial Unicode MS" w:hAnsi="Arial Unicode MS"/>
        </w:rPr>
        <w:br w:type="page"/>
      </w:r>
    </w:p>
    <w:p w14:paraId="0134EAFE" w14:textId="77777777" w:rsidR="008A5814" w:rsidRDefault="00FE7321">
      <w:pPr>
        <w:pStyle w:val="Heading1No"/>
      </w:pPr>
      <w:bookmarkStart w:id="3" w:name="Publishing_Your_Announcement"/>
      <w:r>
        <w:rPr>
          <w:rFonts w:eastAsia="Arial Unicode MS" w:cs="Arial Unicode MS"/>
        </w:rPr>
        <w:lastRenderedPageBreak/>
        <w:t xml:space="preserve">Publishing Your Open Proceeding </w:t>
      </w:r>
      <w:bookmarkEnd w:id="3"/>
    </w:p>
    <w:p w14:paraId="6627C8F8" w14:textId="77777777" w:rsidR="008A5814" w:rsidRDefault="008A5814">
      <w:pPr>
        <w:pStyle w:val="LeftParagraph"/>
        <w:rPr>
          <w:i/>
          <w:iCs/>
        </w:rPr>
      </w:pPr>
    </w:p>
    <w:p w14:paraId="1F55C2DD" w14:textId="77777777" w:rsidR="008A5814" w:rsidRDefault="00FE7321">
      <w:pPr>
        <w:pStyle w:val="Heading5No"/>
      </w:pPr>
      <w:r>
        <w:t>Step 1 Submit to the Policy Development Support Team for Proofing and Publishing</w:t>
      </w:r>
    </w:p>
    <w:p w14:paraId="38216563" w14:textId="77777777" w:rsidR="008A5814" w:rsidRDefault="008A5814">
      <w:pPr>
        <w:pStyle w:val="LeftParagraph"/>
      </w:pPr>
    </w:p>
    <w:p w14:paraId="743B5D48" w14:textId="77777777" w:rsidR="008A5814" w:rsidRDefault="00FE7321">
      <w:pPr>
        <w:pStyle w:val="ListBullet"/>
        <w:numPr>
          <w:ilvl w:val="0"/>
          <w:numId w:val="4"/>
        </w:numPr>
        <w:rPr>
          <w:sz w:val="22"/>
          <w:szCs w:val="22"/>
        </w:rPr>
      </w:pPr>
      <w:r>
        <w:rPr>
          <w:sz w:val="22"/>
          <w:szCs w:val="22"/>
        </w:rPr>
        <w:t xml:space="preserve">Create an email to </w:t>
      </w:r>
      <w:hyperlink r:id="rId17" w:history="1">
        <w:r>
          <w:rPr>
            <w:rStyle w:val="Hyperlink0"/>
            <w:sz w:val="22"/>
            <w:szCs w:val="22"/>
          </w:rPr>
          <w:t>public-comment@icann.org</w:t>
        </w:r>
      </w:hyperlink>
      <w:r>
        <w:rPr>
          <w:sz w:val="22"/>
          <w:szCs w:val="22"/>
        </w:rPr>
        <w:t xml:space="preserve"> and include:</w:t>
      </w:r>
    </w:p>
    <w:p w14:paraId="24767697" w14:textId="77777777" w:rsidR="008A5814" w:rsidRDefault="00FE7321">
      <w:pPr>
        <w:pStyle w:val="ListBullet3"/>
        <w:numPr>
          <w:ilvl w:val="2"/>
          <w:numId w:val="4"/>
        </w:numPr>
        <w:rPr>
          <w:sz w:val="22"/>
          <w:szCs w:val="22"/>
        </w:rPr>
      </w:pPr>
      <w:r>
        <w:rPr>
          <w:sz w:val="22"/>
          <w:szCs w:val="22"/>
        </w:rPr>
        <w:t>Name of Legal reviewer.</w:t>
      </w:r>
    </w:p>
    <w:p w14:paraId="6FB033D4" w14:textId="77777777" w:rsidR="008A5814" w:rsidRDefault="00FE7321">
      <w:pPr>
        <w:pStyle w:val="ListBullet3"/>
        <w:numPr>
          <w:ilvl w:val="2"/>
          <w:numId w:val="4"/>
        </w:numPr>
        <w:rPr>
          <w:sz w:val="22"/>
          <w:szCs w:val="22"/>
        </w:rPr>
      </w:pPr>
      <w:r>
        <w:rPr>
          <w:sz w:val="22"/>
          <w:szCs w:val="22"/>
        </w:rPr>
        <w:t>Name of Communications reviewer.</w:t>
      </w:r>
    </w:p>
    <w:p w14:paraId="55C135F7" w14:textId="77777777" w:rsidR="008A5814" w:rsidRDefault="00FE7321">
      <w:pPr>
        <w:pStyle w:val="ListBullet3"/>
        <w:numPr>
          <w:ilvl w:val="2"/>
          <w:numId w:val="4"/>
        </w:numPr>
        <w:rPr>
          <w:sz w:val="22"/>
          <w:szCs w:val="22"/>
        </w:rPr>
      </w:pPr>
      <w:r>
        <w:rPr>
          <w:sz w:val="22"/>
          <w:szCs w:val="22"/>
        </w:rPr>
        <w:t>Name of Executive approver (or names of two Executive approvers if the open proceeding is less than the minimum 40 days).</w:t>
      </w:r>
    </w:p>
    <w:p w14:paraId="70401893" w14:textId="77777777" w:rsidR="008A5814" w:rsidRDefault="008A5814">
      <w:pPr>
        <w:pStyle w:val="ListBullet"/>
        <w:ind w:left="360"/>
      </w:pPr>
    </w:p>
    <w:p w14:paraId="65FBA30E" w14:textId="77777777" w:rsidR="008A5814" w:rsidRDefault="00FE7321">
      <w:pPr>
        <w:pStyle w:val="ListBullet"/>
        <w:numPr>
          <w:ilvl w:val="0"/>
          <w:numId w:val="10"/>
        </w:numPr>
        <w:rPr>
          <w:sz w:val="22"/>
          <w:szCs w:val="22"/>
        </w:rPr>
      </w:pPr>
      <w:r>
        <w:rPr>
          <w:sz w:val="22"/>
          <w:szCs w:val="22"/>
        </w:rPr>
        <w:t>Add the following attachments:</w:t>
      </w:r>
    </w:p>
    <w:p w14:paraId="01AB4068" w14:textId="77777777" w:rsidR="008A5814" w:rsidRDefault="00FE7321">
      <w:pPr>
        <w:pStyle w:val="ListBullet4"/>
        <w:numPr>
          <w:ilvl w:val="3"/>
          <w:numId w:val="10"/>
        </w:numPr>
        <w:rPr>
          <w:sz w:val="22"/>
          <w:szCs w:val="22"/>
        </w:rPr>
      </w:pPr>
      <w:r>
        <w:rPr>
          <w:sz w:val="22"/>
          <w:szCs w:val="22"/>
        </w:rPr>
        <w:t>Your completed open proceeding template as a Word file.</w:t>
      </w:r>
    </w:p>
    <w:p w14:paraId="21D293F9" w14:textId="77777777" w:rsidR="008A5814" w:rsidRDefault="00FE7321">
      <w:pPr>
        <w:pStyle w:val="ListBullet4"/>
        <w:numPr>
          <w:ilvl w:val="3"/>
          <w:numId w:val="10"/>
        </w:numPr>
        <w:rPr>
          <w:sz w:val="22"/>
          <w:szCs w:val="22"/>
        </w:rPr>
      </w:pPr>
      <w:r>
        <w:rPr>
          <w:sz w:val="22"/>
          <w:szCs w:val="22"/>
        </w:rPr>
        <w:t>Your completed submission form as a Word file (if applicable).</w:t>
      </w:r>
    </w:p>
    <w:p w14:paraId="26838829" w14:textId="77777777" w:rsidR="008A5814" w:rsidRDefault="00FE7321">
      <w:pPr>
        <w:pStyle w:val="ListBullet4"/>
        <w:numPr>
          <w:ilvl w:val="3"/>
          <w:numId w:val="10"/>
        </w:numPr>
        <w:rPr>
          <w:sz w:val="22"/>
          <w:szCs w:val="22"/>
        </w:rPr>
      </w:pPr>
      <w:r>
        <w:rPr>
          <w:sz w:val="22"/>
          <w:szCs w:val="22"/>
        </w:rPr>
        <w:t>Any files that need to be published at the same time.</w:t>
      </w:r>
    </w:p>
    <w:p w14:paraId="1F0B4910" w14:textId="77777777" w:rsidR="008A5814" w:rsidRDefault="008A5814">
      <w:pPr>
        <w:pStyle w:val="ListBullet4"/>
        <w:ind w:left="1440"/>
        <w:rPr>
          <w:sz w:val="22"/>
          <w:szCs w:val="22"/>
        </w:rPr>
      </w:pPr>
    </w:p>
    <w:p w14:paraId="0EFEBF2F" w14:textId="77777777" w:rsidR="008A5814" w:rsidRDefault="00FE7321">
      <w:pPr>
        <w:pStyle w:val="ListBullet"/>
        <w:numPr>
          <w:ilvl w:val="0"/>
          <w:numId w:val="10"/>
        </w:numPr>
        <w:rPr>
          <w:sz w:val="22"/>
          <w:szCs w:val="22"/>
        </w:rPr>
      </w:pPr>
      <w:r>
        <w:rPr>
          <w:sz w:val="22"/>
          <w:szCs w:val="22"/>
        </w:rPr>
        <w:t xml:space="preserve">Public Comment Announcements: The Policy Development Support team will </w:t>
      </w:r>
      <w:r>
        <w:rPr>
          <w:b/>
          <w:bCs/>
          <w:sz w:val="22"/>
          <w:szCs w:val="22"/>
        </w:rPr>
        <w:t xml:space="preserve">create AND publish the accompanying </w:t>
      </w:r>
      <w:hyperlink r:id="rId18" w:history="1">
        <w:r>
          <w:rPr>
            <w:rStyle w:val="Hyperlink1"/>
          </w:rPr>
          <w:t>https://icann.org</w:t>
        </w:r>
      </w:hyperlink>
      <w:r>
        <w:rPr>
          <w:b/>
          <w:bCs/>
          <w:sz w:val="22"/>
          <w:szCs w:val="22"/>
        </w:rPr>
        <w:t xml:space="preserve"> announcement for this open proceeding. You DO NOT need to create the announcement.</w:t>
      </w:r>
      <w:r>
        <w:rPr>
          <w:sz w:val="22"/>
          <w:szCs w:val="22"/>
        </w:rPr>
        <w:t xml:space="preserve"> By default, the announcement will be shared across ICANN’s social media platforms. If you require additional promotion, please contact your Communications liaison</w:t>
      </w:r>
      <w:r>
        <w:t>.</w:t>
      </w:r>
    </w:p>
    <w:p w14:paraId="5DF935C7" w14:textId="77777777" w:rsidR="008A5814" w:rsidRDefault="008A5814">
      <w:pPr>
        <w:pStyle w:val="ListBullet"/>
        <w:ind w:left="360"/>
      </w:pPr>
    </w:p>
    <w:p w14:paraId="3C910CFA" w14:textId="77777777" w:rsidR="008A5814" w:rsidRDefault="00FE7321">
      <w:pPr>
        <w:pStyle w:val="ListBullet"/>
        <w:numPr>
          <w:ilvl w:val="0"/>
          <w:numId w:val="10"/>
        </w:numPr>
        <w:rPr>
          <w:sz w:val="22"/>
          <w:szCs w:val="22"/>
        </w:rPr>
      </w:pPr>
      <w:r>
        <w:rPr>
          <w:sz w:val="22"/>
          <w:szCs w:val="22"/>
        </w:rPr>
        <w:t>The Policy Development Support team will:</w:t>
      </w:r>
    </w:p>
    <w:p w14:paraId="23ABAC10" w14:textId="77777777" w:rsidR="008A5814" w:rsidRDefault="00FE7321">
      <w:pPr>
        <w:pStyle w:val="ListBullet3"/>
        <w:numPr>
          <w:ilvl w:val="2"/>
          <w:numId w:val="11"/>
        </w:numPr>
        <w:rPr>
          <w:sz w:val="22"/>
          <w:szCs w:val="22"/>
        </w:rPr>
      </w:pPr>
      <w:r>
        <w:rPr>
          <w:sz w:val="22"/>
          <w:szCs w:val="22"/>
        </w:rPr>
        <w:t>Review your open proceeding content.</w:t>
      </w:r>
    </w:p>
    <w:p w14:paraId="0BF4A21B" w14:textId="77777777" w:rsidR="008A5814" w:rsidRDefault="00FE7321">
      <w:pPr>
        <w:pStyle w:val="ListBullet3"/>
        <w:numPr>
          <w:ilvl w:val="2"/>
          <w:numId w:val="11"/>
        </w:numPr>
        <w:rPr>
          <w:sz w:val="22"/>
          <w:szCs w:val="22"/>
        </w:rPr>
      </w:pPr>
      <w:r>
        <w:rPr>
          <w:sz w:val="22"/>
          <w:szCs w:val="22"/>
        </w:rPr>
        <w:t xml:space="preserve">Approve the open and closed for submissions dates, and summary report due date. </w:t>
      </w:r>
    </w:p>
    <w:p w14:paraId="42FB9371" w14:textId="77777777" w:rsidR="008A5814" w:rsidRDefault="00FE7321">
      <w:pPr>
        <w:pStyle w:val="ListBullet3"/>
        <w:numPr>
          <w:ilvl w:val="2"/>
          <w:numId w:val="11"/>
        </w:numPr>
        <w:rPr>
          <w:sz w:val="22"/>
          <w:szCs w:val="22"/>
        </w:rPr>
      </w:pPr>
      <w:r>
        <w:rPr>
          <w:sz w:val="22"/>
          <w:szCs w:val="22"/>
        </w:rPr>
        <w:t>Return the proofed open proceeding, submission form, and any proceeding documents, to you with tracked changes.</w:t>
      </w:r>
    </w:p>
    <w:p w14:paraId="48542147" w14:textId="77777777" w:rsidR="008A5814" w:rsidRDefault="00FE7321">
      <w:pPr>
        <w:pStyle w:val="ListBullet3"/>
        <w:numPr>
          <w:ilvl w:val="2"/>
          <w:numId w:val="11"/>
        </w:numPr>
        <w:rPr>
          <w:sz w:val="22"/>
          <w:szCs w:val="22"/>
        </w:rPr>
      </w:pPr>
      <w:r>
        <w:rPr>
          <w:sz w:val="22"/>
          <w:szCs w:val="22"/>
        </w:rPr>
        <w:t>If there are significant changes, your content may require another review by your executive and Legal, and another proof from the Policy Development Support team.</w:t>
      </w:r>
    </w:p>
    <w:p w14:paraId="5E8D88B8" w14:textId="77777777" w:rsidR="008A5814" w:rsidRDefault="00FE7321">
      <w:pPr>
        <w:pStyle w:val="ListBullet3"/>
        <w:numPr>
          <w:ilvl w:val="2"/>
          <w:numId w:val="11"/>
        </w:numPr>
        <w:rPr>
          <w:sz w:val="22"/>
          <w:szCs w:val="22"/>
        </w:rPr>
      </w:pPr>
      <w:r>
        <w:rPr>
          <w:b/>
          <w:bCs/>
          <w:sz w:val="22"/>
          <w:szCs w:val="22"/>
        </w:rPr>
        <w:t>Once all open proceeding-related content finalized, no further action from you is required</w:t>
      </w:r>
      <w:r>
        <w:rPr>
          <w:sz w:val="22"/>
          <w:szCs w:val="22"/>
        </w:rPr>
        <w:t xml:space="preserve">. The Policy Development Support team will publish all the open proceeding-related content and create and publish the accompanying announcement. The Policy Development team will share links to your open proceeding page and announcement once these items are published on </w:t>
      </w:r>
      <w:hyperlink r:id="rId19" w:history="1">
        <w:r>
          <w:rPr>
            <w:rStyle w:val="Hyperlink0"/>
            <w:sz w:val="22"/>
            <w:szCs w:val="22"/>
          </w:rPr>
          <w:t>https://icann.org</w:t>
        </w:r>
      </w:hyperlink>
      <w:r>
        <w:rPr>
          <w:sz w:val="22"/>
          <w:szCs w:val="22"/>
        </w:rPr>
        <w:t>.</w:t>
      </w:r>
    </w:p>
    <w:p w14:paraId="76C2D235" w14:textId="77777777" w:rsidR="008A5814" w:rsidRDefault="00FE7321">
      <w:pPr>
        <w:pStyle w:val="ListBullet3"/>
        <w:numPr>
          <w:ilvl w:val="2"/>
          <w:numId w:val="11"/>
        </w:numPr>
        <w:rPr>
          <w:sz w:val="22"/>
          <w:szCs w:val="22"/>
        </w:rPr>
      </w:pPr>
      <w:r>
        <w:rPr>
          <w:sz w:val="22"/>
          <w:szCs w:val="22"/>
        </w:rPr>
        <w:t>The Policy Development Support team will send you a pre-populated summary report template to get you started.</w:t>
      </w:r>
    </w:p>
    <w:p w14:paraId="2B073384" w14:textId="77777777" w:rsidR="008A5814" w:rsidRDefault="008A5814">
      <w:pPr>
        <w:pStyle w:val="ListBullet3"/>
        <w:ind w:left="1080"/>
        <w:rPr>
          <w:sz w:val="22"/>
          <w:szCs w:val="22"/>
        </w:rPr>
      </w:pPr>
    </w:p>
    <w:p w14:paraId="4E5016F5" w14:textId="77777777" w:rsidR="008A5814" w:rsidRDefault="00FE7321">
      <w:pPr>
        <w:pStyle w:val="Body"/>
      </w:pPr>
      <w:r>
        <w:rPr>
          <w:rFonts w:ascii="Arial Unicode MS" w:hAnsi="Arial Unicode MS"/>
        </w:rPr>
        <w:br w:type="page"/>
      </w:r>
    </w:p>
    <w:p w14:paraId="718DA432" w14:textId="77777777" w:rsidR="008A5814" w:rsidRDefault="00FE7321">
      <w:pPr>
        <w:pStyle w:val="LeftParagraph"/>
        <w:ind w:left="720"/>
        <w:rPr>
          <w:b/>
          <w:bCs/>
        </w:rPr>
      </w:pPr>
      <w:r>
        <w:rPr>
          <w:b/>
          <w:bCs/>
        </w:rPr>
        <w:lastRenderedPageBreak/>
        <w:t>Background</w:t>
      </w:r>
    </w:p>
    <w:p w14:paraId="61E10148" w14:textId="77777777" w:rsidR="008A5814" w:rsidRDefault="008A5814">
      <w:pPr>
        <w:pStyle w:val="LeftParagraph"/>
        <w:ind w:left="720"/>
      </w:pPr>
    </w:p>
    <w:p w14:paraId="0FFB0F62" w14:textId="77777777" w:rsidR="008A5814" w:rsidRDefault="00FE7321">
      <w:pPr>
        <w:pStyle w:val="LeftParagraph"/>
        <w:ind w:left="720"/>
      </w:pPr>
      <w:r>
        <w:t>ICANN operates a separate process for independent third-party review of Disputes – the Independent Review Process (IRP). (See Bylaw Section 4.3.) The International Centre for Dispute Resolution (ICDR) currently administers ICANN’s Independent Review Processes.  ICANN IRPs are governed by the ICDR’s International Dispute Resolution Procedures as modified by Supplementary Procedures for ICANN’s IRP.</w:t>
      </w:r>
    </w:p>
    <w:p w14:paraId="2D89EF7B" w14:textId="77777777" w:rsidR="008A5814" w:rsidRDefault="008A5814">
      <w:pPr>
        <w:pStyle w:val="LeftParagraph"/>
        <w:ind w:left="720"/>
      </w:pPr>
    </w:p>
    <w:p w14:paraId="1FB50319" w14:textId="77777777" w:rsidR="008A5814" w:rsidRDefault="00FE7321">
      <w:pPr>
        <w:pStyle w:val="LeftParagraph"/>
        <w:ind w:left="720"/>
      </w:pPr>
      <w:r>
        <w:t>As a result of the ICANN Transition from USG oversight the ICANN Bylaws were modified to incorporate the recommendations of the Cross Community Working Group Work Stream 1 (CCWG-WS1) and Work Stream 2 (CCWG-WS2), which included significant modifications to section 4.3 of the Bylaws concerning the IRP.</w:t>
      </w:r>
    </w:p>
    <w:p w14:paraId="7E449F82" w14:textId="77777777" w:rsidR="008A5814" w:rsidRDefault="008A5814">
      <w:pPr>
        <w:pStyle w:val="LeftParagraph"/>
        <w:ind w:left="720"/>
      </w:pPr>
    </w:p>
    <w:p w14:paraId="29A83EBB" w14:textId="77777777" w:rsidR="008A5814" w:rsidRDefault="00FE7321">
      <w:pPr>
        <w:pStyle w:val="LeftParagraph"/>
        <w:ind w:left="720"/>
      </w:pPr>
      <w:r>
        <w:t>The Independent Review Process Implementation Oversight Team (IRP-IOT) was created to complete the review of the IRP rules per recommendation 7 of the CCWG-WS1. The IRP-IOT has the following objectives:</w:t>
      </w:r>
    </w:p>
    <w:p w14:paraId="367B5331" w14:textId="77777777" w:rsidR="008A5814" w:rsidRDefault="008A5814">
      <w:pPr>
        <w:pStyle w:val="LeftParagraph"/>
        <w:ind w:left="720"/>
      </w:pPr>
    </w:p>
    <w:p w14:paraId="34334EAD" w14:textId="77777777" w:rsidR="008A5814" w:rsidRDefault="00FE7321">
      <w:pPr>
        <w:pStyle w:val="LeftParagraph"/>
        <w:numPr>
          <w:ilvl w:val="0"/>
          <w:numId w:val="13"/>
        </w:numPr>
      </w:pPr>
      <w:r>
        <w:t>Finish Supplementary Rules of Procedure;</w:t>
      </w:r>
    </w:p>
    <w:p w14:paraId="2F5E0E74" w14:textId="77777777" w:rsidR="008A5814" w:rsidRDefault="00FE7321">
      <w:pPr>
        <w:pStyle w:val="LeftParagraph"/>
        <w:numPr>
          <w:ilvl w:val="0"/>
          <w:numId w:val="13"/>
        </w:numPr>
      </w:pPr>
      <w:r>
        <w:t>Develop rules for Cooperative Engagement Process;</w:t>
      </w:r>
    </w:p>
    <w:p w14:paraId="465D362E" w14:textId="77777777" w:rsidR="008A5814" w:rsidRDefault="00FE7321">
      <w:pPr>
        <w:pStyle w:val="LeftParagraph"/>
        <w:numPr>
          <w:ilvl w:val="0"/>
          <w:numId w:val="13"/>
        </w:numPr>
      </w:pPr>
      <w:r>
        <w:t>Recommend training for Standing Panel;</w:t>
      </w:r>
    </w:p>
    <w:p w14:paraId="00F46BD7" w14:textId="77777777" w:rsidR="008A5814" w:rsidRDefault="00FE7321">
      <w:pPr>
        <w:pStyle w:val="LeftParagraph"/>
        <w:numPr>
          <w:ilvl w:val="0"/>
          <w:numId w:val="13"/>
        </w:numPr>
      </w:pPr>
      <w:r>
        <w:t>Develop recall process for members of Standing Panel;</w:t>
      </w:r>
    </w:p>
    <w:p w14:paraId="3BD9C483" w14:textId="77777777" w:rsidR="008A5814" w:rsidRDefault="00FE7321">
      <w:pPr>
        <w:pStyle w:val="LeftParagraph"/>
        <w:numPr>
          <w:ilvl w:val="0"/>
          <w:numId w:val="13"/>
        </w:numPr>
      </w:pPr>
      <w:r>
        <w:t>Consider designing specialized rules for PTI service complaints;</w:t>
      </w:r>
    </w:p>
    <w:p w14:paraId="2C54B247" w14:textId="77777777" w:rsidR="008A5814" w:rsidRDefault="00FE7321">
      <w:pPr>
        <w:pStyle w:val="LeftParagraph"/>
        <w:numPr>
          <w:ilvl w:val="0"/>
          <w:numId w:val="13"/>
        </w:numPr>
      </w:pPr>
      <w:r>
        <w:t>Develop procedures if ICANN elects not to respond to an IRP;</w:t>
      </w:r>
    </w:p>
    <w:p w14:paraId="4848272F" w14:textId="77777777" w:rsidR="008A5814" w:rsidRDefault="00FE7321">
      <w:pPr>
        <w:pStyle w:val="LeftParagraph"/>
        <w:numPr>
          <w:ilvl w:val="0"/>
          <w:numId w:val="13"/>
        </w:numPr>
      </w:pPr>
      <w:r>
        <w:t>Develop standards/rules governing appeals</w:t>
      </w:r>
    </w:p>
    <w:p w14:paraId="1314044D" w14:textId="77777777" w:rsidR="008A5814" w:rsidRDefault="00FE7321">
      <w:pPr>
        <w:pStyle w:val="LeftParagraph"/>
        <w:numPr>
          <w:ilvl w:val="0"/>
          <w:numId w:val="13"/>
        </w:numPr>
      </w:pPr>
      <w:r>
        <w:t>Consider developing additional independence requirements for panelists.</w:t>
      </w:r>
    </w:p>
    <w:p w14:paraId="01F5C9BB" w14:textId="77777777" w:rsidR="008A5814" w:rsidRDefault="008A5814">
      <w:pPr>
        <w:pStyle w:val="LeftParagraph"/>
      </w:pPr>
    </w:p>
    <w:p w14:paraId="4D48B08C" w14:textId="77777777" w:rsidR="008A5814" w:rsidRDefault="00FE7321">
      <w:pPr>
        <w:pStyle w:val="LeftParagraph"/>
        <w:ind w:left="720"/>
      </w:pPr>
      <w:r>
        <w:t>The IRP-IOT held two previous consultations on its work on 28 November 2016 and 23 June 2018. The IRP-IOT also approved a set of interim supplementary rules in 2018 to address the issue that the then-current Supplementary Rules were no longer valid due to the 2016 transition and the accompanying update to the ICANN Bylaws.</w:t>
      </w:r>
    </w:p>
    <w:p w14:paraId="78A9CBBE" w14:textId="77777777" w:rsidR="008A5814" w:rsidRDefault="008A5814">
      <w:pPr>
        <w:pStyle w:val="LeftParagraph"/>
        <w:ind w:left="720"/>
      </w:pPr>
    </w:p>
    <w:p w14:paraId="24FA238C" w14:textId="77777777" w:rsidR="008A5814" w:rsidRDefault="00FE7321">
      <w:pPr>
        <w:pStyle w:val="LeftParagraph"/>
        <w:ind w:left="720"/>
      </w:pPr>
      <w:r>
        <w:t>After undergoing a lull in its activities in 2019 the IRP-IOT was relaunched in January 2020 with a new set of members selected by the ICANN Board.</w:t>
      </w:r>
    </w:p>
    <w:p w14:paraId="2B327E83" w14:textId="77777777" w:rsidR="008A5814" w:rsidRDefault="008A5814">
      <w:pPr>
        <w:pStyle w:val="LeftParagraph"/>
        <w:ind w:left="720"/>
      </w:pPr>
    </w:p>
    <w:p w14:paraId="4B2C3A76" w14:textId="77777777" w:rsidR="008A5814" w:rsidRDefault="00FE7321">
      <w:pPr>
        <w:pStyle w:val="LeftParagraph"/>
        <w:ind w:left="720"/>
      </w:pPr>
      <w:r>
        <w:t>The relaunched IRP-IOT reviewed the work of the previous IRP-IOT and began updating the supplementary rules after agreeing on priorities for doing this.</w:t>
      </w:r>
    </w:p>
    <w:p w14:paraId="7ACB96A8" w14:textId="77777777" w:rsidR="008A5814" w:rsidRDefault="008A5814">
      <w:pPr>
        <w:pStyle w:val="LeftParagraph"/>
        <w:ind w:left="720"/>
      </w:pPr>
    </w:p>
    <w:p w14:paraId="6F5FAA68" w14:textId="77777777" w:rsidR="008A5814" w:rsidRDefault="00FE7321">
      <w:pPr>
        <w:pStyle w:val="LeftParagraph"/>
        <w:ind w:left="720"/>
      </w:pPr>
      <w:r>
        <w:t>=======================</w:t>
      </w:r>
    </w:p>
    <w:p w14:paraId="44194FE4" w14:textId="77777777" w:rsidR="008A5814" w:rsidRDefault="008A5814">
      <w:pPr>
        <w:pStyle w:val="LeftParagraph"/>
      </w:pPr>
    </w:p>
    <w:p w14:paraId="42B274AB" w14:textId="77777777" w:rsidR="008A5814" w:rsidRDefault="008A5814">
      <w:pPr>
        <w:pStyle w:val="LeftParagraph"/>
        <w:ind w:left="720"/>
      </w:pPr>
    </w:p>
    <w:p w14:paraId="53328D2D" w14:textId="77777777" w:rsidR="008A5814" w:rsidRDefault="008A5814">
      <w:pPr>
        <w:pStyle w:val="LeftParagraph"/>
      </w:pPr>
    </w:p>
    <w:sectPr w:rsidR="008A5814">
      <w:headerReference w:type="default" r:id="rId20"/>
      <w:footerReference w:type="default" r:id="rId21"/>
      <w:pgSz w:w="12240" w:h="15840"/>
      <w:pgMar w:top="1440" w:right="1440" w:bottom="1440" w:left="1440"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E382B" w14:textId="77777777" w:rsidR="00A02F52" w:rsidRDefault="00A02F52">
      <w:r>
        <w:separator/>
      </w:r>
    </w:p>
  </w:endnote>
  <w:endnote w:type="continuationSeparator" w:id="0">
    <w:p w14:paraId="5212901C" w14:textId="77777777" w:rsidR="00A02F52" w:rsidRDefault="00A0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67937" w14:textId="77777777" w:rsidR="008A5814" w:rsidRDefault="00FE7321">
    <w:pPr>
      <w:pStyle w:val="Footer"/>
    </w:pPr>
    <w:r>
      <w:t>ICANN |</w:t>
    </w:r>
    <w:r>
      <w:tab/>
    </w:r>
    <w:r>
      <w:tab/>
      <w:t>Public Comment Open Proceeding Template and Guidance</w:t>
    </w:r>
    <w:r>
      <w:tab/>
      <w:t xml:space="preserve">| </w:t>
    </w:r>
    <w:r>
      <w:fldChar w:fldCharType="begin"/>
    </w:r>
    <w:r>
      <w:instrText xml:space="preserve"> PAGE </w:instrText>
    </w:r>
    <w:r>
      <w:fldChar w:fldCharType="separate"/>
    </w:r>
    <w:r w:rsidR="009D0F2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1AE38" w14:textId="77777777" w:rsidR="00A02F52" w:rsidRDefault="00A02F52">
      <w:r>
        <w:separator/>
      </w:r>
    </w:p>
  </w:footnote>
  <w:footnote w:type="continuationSeparator" w:id="0">
    <w:p w14:paraId="7CBCA147" w14:textId="77777777" w:rsidR="00A02F52" w:rsidRDefault="00A02F52">
      <w:r>
        <w:continuationSeparator/>
      </w:r>
    </w:p>
  </w:footnote>
  <w:footnote w:type="continuationNotice" w:id="1">
    <w:p w14:paraId="449CC349" w14:textId="77777777" w:rsidR="00A02F52" w:rsidRDefault="00A02F52"/>
  </w:footnote>
  <w:footnote w:id="2">
    <w:p w14:paraId="5170174E" w14:textId="77777777" w:rsidR="008A5814" w:rsidRDefault="00FE7321">
      <w:pPr>
        <w:pStyle w:val="FootnoteText"/>
      </w:pPr>
      <w:r>
        <w:rPr>
          <w:vertAlign w:val="superscript"/>
        </w:rPr>
        <w:footnoteRef/>
      </w:r>
      <w:r>
        <w:rPr>
          <w:rFonts w:eastAsia="Arial Unicode MS" w:cs="Arial Unicode MS"/>
          <w:color w:val="0A1F24"/>
          <w:u w:color="0A1F24"/>
        </w:rPr>
        <w:t xml:space="preserve"> If you are including attachments that need to be published at the same time as this open proceeding, please note if the attachments need to be added to an existing </w:t>
      </w:r>
      <w:hyperlink r:id="rId1" w:history="1">
        <w:r>
          <w:rPr>
            <w:rStyle w:val="Hyperlink0"/>
            <w:rFonts w:eastAsia="Arial Unicode MS" w:cs="Arial Unicode MS"/>
          </w:rPr>
          <w:t>https://icann.org</w:t>
        </w:r>
      </w:hyperlink>
      <w:r>
        <w:rPr>
          <w:rFonts w:eastAsia="Arial Unicode MS" w:cs="Arial Unicode MS"/>
          <w:color w:val="0A1F24"/>
          <w:u w:color="0A1F24"/>
        </w:rPr>
        <w:t xml:space="preserve"> page or if the attachments need to be added to thiopen proceeding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09EBE" w14:textId="77777777" w:rsidR="008A5814" w:rsidRDefault="00FE7321">
    <w:pPr>
      <w:pStyle w:val="Header"/>
      <w:tabs>
        <w:tab w:val="clear" w:pos="9360"/>
        <w:tab w:val="right" w:pos="9340"/>
      </w:tabs>
    </w:pPr>
    <w:r>
      <w:rPr>
        <w:noProof/>
      </w:rPr>
      <w:drawing>
        <wp:anchor distT="152400" distB="152400" distL="152400" distR="152400" simplePos="0" relativeHeight="251658240" behindDoc="1" locked="0" layoutInCell="1" allowOverlap="1" wp14:anchorId="1B220E31" wp14:editId="04873104">
          <wp:simplePos x="0" y="0"/>
          <wp:positionH relativeFrom="page">
            <wp:posOffset>0</wp:posOffset>
          </wp:positionH>
          <wp:positionV relativeFrom="page">
            <wp:posOffset>0</wp:posOffset>
          </wp:positionV>
          <wp:extent cx="7772400" cy="10058400"/>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17071"/>
    <w:multiLevelType w:val="hybridMultilevel"/>
    <w:tmpl w:val="F68290C6"/>
    <w:styleLink w:val="ImportedStyle5"/>
    <w:lvl w:ilvl="0" w:tplc="7AF4621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F8BA8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B612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F2617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60DF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4C42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C2C31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90FDA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8893A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197099"/>
    <w:multiLevelType w:val="hybridMultilevel"/>
    <w:tmpl w:val="F68290C6"/>
    <w:numStyleLink w:val="ImportedStyle5"/>
  </w:abstractNum>
  <w:abstractNum w:abstractNumId="2" w15:restartNumberingAfterBreak="0">
    <w:nsid w:val="0F1600E6"/>
    <w:multiLevelType w:val="multilevel"/>
    <w:tmpl w:val="45A8A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21663"/>
    <w:multiLevelType w:val="multilevel"/>
    <w:tmpl w:val="196A4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C5077"/>
    <w:multiLevelType w:val="hybridMultilevel"/>
    <w:tmpl w:val="B23883DC"/>
    <w:numStyleLink w:val="ImportedStyle3"/>
  </w:abstractNum>
  <w:abstractNum w:abstractNumId="5" w15:restartNumberingAfterBreak="0">
    <w:nsid w:val="1C83172D"/>
    <w:multiLevelType w:val="hybridMultilevel"/>
    <w:tmpl w:val="BE1E1DAE"/>
    <w:styleLink w:val="ImportedStyle4"/>
    <w:lvl w:ilvl="0" w:tplc="E92E1A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66FC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FEAE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00E3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EEA7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106B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AAF6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5421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BEF7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5F1F8D"/>
    <w:multiLevelType w:val="hybridMultilevel"/>
    <w:tmpl w:val="382EB710"/>
    <w:numStyleLink w:val="MLD1-9"/>
  </w:abstractNum>
  <w:abstractNum w:abstractNumId="7" w15:restartNumberingAfterBreak="0">
    <w:nsid w:val="5C101B77"/>
    <w:multiLevelType w:val="hybridMultilevel"/>
    <w:tmpl w:val="B23883DC"/>
    <w:styleLink w:val="ImportedStyle3"/>
    <w:lvl w:ilvl="0" w:tplc="1410ED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 w:ilvl="1" w:tplc="AA0CFEC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 w:ilvl="2" w:tplc="35CEA0A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 w:ilvl="3" w:tplc="8CF053F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 w:ilvl="4" w:tplc="759E9C5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 w:ilvl="5" w:tplc="F61C2C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 w:ilvl="6" w:tplc="07023CC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 w:ilvl="7" w:tplc="A67EAA5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 w:ilvl="8" w:tplc="FA88D3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abstractNum>
  <w:abstractNum w:abstractNumId="8" w15:restartNumberingAfterBreak="0">
    <w:nsid w:val="5FBF7FFA"/>
    <w:multiLevelType w:val="hybridMultilevel"/>
    <w:tmpl w:val="F636F668"/>
    <w:styleLink w:val="ImportedStyle2"/>
    <w:lvl w:ilvl="0" w:tplc="B2FCDE3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B6D5B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6206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F2E84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A6D83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4A0BB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827EB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C6F43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AA90F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5ED089A"/>
    <w:multiLevelType w:val="hybridMultilevel"/>
    <w:tmpl w:val="F636F668"/>
    <w:numStyleLink w:val="ImportedStyle2"/>
  </w:abstractNum>
  <w:abstractNum w:abstractNumId="10" w15:restartNumberingAfterBreak="0">
    <w:nsid w:val="6CC87ABC"/>
    <w:multiLevelType w:val="hybridMultilevel"/>
    <w:tmpl w:val="C19AA52E"/>
    <w:lvl w:ilvl="0" w:tplc="10090003">
      <w:start w:val="1"/>
      <w:numFmt w:val="bullet"/>
      <w:lvlText w:val="o"/>
      <w:lvlJc w:val="left"/>
      <w:pPr>
        <w:ind w:left="1429" w:hanging="360"/>
      </w:pPr>
      <w:rPr>
        <w:rFonts w:ascii="Courier New" w:hAnsi="Courier New" w:cs="Courier New" w:hint="default"/>
      </w:rPr>
    </w:lvl>
    <w:lvl w:ilvl="1" w:tplc="10090003">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1" w15:restartNumberingAfterBreak="0">
    <w:nsid w:val="6D1F1EEA"/>
    <w:multiLevelType w:val="hybridMultilevel"/>
    <w:tmpl w:val="BE1E1DAE"/>
    <w:numStyleLink w:val="ImportedStyle4"/>
  </w:abstractNum>
  <w:abstractNum w:abstractNumId="12" w15:restartNumberingAfterBreak="0">
    <w:nsid w:val="7A5C72BA"/>
    <w:multiLevelType w:val="hybridMultilevel"/>
    <w:tmpl w:val="382EB710"/>
    <w:styleLink w:val="MLD1-9"/>
    <w:lvl w:ilvl="0" w:tplc="98E4CA5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C3063"/>
        <w:spacing w:val="0"/>
        <w:w w:val="100"/>
        <w:kern w:val="0"/>
        <w:position w:val="0"/>
        <w:highlight w:val="none"/>
        <w:vertAlign w:val="baseline"/>
      </w:rPr>
    </w:lvl>
    <w:lvl w:ilvl="1" w:tplc="2E0AC48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C3063"/>
        <w:spacing w:val="0"/>
        <w:w w:val="100"/>
        <w:kern w:val="0"/>
        <w:position w:val="0"/>
        <w:highlight w:val="none"/>
        <w:vertAlign w:val="baseline"/>
      </w:rPr>
    </w:lvl>
    <w:lvl w:ilvl="2" w:tplc="C8BC919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 w:ilvl="3" w:tplc="2ACE99F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 w:ilvl="4" w:tplc="82F6B84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 w:ilvl="5" w:tplc="3842B6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 w:ilvl="6" w:tplc="B44420B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 w:ilvl="7" w:tplc="454AB5C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 w:ilvl="8" w:tplc="FF82DC5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abstractNum>
  <w:num w:numId="1" w16cid:durableId="1198470239">
    <w:abstractNumId w:val="8"/>
  </w:num>
  <w:num w:numId="2" w16cid:durableId="1705129482">
    <w:abstractNumId w:val="9"/>
  </w:num>
  <w:num w:numId="3" w16cid:durableId="1364089285">
    <w:abstractNumId w:val="12"/>
  </w:num>
  <w:num w:numId="4" w16cid:durableId="1705444301">
    <w:abstractNumId w:val="6"/>
  </w:num>
  <w:num w:numId="5" w16cid:durableId="1660033116">
    <w:abstractNumId w:val="7"/>
  </w:num>
  <w:num w:numId="6" w16cid:durableId="334309529">
    <w:abstractNumId w:val="4"/>
  </w:num>
  <w:num w:numId="7" w16cid:durableId="800728097">
    <w:abstractNumId w:val="5"/>
  </w:num>
  <w:num w:numId="8" w16cid:durableId="540636065">
    <w:abstractNumId w:val="11"/>
  </w:num>
  <w:num w:numId="9" w16cid:durableId="799227865">
    <w:abstractNumId w:val="11"/>
    <w:lvlOverride w:ilvl="0">
      <w:lvl w:ilvl="0" w:tplc="87CAD3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4EDA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BC67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7040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DA83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3808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560C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B663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E88E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219823151">
    <w:abstractNumId w:val="6"/>
    <w:lvlOverride w:ilvl="0">
      <w:lvl w:ilvl="0" w:tplc="D310CAF8">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emboss w:val="0"/>
          <w:imprint w:val="0"/>
          <w:color w:val="0C3063"/>
          <w:spacing w:val="0"/>
          <w:w w:val="100"/>
          <w:kern w:val="0"/>
          <w:position w:val="0"/>
          <w:sz w:val="24"/>
          <w:szCs w:val="24"/>
          <w:highlight w:val="none"/>
          <w:vertAlign w:val="baseline"/>
        </w:rPr>
      </w:lvl>
    </w:lvlOverride>
    <w:lvlOverride w:ilvl="1">
      <w:lvl w:ilvl="1" w:tplc="1CDEAF8C">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color w:val="0C3063"/>
          <w:spacing w:val="0"/>
          <w:w w:val="100"/>
          <w:kern w:val="0"/>
          <w:position w:val="0"/>
          <w:sz w:val="24"/>
          <w:szCs w:val="24"/>
          <w:highlight w:val="none"/>
          <w:vertAlign w:val="baseline"/>
        </w:rPr>
      </w:lvl>
    </w:lvlOverride>
    <w:lvlOverride w:ilvl="2">
      <w:lvl w:ilvl="2" w:tplc="081C58A4">
        <w:start w:val="1"/>
        <w:numFmt w:val="bullet"/>
        <w:lvlText w:val="○"/>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color w:val="0C3063"/>
          <w:spacing w:val="0"/>
          <w:w w:val="100"/>
          <w:kern w:val="0"/>
          <w:position w:val="0"/>
          <w:sz w:val="24"/>
          <w:szCs w:val="24"/>
          <w:highlight w:val="none"/>
          <w:vertAlign w:val="baseline"/>
        </w:rPr>
      </w:lvl>
    </w:lvlOverride>
    <w:lvlOverride w:ilvl="3">
      <w:lvl w:ilvl="3" w:tplc="F6CC7CA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Override>
    <w:lvlOverride w:ilvl="4">
      <w:lvl w:ilvl="4" w:tplc="E2485E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Override>
    <w:lvlOverride w:ilvl="5">
      <w:lvl w:ilvl="5" w:tplc="328EE3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Override>
    <w:lvlOverride w:ilvl="6">
      <w:lvl w:ilvl="6" w:tplc="E3B665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Override>
    <w:lvlOverride w:ilvl="7">
      <w:lvl w:ilvl="7" w:tplc="2BB4FFB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Override>
    <w:lvlOverride w:ilvl="8">
      <w:lvl w:ilvl="8" w:tplc="BAA4DFB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Override>
  </w:num>
  <w:num w:numId="11" w16cid:durableId="525946975">
    <w:abstractNumId w:val="6"/>
    <w:lvlOverride w:ilvl="0">
      <w:lvl w:ilvl="0" w:tplc="D310CAF8">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emboss w:val="0"/>
          <w:imprint w:val="0"/>
          <w:color w:val="0C3063"/>
          <w:spacing w:val="0"/>
          <w:w w:val="100"/>
          <w:kern w:val="0"/>
          <w:position w:val="0"/>
          <w:sz w:val="24"/>
          <w:szCs w:val="24"/>
          <w:highlight w:val="none"/>
          <w:vertAlign w:val="baseline"/>
        </w:rPr>
      </w:lvl>
    </w:lvlOverride>
    <w:lvlOverride w:ilvl="1">
      <w:lvl w:ilvl="1" w:tplc="1CDEAF8C">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color w:val="0C3063"/>
          <w:spacing w:val="0"/>
          <w:w w:val="100"/>
          <w:kern w:val="0"/>
          <w:position w:val="0"/>
          <w:sz w:val="24"/>
          <w:szCs w:val="24"/>
          <w:highlight w:val="none"/>
          <w:vertAlign w:val="baseline"/>
        </w:rPr>
      </w:lvl>
    </w:lvlOverride>
    <w:lvlOverride w:ilvl="2">
      <w:lvl w:ilvl="2" w:tplc="081C58A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Override>
    <w:lvlOverride w:ilvl="3">
      <w:lvl w:ilvl="3" w:tplc="F6CC7CA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Override>
    <w:lvlOverride w:ilvl="4">
      <w:lvl w:ilvl="4" w:tplc="E2485E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Override>
    <w:lvlOverride w:ilvl="5">
      <w:lvl w:ilvl="5" w:tplc="328EE3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Override>
    <w:lvlOverride w:ilvl="6">
      <w:lvl w:ilvl="6" w:tplc="E3B665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Override>
    <w:lvlOverride w:ilvl="7">
      <w:lvl w:ilvl="7" w:tplc="2BB4FFB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Override>
    <w:lvlOverride w:ilvl="8">
      <w:lvl w:ilvl="8" w:tplc="BAA4DFB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D436C"/>
          <w:spacing w:val="0"/>
          <w:w w:val="100"/>
          <w:kern w:val="0"/>
          <w:position w:val="0"/>
          <w:highlight w:val="none"/>
          <w:vertAlign w:val="baseline"/>
        </w:rPr>
      </w:lvl>
    </w:lvlOverride>
  </w:num>
  <w:num w:numId="12" w16cid:durableId="1987007445">
    <w:abstractNumId w:val="0"/>
  </w:num>
  <w:num w:numId="13" w16cid:durableId="1191455735">
    <w:abstractNumId w:val="1"/>
  </w:num>
  <w:num w:numId="14" w16cid:durableId="1451821111">
    <w:abstractNumId w:val="3"/>
  </w:num>
  <w:num w:numId="15" w16cid:durableId="1074204589">
    <w:abstractNumId w:val="3"/>
    <w:lvlOverride w:ilvl="1">
      <w:lvl w:ilvl="1">
        <w:numFmt w:val="bullet"/>
        <w:lvlText w:val=""/>
        <w:lvlJc w:val="left"/>
        <w:pPr>
          <w:tabs>
            <w:tab w:val="num" w:pos="1440"/>
          </w:tabs>
          <w:ind w:left="1440" w:hanging="360"/>
        </w:pPr>
        <w:rPr>
          <w:rFonts w:ascii="Symbol" w:hAnsi="Symbol" w:hint="default"/>
          <w:sz w:val="20"/>
        </w:rPr>
      </w:lvl>
    </w:lvlOverride>
  </w:num>
  <w:num w:numId="16" w16cid:durableId="363287406">
    <w:abstractNumId w:val="3"/>
    <w:lvlOverride w:ilvl="1">
      <w:lvl w:ilvl="1">
        <w:numFmt w:val="bullet"/>
        <w:lvlText w:val=""/>
        <w:lvlJc w:val="left"/>
        <w:pPr>
          <w:tabs>
            <w:tab w:val="num" w:pos="1440"/>
          </w:tabs>
          <w:ind w:left="1440" w:hanging="360"/>
        </w:pPr>
        <w:rPr>
          <w:rFonts w:ascii="Symbol" w:hAnsi="Symbol" w:hint="default"/>
          <w:sz w:val="20"/>
        </w:rPr>
      </w:lvl>
    </w:lvlOverride>
  </w:num>
  <w:num w:numId="17" w16cid:durableId="1938899781">
    <w:abstractNumId w:val="3"/>
    <w:lvlOverride w:ilvl="1">
      <w:lvl w:ilvl="1">
        <w:numFmt w:val="bullet"/>
        <w:lvlText w:val=""/>
        <w:lvlJc w:val="left"/>
        <w:pPr>
          <w:tabs>
            <w:tab w:val="num" w:pos="1440"/>
          </w:tabs>
          <w:ind w:left="1440" w:hanging="360"/>
        </w:pPr>
        <w:rPr>
          <w:rFonts w:ascii="Symbol" w:hAnsi="Symbol" w:hint="default"/>
          <w:sz w:val="20"/>
        </w:rPr>
      </w:lvl>
    </w:lvlOverride>
  </w:num>
  <w:num w:numId="18" w16cid:durableId="1087920095">
    <w:abstractNumId w:val="3"/>
    <w:lvlOverride w:ilvl="1">
      <w:lvl w:ilvl="1">
        <w:numFmt w:val="bullet"/>
        <w:lvlText w:val=""/>
        <w:lvlJc w:val="left"/>
        <w:pPr>
          <w:tabs>
            <w:tab w:val="num" w:pos="1440"/>
          </w:tabs>
          <w:ind w:left="1440" w:hanging="360"/>
        </w:pPr>
        <w:rPr>
          <w:rFonts w:ascii="Symbol" w:hAnsi="Symbol" w:hint="default"/>
          <w:sz w:val="20"/>
        </w:rPr>
      </w:lvl>
    </w:lvlOverride>
  </w:num>
  <w:num w:numId="19" w16cid:durableId="1681544637">
    <w:abstractNumId w:val="2"/>
  </w:num>
  <w:num w:numId="20" w16cid:durableId="447236231">
    <w:abstractNumId w:val="2"/>
    <w:lvlOverride w:ilvl="1">
      <w:lvl w:ilvl="1">
        <w:numFmt w:val="bullet"/>
        <w:lvlText w:val=""/>
        <w:lvlJc w:val="left"/>
        <w:pPr>
          <w:tabs>
            <w:tab w:val="num" w:pos="1440"/>
          </w:tabs>
          <w:ind w:left="1440" w:hanging="360"/>
        </w:pPr>
        <w:rPr>
          <w:rFonts w:ascii="Symbol" w:hAnsi="Symbol" w:hint="default"/>
          <w:sz w:val="20"/>
        </w:rPr>
      </w:lvl>
    </w:lvlOverride>
  </w:num>
  <w:num w:numId="21" w16cid:durableId="870459204">
    <w:abstractNumId w:val="2"/>
    <w:lvlOverride w:ilvl="1">
      <w:lvl w:ilvl="1">
        <w:numFmt w:val="bullet"/>
        <w:lvlText w:val=""/>
        <w:lvlJc w:val="left"/>
        <w:pPr>
          <w:tabs>
            <w:tab w:val="num" w:pos="1440"/>
          </w:tabs>
          <w:ind w:left="1440" w:hanging="360"/>
        </w:pPr>
        <w:rPr>
          <w:rFonts w:ascii="Symbol" w:hAnsi="Symbol" w:hint="default"/>
          <w:sz w:val="20"/>
        </w:rPr>
      </w:lvl>
    </w:lvlOverride>
  </w:num>
  <w:num w:numId="22" w16cid:durableId="21130181">
    <w:abstractNumId w:val="2"/>
    <w:lvlOverride w:ilvl="1">
      <w:lvl w:ilvl="1">
        <w:numFmt w:val="bullet"/>
        <w:lvlText w:val=""/>
        <w:lvlJc w:val="left"/>
        <w:pPr>
          <w:tabs>
            <w:tab w:val="num" w:pos="1440"/>
          </w:tabs>
          <w:ind w:left="1440" w:hanging="360"/>
        </w:pPr>
        <w:rPr>
          <w:rFonts w:ascii="Symbol" w:hAnsi="Symbol" w:hint="default"/>
          <w:sz w:val="20"/>
        </w:rPr>
      </w:lvl>
    </w:lvlOverride>
  </w:num>
  <w:num w:numId="23" w16cid:durableId="2097091072">
    <w:abstractNumId w:val="2"/>
    <w:lvlOverride w:ilvl="1">
      <w:lvl w:ilvl="1">
        <w:numFmt w:val="bullet"/>
        <w:lvlText w:val=""/>
        <w:lvlJc w:val="left"/>
        <w:pPr>
          <w:tabs>
            <w:tab w:val="num" w:pos="1440"/>
          </w:tabs>
          <w:ind w:left="1440" w:hanging="360"/>
        </w:pPr>
        <w:rPr>
          <w:rFonts w:ascii="Symbol" w:hAnsi="Symbol" w:hint="default"/>
          <w:sz w:val="20"/>
        </w:rPr>
      </w:lvl>
    </w:lvlOverride>
  </w:num>
  <w:num w:numId="24" w16cid:durableId="13847147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14"/>
    <w:rsid w:val="00183DD4"/>
    <w:rsid w:val="0030029D"/>
    <w:rsid w:val="007C4DB9"/>
    <w:rsid w:val="007D4657"/>
    <w:rsid w:val="0080760F"/>
    <w:rsid w:val="008A5814"/>
    <w:rsid w:val="009D0F26"/>
    <w:rsid w:val="00A02F52"/>
    <w:rsid w:val="00AD4097"/>
    <w:rsid w:val="00B224F7"/>
    <w:rsid w:val="00B829BE"/>
    <w:rsid w:val="00C334BB"/>
    <w:rsid w:val="00DD6228"/>
    <w:rsid w:val="00FE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ACA29"/>
  <w15:docId w15:val="{73E91490-6421-4EC0-BED1-E88C58F6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before="160" w:after="440"/>
      <w:jc w:val="center"/>
    </w:pPr>
    <w:rPr>
      <w:rFonts w:ascii="Arial" w:hAnsi="Arial" w:cs="Arial Unicode MS"/>
      <w:color w:val="000000"/>
      <w:sz w:val="22"/>
      <w:szCs w:val="22"/>
      <w:u w:color="000000"/>
      <w:lang w:val="en-US"/>
    </w:rPr>
  </w:style>
  <w:style w:type="paragraph" w:styleId="Footer">
    <w:name w:val="footer"/>
    <w:rPr>
      <w:rFonts w:ascii="Arial" w:hAnsi="Arial" w:cs="Arial Unicode MS"/>
      <w:caps/>
      <w:color w:val="000000"/>
      <w:sz w:val="18"/>
      <w:szCs w:val="18"/>
      <w:u w:color="000000"/>
      <w:lang w:val="en-US"/>
    </w:rPr>
  </w:style>
  <w:style w:type="paragraph" w:customStyle="1" w:styleId="Heading1No">
    <w:name w:val="Heading 1 No #"/>
    <w:next w:val="LeftParagraph"/>
    <w:pPr>
      <w:keepNext/>
      <w:keepLines/>
      <w:outlineLvl w:val="0"/>
    </w:pPr>
    <w:rPr>
      <w:rFonts w:ascii="Arial" w:eastAsia="Arial" w:hAnsi="Arial" w:cs="Arial"/>
      <w:b/>
      <w:bCs/>
      <w:color w:val="0D436C"/>
      <w:sz w:val="44"/>
      <w:szCs w:val="44"/>
      <w:u w:color="0D436C"/>
      <w:lang w:val="en-US"/>
    </w:rPr>
  </w:style>
  <w:style w:type="paragraph" w:customStyle="1" w:styleId="LeftParagraph">
    <w:name w:val="Left Paragraph"/>
    <w:rPr>
      <w:rFonts w:ascii="Arial" w:eastAsia="Arial" w:hAnsi="Arial" w:cs="Arial"/>
      <w:color w:val="000000"/>
      <w:sz w:val="22"/>
      <w:szCs w:val="22"/>
      <w:u w:color="000000"/>
      <w:lang w:val="en-US"/>
    </w:rPr>
  </w:style>
  <w:style w:type="numbering" w:customStyle="1" w:styleId="ImportedStyle2">
    <w:name w:val="Imported Style 2"/>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ListBullet">
    <w:name w:val="List Bullet"/>
    <w:rPr>
      <w:rFonts w:ascii="Arial" w:hAnsi="Arial" w:cs="Arial Unicode MS"/>
      <w:color w:val="000000"/>
      <w:sz w:val="24"/>
      <w:szCs w:val="24"/>
      <w:u w:color="000000"/>
      <w:lang w:val="en-US"/>
    </w:rPr>
  </w:style>
  <w:style w:type="numbering" w:customStyle="1" w:styleId="MLD1-9">
    <w:name w:val="+MLD 1-9"/>
    <w:pPr>
      <w:numPr>
        <w:numId w:val="3"/>
      </w:numPr>
    </w:pPr>
  </w:style>
  <w:style w:type="paragraph" w:customStyle="1" w:styleId="ListBulletSimple">
    <w:name w:val="List Bullet Simple"/>
    <w:rPr>
      <w:rFonts w:ascii="Arial" w:eastAsia="Arial" w:hAnsi="Arial" w:cs="Arial"/>
      <w:color w:val="000000"/>
      <w:sz w:val="22"/>
      <w:szCs w:val="22"/>
      <w:u w:color="000000"/>
      <w:lang w:val="en-US"/>
    </w:rPr>
  </w:style>
  <w:style w:type="numbering" w:customStyle="1" w:styleId="ImportedStyle3">
    <w:name w:val="Imported Style 3"/>
    <w:pPr>
      <w:numPr>
        <w:numId w:val="5"/>
      </w:numPr>
    </w:pPr>
  </w:style>
  <w:style w:type="paragraph" w:styleId="FootnoteText">
    <w:name w:val="footnote text"/>
    <w:rPr>
      <w:rFonts w:ascii="Arial" w:eastAsia="Arial" w:hAnsi="Arial" w:cs="Arial"/>
      <w:color w:val="808080"/>
      <w:sz w:val="18"/>
      <w:szCs w:val="18"/>
      <w:u w:color="808080"/>
      <w:lang w:val="en-US"/>
    </w:rPr>
  </w:style>
  <w:style w:type="character" w:customStyle="1" w:styleId="Hyperlink0">
    <w:name w:val="Hyperlink.0"/>
    <w:basedOn w:val="Hyperlink"/>
    <w:rPr>
      <w:outline w:val="0"/>
      <w:color w:val="1D98D3"/>
      <w:u w:val="single" w:color="1D98D3"/>
    </w:rPr>
  </w:style>
  <w:style w:type="numbering" w:customStyle="1" w:styleId="ImportedStyle4">
    <w:name w:val="Imported Style 4"/>
    <w:pPr>
      <w:numPr>
        <w:numId w:val="7"/>
      </w:numPr>
    </w:pPr>
  </w:style>
  <w:style w:type="paragraph" w:styleId="ListParagraph">
    <w:name w:val="List Paragraph"/>
    <w:pPr>
      <w:ind w:left="720"/>
    </w:pPr>
    <w:rPr>
      <w:rFonts w:ascii="Arial" w:eastAsia="Arial" w:hAnsi="Arial" w:cs="Arial"/>
      <w:color w:val="000000"/>
      <w:sz w:val="24"/>
      <w:szCs w:val="24"/>
      <w:u w:color="000000"/>
      <w:lang w:val="en-US"/>
    </w:rPr>
  </w:style>
  <w:style w:type="paragraph" w:customStyle="1" w:styleId="Heading3No">
    <w:name w:val="Heading 3 No #"/>
    <w:next w:val="LeftParagraph"/>
    <w:pPr>
      <w:outlineLvl w:val="0"/>
    </w:pPr>
    <w:rPr>
      <w:rFonts w:ascii="Arial" w:eastAsia="Arial" w:hAnsi="Arial" w:cs="Arial"/>
      <w:color w:val="0D436C"/>
      <w:sz w:val="36"/>
      <w:szCs w:val="36"/>
      <w:u w:color="0D436C"/>
      <w:lang w:val="en-US"/>
    </w:rPr>
  </w:style>
  <w:style w:type="paragraph" w:customStyle="1" w:styleId="Heading5No">
    <w:name w:val="Heading 5 No #"/>
    <w:next w:val="LeftParagraph"/>
    <w:pPr>
      <w:outlineLvl w:val="0"/>
    </w:pPr>
    <w:rPr>
      <w:rFonts w:ascii="Arial" w:hAnsi="Arial" w:cs="Arial Unicode MS"/>
      <w:color w:val="0D436C"/>
      <w:sz w:val="28"/>
      <w:szCs w:val="28"/>
      <w:u w:color="0D436C"/>
      <w:lang w:val="en-US"/>
    </w:rPr>
  </w:style>
  <w:style w:type="paragraph" w:styleId="ListBullet3">
    <w:name w:val="List Bullet 3"/>
    <w:rPr>
      <w:rFonts w:ascii="Arial" w:hAnsi="Arial" w:cs="Arial Unicode MS"/>
      <w:color w:val="000000"/>
      <w:sz w:val="24"/>
      <w:szCs w:val="24"/>
      <w:u w:color="000000"/>
      <w:lang w:val="en-US"/>
    </w:rPr>
  </w:style>
  <w:style w:type="paragraph" w:styleId="ListBullet4">
    <w:name w:val="List Bullet 4"/>
    <w:rPr>
      <w:rFonts w:ascii="Arial" w:hAnsi="Arial" w:cs="Arial Unicode MS"/>
      <w:color w:val="000000"/>
      <w:sz w:val="24"/>
      <w:szCs w:val="24"/>
      <w:u w:color="000000"/>
      <w:lang w:val="en-US"/>
    </w:rPr>
  </w:style>
  <w:style w:type="character" w:customStyle="1" w:styleId="Hyperlink1">
    <w:name w:val="Hyperlink.1"/>
    <w:basedOn w:val="Hyperlink0"/>
    <w:rPr>
      <w:rFonts w:ascii="Arial" w:eastAsia="Arial" w:hAnsi="Arial" w:cs="Arial"/>
      <w:b/>
      <w:bCs/>
      <w:outline w:val="0"/>
      <w:color w:val="1D98D3"/>
      <w:sz w:val="22"/>
      <w:szCs w:val="22"/>
      <w:u w:val="single" w:color="1D98D3"/>
    </w:rPr>
  </w:style>
  <w:style w:type="numbering" w:customStyle="1" w:styleId="ImportedStyle5">
    <w:name w:val="Imported Style 5"/>
    <w:pPr>
      <w:numPr>
        <w:numId w:val="1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D0F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semiHidden/>
    <w:unhideWhenUsed/>
    <w:rsid w:val="00C334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7C4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8075398">
      <w:bodyDiv w:val="1"/>
      <w:marLeft w:val="0"/>
      <w:marRight w:val="0"/>
      <w:marTop w:val="0"/>
      <w:marBottom w:val="0"/>
      <w:divBdr>
        <w:top w:val="none" w:sz="0" w:space="0" w:color="auto"/>
        <w:left w:val="none" w:sz="0" w:space="0" w:color="auto"/>
        <w:bottom w:val="none" w:sz="0" w:space="0" w:color="auto"/>
        <w:right w:val="none" w:sz="0" w:space="0" w:color="auto"/>
      </w:divBdr>
    </w:div>
    <w:div w:id="1772360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icann.org/display/IRPIOTI?preview=/96211302/96212607/REDLINE%2520-%252031%2520Oct%25202017%2520to%252025%2520Sept%25202018%2520UpdatedInterim%2520Supplementary%2520Procedures%2520for%2520Internet%2520Corporation%2520for%2520Assigned%2520Names%2520and%2520Numbers%255B2%255D.pdf" TargetMode="External"/><Relationship Id="rId18" Type="http://schemas.openxmlformats.org/officeDocument/2006/relationships/hyperlink" Target="https://icann.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ommunity.icann.org/display/IRPIOTI/Independent+Review+Process+-+Implementation+Oversight+Team+(IRP-IOT)+Home" TargetMode="External"/><Relationship Id="rId17" Type="http://schemas.openxmlformats.org/officeDocument/2006/relationships/hyperlink" Target="mailto:public-comment@icann.org" TargetMode="External"/><Relationship Id="rId2" Type="http://schemas.openxmlformats.org/officeDocument/2006/relationships/customXml" Target="../customXml/item2.xml"/><Relationship Id="rId16" Type="http://schemas.openxmlformats.org/officeDocument/2006/relationships/hyperlink" Target="https://www.adr.org/sites/default/files/ICDR%2520Rules_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display/acctcrosscomm/Development+of+Final+Report?preview=/56989168/58723275/CCWGV4-Annex%25207-FinalDraftV01.1-Clean-Final.pdf" TargetMode="External"/><Relationship Id="rId5" Type="http://schemas.openxmlformats.org/officeDocument/2006/relationships/styles" Target="styles.xml"/><Relationship Id="rId15" Type="http://schemas.openxmlformats.org/officeDocument/2006/relationships/hyperlink" Target="https://www.icann.org/en/public-comment/proceeding/the-independent-review-process-implementation-oversight-team-irp-iot-draft-recommendations-22-06-2018" TargetMode="External"/><Relationship Id="rId23" Type="http://schemas.openxmlformats.org/officeDocument/2006/relationships/theme" Target="theme/theme1.xml"/><Relationship Id="rId10" Type="http://schemas.openxmlformats.org/officeDocument/2006/relationships/hyperlink" Target="mailto:Samantha.eisner@icann.org" TargetMode="External"/><Relationship Id="rId19" Type="http://schemas.openxmlformats.org/officeDocument/2006/relationships/hyperlink" Target="https://ican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cann.org/en/public-comment/proceeding/updated-supplementary-procedures-for-independent-review-process-irp-28-11-201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CANN theme">
  <a:themeElements>
    <a:clrScheme name="ICANN theme">
      <a:dk1>
        <a:srgbClr val="000000"/>
      </a:dk1>
      <a:lt1>
        <a:srgbClr val="FFFFFF"/>
      </a:lt1>
      <a:dk2>
        <a:srgbClr val="A7A7A7"/>
      </a:dk2>
      <a:lt2>
        <a:srgbClr val="535353"/>
      </a:lt2>
      <a:accent1>
        <a:srgbClr val="1A87C9"/>
      </a:accent1>
      <a:accent2>
        <a:srgbClr val="0D436C"/>
      </a:accent2>
      <a:accent3>
        <a:srgbClr val="1B6F74"/>
      </a:accent3>
      <a:accent4>
        <a:srgbClr val="EA903A"/>
      </a:accent4>
      <a:accent5>
        <a:srgbClr val="DB6033"/>
      </a:accent5>
      <a:accent6>
        <a:srgbClr val="1768B1"/>
      </a:accent6>
      <a:hlink>
        <a:srgbClr val="0000FF"/>
      </a:hlink>
      <a:folHlink>
        <a:srgbClr val="FF00FF"/>
      </a:folHlink>
    </a:clrScheme>
    <a:fontScheme name="ICANN theme">
      <a:majorFont>
        <a:latin typeface="Helvetica Neue"/>
        <a:ea typeface="Helvetica Neue"/>
        <a:cs typeface="Helvetica Neue"/>
      </a:majorFont>
      <a:minorFont>
        <a:latin typeface="Helvetica Neue"/>
        <a:ea typeface="Helvetica Neue"/>
        <a:cs typeface="Helvetica Neue"/>
      </a:minorFont>
    </a:fontScheme>
    <a:fmtScheme name="ICANN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A1F24"/>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A1F24"/>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8" ma:contentTypeDescription="Create a new document." ma:contentTypeScope="" ma:versionID="8b681548961ba6ca262d2e99144c4113">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835d63143d4e874daf7452f64802e1dc"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6d38-a924-4c3c-979c-ba506913b1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c3a30-6548-4b46-b5bf-66b3109f301f}" ma:internalName="TaxCatchAll" ma:showField="CatchAllData" ma:web="3b19b05c-5372-43e3-8367-d528de7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19b05c-5372-43e3-8367-d528de7305f3" xsi:nil="true"/>
    <lcf76f155ced4ddcb4097134ff3c332f xmlns="98b51ad9-2dee-4e67-8756-066868033d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D5BECB-E697-479E-99E4-EDBD7ABF0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C66FC-F127-4C1D-A532-BFF46A2FF521}">
  <ds:schemaRefs>
    <ds:schemaRef ds:uri="http://schemas.microsoft.com/sharepoint/v3/contenttype/forms"/>
  </ds:schemaRefs>
</ds:datastoreItem>
</file>

<file path=customXml/itemProps3.xml><?xml version="1.0" encoding="utf-8"?>
<ds:datastoreItem xmlns:ds="http://schemas.openxmlformats.org/officeDocument/2006/customXml" ds:itemID="{8D596156-92D5-48CF-A368-74737353B3DC}">
  <ds:schemaRefs>
    <ds:schemaRef ds:uri="http://schemas.microsoft.com/office/2006/metadata/properties"/>
    <ds:schemaRef ds:uri="http://schemas.microsoft.com/office/infopath/2007/PartnerControls"/>
    <ds:schemaRef ds:uri="3b19b05c-5372-43e3-8367-d528de7305f3"/>
    <ds:schemaRef ds:uri="98b51ad9-2dee-4e67-8756-066868033db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1737</Words>
  <Characters>10547</Characters>
  <Application>Microsoft Office Word</Application>
  <DocSecurity>0</DocSecurity>
  <Lines>292</Lines>
  <Paragraphs>142</Paragraphs>
  <ScaleCrop>false</ScaleCrop>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Payne</dc:creator>
  <cp:lastModifiedBy>Bernard Turcotte</cp:lastModifiedBy>
  <cp:revision>3</cp:revision>
  <dcterms:created xsi:type="dcterms:W3CDTF">2024-06-03T17:29:00Z</dcterms:created>
  <dcterms:modified xsi:type="dcterms:W3CDTF">2024-06-03T17:37:00Z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0x0101004DFDE40821EA2E4F8038C198ED29FF12</vt:lpwstr>
  </property>
  <property fmtid="{D5CDD505-2E9C-101B-9397-08002B2CF9AE}" pid="4" name="GrammarlyDocumentId">
    <vt:lpwstr>efecdde53df61806bc2b64285c6c70211365ccc4297c8b677807ce0d54591762</vt:lpwstr>
  </property>
</Properties>
</file>