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70" w:rsidRDefault="006C1510">
      <w:bookmarkStart w:id="0" w:name="_GoBack"/>
      <w:bookmarkEnd w:id="0"/>
      <w:r>
        <w:t>Dear ICANN and registrars,</w:t>
      </w:r>
    </w:p>
    <w:p w:rsidR="00092870" w:rsidRDefault="00092870"/>
    <w:p w:rsidR="00092870" w:rsidRDefault="006C1510">
      <w:r>
        <w:t xml:space="preserve">Knock </w:t>
      </w:r>
      <w:proofErr w:type="spellStart"/>
      <w:r>
        <w:t>Knock</w:t>
      </w:r>
      <w:proofErr w:type="spellEnd"/>
      <w:r>
        <w:t xml:space="preserve"> WHOIS There, the registry for the .blog TLD, is proposing three modifications to the .blog Registrar Agreement.</w:t>
      </w:r>
    </w:p>
    <w:p w:rsidR="00092870" w:rsidRDefault="00092870"/>
    <w:p w:rsidR="00092870" w:rsidRDefault="006C1510">
      <w:r>
        <w:t xml:space="preserve">The modifications relate to Sections 5.1.1 </w:t>
      </w:r>
      <w:proofErr w:type="gramStart"/>
      <w:r>
        <w:t>and  7.1</w:t>
      </w:r>
      <w:proofErr w:type="gramEnd"/>
      <w:r>
        <w:t xml:space="preserve">(ii), and the addition of Section 3.14. The changes are described below: </w:t>
      </w:r>
    </w:p>
    <w:p w:rsidR="00092870" w:rsidRDefault="00092870"/>
    <w:p w:rsidR="00092870" w:rsidRDefault="006C1510">
      <w:pPr>
        <w:ind w:left="810"/>
        <w:rPr>
          <w:b/>
        </w:rPr>
      </w:pPr>
      <w:r>
        <w:rPr>
          <w:b/>
        </w:rPr>
        <w:t>Section 3.14: RPM and URS Requirements</w:t>
      </w:r>
    </w:p>
    <w:p w:rsidR="00092870" w:rsidRDefault="006C1510">
      <w:pPr>
        <w:ind w:left="810"/>
      </w:pPr>
      <w:r>
        <w:t>With the addition of Section 3.14, we’re adding required language regarding payments and re</w:t>
      </w:r>
      <w:r>
        <w:t xml:space="preserve">newals as per Section 4 of the </w:t>
      </w:r>
      <w:hyperlink r:id="rId4">
        <w:r>
          <w:rPr>
            <w:rStyle w:val="InternetLink"/>
            <w:color w:val="1155CC"/>
          </w:rPr>
          <w:t>URS High Level Technical Requirements for Registries and Registrars</w:t>
        </w:r>
      </w:hyperlink>
      <w:r>
        <w:t xml:space="preserve">. </w:t>
      </w:r>
    </w:p>
    <w:p w:rsidR="00092870" w:rsidRDefault="00092870">
      <w:pPr>
        <w:ind w:left="810"/>
      </w:pPr>
    </w:p>
    <w:p w:rsidR="00092870" w:rsidRDefault="006C1510">
      <w:pPr>
        <w:ind w:left="810"/>
        <w:rPr>
          <w:b/>
        </w:rPr>
      </w:pPr>
      <w:r>
        <w:rPr>
          <w:b/>
        </w:rPr>
        <w:t>Section 5.1.1: Amount of Registry Operator Fees</w:t>
      </w:r>
    </w:p>
    <w:p w:rsidR="00092870" w:rsidRDefault="006C1510">
      <w:pPr>
        <w:ind w:left="810"/>
        <w:rPr>
          <w:b/>
        </w:rPr>
      </w:pPr>
      <w:r>
        <w:t xml:space="preserve">We’re proposing to add the following clarification to section 5.1.1 of the </w:t>
      </w:r>
      <w:r>
        <w:t>RRA: “However, once a domain is registered, Registry Operator will not modify the Renewal Fee of that domain.” The purpose of this modification is to detail that the renewal cost for a domain, once registered, will not change. We’re suggesting this additio</w:t>
      </w:r>
      <w:r>
        <w:t xml:space="preserve">n to the Registrar Agreement to </w:t>
      </w:r>
      <w:proofErr w:type="spellStart"/>
      <w:r>
        <w:t>provider</w:t>
      </w:r>
      <w:proofErr w:type="spellEnd"/>
      <w:r>
        <w:t xml:space="preserve"> further elucidation on the stability of .blog renewal pricing and to our commitment, as a registry, to ensure long-term pricing consistency for .blog registrars. </w:t>
      </w:r>
    </w:p>
    <w:p w:rsidR="00092870" w:rsidRDefault="00092870">
      <w:pPr>
        <w:ind w:left="810"/>
        <w:rPr>
          <w:b/>
        </w:rPr>
      </w:pPr>
    </w:p>
    <w:p w:rsidR="00092870" w:rsidRDefault="006C1510">
      <w:pPr>
        <w:ind w:left="810"/>
        <w:rPr>
          <w:b/>
        </w:rPr>
      </w:pPr>
      <w:r>
        <w:rPr>
          <w:b/>
        </w:rPr>
        <w:t>Section 7.1(ii): Indemnification by the Registrar</w:t>
      </w:r>
    </w:p>
    <w:p w:rsidR="00092870" w:rsidRDefault="006C1510">
      <w:pPr>
        <w:ind w:left="810"/>
      </w:pPr>
      <w:r>
        <w:t>C</w:t>
      </w:r>
      <w:r>
        <w:t>urrently, the section relating to indemnification of the registry by the registrar includes “any product or service of Registrar.” While this section was intended only to relate to registrar-specific services, we believe this language may be interpreted as</w:t>
      </w:r>
      <w:r>
        <w:t xml:space="preserve"> too broad. Subsequently, we propose removing this section to clarify the scope of the indemnification clause as it relates only to registrar-related services for the .blog TLD.</w:t>
      </w:r>
    </w:p>
    <w:p w:rsidR="00092870" w:rsidRDefault="00092870"/>
    <w:p w:rsidR="00092870" w:rsidRDefault="006C1510">
      <w:r>
        <w:t xml:space="preserve">We greatly appreciate your evaluation and feedback on these modifications to </w:t>
      </w:r>
      <w:r>
        <w:t>the RRA.</w:t>
      </w:r>
    </w:p>
    <w:p w:rsidR="00092870" w:rsidRDefault="00092870"/>
    <w:p w:rsidR="00092870" w:rsidRDefault="006C1510">
      <w:r>
        <w:t>Thank you,</w:t>
      </w:r>
    </w:p>
    <w:p w:rsidR="00092870" w:rsidRDefault="00092870"/>
    <w:p w:rsidR="00092870" w:rsidRDefault="006C1510">
      <w:r>
        <w:t xml:space="preserve">The Knock </w:t>
      </w:r>
      <w:proofErr w:type="spellStart"/>
      <w:r>
        <w:t>Knock</w:t>
      </w:r>
      <w:proofErr w:type="spellEnd"/>
      <w:r>
        <w:t xml:space="preserve"> WHOIS There team</w:t>
      </w:r>
    </w:p>
    <w:sectPr w:rsidR="0009287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2870"/>
    <w:rsid w:val="00092870"/>
    <w:rsid w:val="006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6468F-ABD0-4DD0-9FED-6161707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line="276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Chavoya</dc:creator>
  <dc:description/>
  <cp:lastModifiedBy>Carlos Chavoya</cp:lastModifiedBy>
  <cp:revision>2</cp:revision>
  <dcterms:created xsi:type="dcterms:W3CDTF">2017-05-19T23:51:00Z</dcterms:created>
  <dcterms:modified xsi:type="dcterms:W3CDTF">2017-05-19T23:51:00Z</dcterms:modified>
  <dc:language>en-US</dc:language>
</cp:coreProperties>
</file>